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line="640" w:lineRule="exact"/>
        <w:ind w:leftChars="-85" w:left="-178"/>
        <w:jc w:val="center"/>
        <w:rPr>
          <w:rFonts w:ascii="方正小标宋简体" w:eastAsia="方正小标宋简体"/>
          <w:sz w:val="44"/>
          <w:szCs w:val="44"/>
        </w:rPr>
      </w:pPr>
      <w:r>
        <w:rPr>
          <w:rFonts w:ascii="方正小标宋简体" w:eastAsia="方正小标宋简体" w:hint="eastAsia"/>
          <w:sz w:val="44"/>
          <w:szCs w:val="44"/>
        </w:rPr>
        <w:t>晋州市生活垃圾处理费征收管理办法</w:t>
      </w:r>
    </w:p>
    <w:p>
      <w:pPr>
        <w:spacing w:line="640" w:lineRule="exact"/>
        <w:ind w:leftChars="-85" w:left="-178"/>
        <w:jc w:val="center"/>
        <w:rPr>
          <w:rFonts w:ascii="仿宋_GB2312" w:eastAsia="仿宋_GB2312" w:hAnsi="仿宋_GB2312" w:hint="eastAsia"/>
          <w:sz w:val="32"/>
          <w:szCs w:val="32"/>
        </w:rPr>
      </w:pPr>
      <w:r>
        <w:rPr>
          <w:rFonts w:ascii="仿宋_GB2312" w:eastAsia="仿宋_GB2312" w:hint="eastAsia"/>
          <w:sz w:val="32"/>
          <w:szCs w:val="32"/>
        </w:rPr>
        <w:t>（征求意见稿）</w:t>
      </w:r>
      <w:r>
        <w:rPr>
          <w:rFonts w:ascii="仿宋_GB2312" w:eastAsia="仿宋_GB2312" w:hAnsi="仿宋_GB2312" w:hint="eastAsia"/>
          <w:sz w:val="32"/>
          <w:szCs w:val="32"/>
        </w:rPr>
        <w:t xml:space="preserve">   </w:t>
      </w:r>
    </w:p>
    <w:p>
      <w:pPr>
        <w:spacing w:line="640" w:lineRule="exact"/>
        <w:ind w:leftChars="-85" w:left="-178"/>
        <w:jc w:val="center"/>
        <w:rPr>
          <w:rFonts w:ascii="方正小标宋简体" w:eastAsia="方正小标宋简体"/>
          <w:b/>
          <w:sz w:val="44"/>
          <w:szCs w:val="44"/>
        </w:rPr>
      </w:pPr>
      <w:r>
        <w:rPr>
          <w:rFonts w:ascii="方正小标宋简体" w:eastAsia="方正小标宋简体" w:hAnsi="仿宋_GB2312" w:hint="eastAsia"/>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firstLineChars="200" w:firstLine="640"/>
        <w:jc w:val="both"/>
        <w:textAlignment w:val="auto"/>
        <w:rPr>
          <w:rFonts w:ascii="仿宋_GB2312" w:eastAsia="仿宋_GB2312" w:hAnsi="仿宋"/>
          <w:sz w:val="32"/>
          <w:szCs w:val="32"/>
          <w:u w:val="single" w:color="FFFFFF"/>
        </w:rPr>
      </w:pPr>
      <w:r>
        <w:rPr>
          <w:rFonts w:ascii="仿宋_GB2312" w:eastAsia="仿宋_GB2312" w:hAnsi="仿宋" w:hint="eastAsia"/>
          <w:sz w:val="32"/>
          <w:szCs w:val="32"/>
        </w:rPr>
        <w:t>为提高生活垃圾处理水平，改善城市生态环境，建设资源节约型和环境友好型社会，</w:t>
      </w:r>
      <w:r>
        <w:rPr>
          <w:rFonts w:ascii="仿宋_GB2312" w:eastAsia="仿宋_GB2312" w:hAnsi="仿宋" w:hint="eastAsia"/>
          <w:sz w:val="32"/>
          <w:szCs w:val="32"/>
          <w:u w:val="single" w:color="FFFFFF"/>
        </w:rPr>
        <w:t>根据</w:t>
      </w:r>
      <w:r>
        <w:rPr>
          <w:rFonts w:ascii="仿宋_GB2312" w:eastAsia="仿宋_GB2312" w:cs="Arial" w:hAnsi="仿宋" w:hint="eastAsia"/>
          <w:sz w:val="32"/>
          <w:szCs w:val="32"/>
          <w:u w:val="single" w:color="FFFFFF"/>
          <w:shd w:val="clear" w:color="auto" w:fill="FFFFFF"/>
        </w:rPr>
        <w:t>《中华人民共和国固体废物污染环境防治法》</w:t>
      </w:r>
      <w:r>
        <w:rPr>
          <w:rFonts w:ascii="仿宋_GB2312" w:eastAsia="仿宋_GB2312" w:hAnsi="仿宋" w:hint="eastAsia"/>
          <w:sz w:val="32"/>
          <w:szCs w:val="32"/>
          <w:u w:val="single" w:color="FFFFFF"/>
        </w:rPr>
        <w:t>《国家发展改革委住房城乡建设部关于推进非居民厨余垃圾处理计量收费的指导意见》（发改价格〔2021〕977号）</w:t>
      </w:r>
      <w:r>
        <w:rPr>
          <w:rFonts w:ascii="仿宋_GB2312" w:eastAsia="仿宋_GB2312" w:hAnsi="仿宋"/>
          <w:sz w:val="32"/>
          <w:szCs w:val="32"/>
          <w:u w:val="single" w:color="FFFFFF"/>
        </w:rPr>
        <w:t>和</w:t>
      </w:r>
      <w:bookmarkStart w:id="0" w:name="_GoBack"/>
      <w:bookmarkEnd w:id="0"/>
      <w:r>
        <w:rPr>
          <w:rFonts w:ascii="仿宋_GB2312" w:eastAsia="仿宋_GB2312" w:hAnsi="仿宋" w:hint="eastAsia"/>
          <w:sz w:val="32"/>
          <w:szCs w:val="32"/>
          <w:u w:val="single" w:color="FFFFFF"/>
        </w:rPr>
        <w:t>《国家税务总局河北省税务局等四部门关于城镇垃圾处理费征收职责划转事项的通知》（冀税发〔2021〕59号）《河北省发展和改革委员会等四部门关于印发河北省生活垃圾处理费收费管理办法的通知》（冀发改公价规〔2023〕6号）《石家庄市人民政府办公室关于印发石家庄市城镇垃圾处理费征收管理办法的通知》（石政办发〔2023〕2号），结合实际，制定本办法。</w:t>
      </w:r>
    </w:p>
    <w:p>
      <w:pPr>
        <w:keepNext w:val="0"/>
        <w:keepLines w:val="0"/>
        <w:pageBreakBefore w:val="0"/>
        <w:widowControl w:val="0"/>
        <w:kinsoku/>
        <w:wordWrap/>
        <w:overflowPunct/>
        <w:topLinePunct w:val="0"/>
        <w:autoSpaceDE/>
        <w:autoSpaceDN/>
        <w:bidi w:val="0"/>
        <w:adjustRightInd/>
        <w:snapToGrid/>
        <w:spacing w:line="560" w:lineRule="exact"/>
        <w:ind w:left="0" w:firstLineChars="200" w:firstLine="640"/>
        <w:jc w:val="both"/>
        <w:textAlignment w:val="auto"/>
        <w:rPr>
          <w:rFonts w:ascii="仿宋_GB2312" w:eastAsia="仿宋_GB2312" w:hAnsi="仿宋"/>
          <w:sz w:val="32"/>
          <w:szCs w:val="32"/>
        </w:rPr>
      </w:pPr>
      <w:r>
        <w:rPr>
          <w:rFonts w:ascii="黑体" w:eastAsia="黑体" w:hAnsi="黑体" w:hint="eastAsia"/>
          <w:sz w:val="32"/>
          <w:szCs w:val="32"/>
        </w:rPr>
        <w:t>第一条：</w:t>
      </w:r>
      <w:r>
        <w:rPr>
          <w:rFonts w:ascii="仿宋_GB2312" w:eastAsia="仿宋_GB2312" w:hAnsi="仿宋" w:hint="eastAsia"/>
          <w:sz w:val="32"/>
          <w:szCs w:val="32"/>
        </w:rPr>
        <w:t>本办法所称生活垃圾，是指在日常生活中或者为日常生活提供服务的活动中产生的固体废物，以及法律、行政法规规定，视为生活垃圾的固体废物，不包括危险废物、医疗废物、工业废物、建筑垃圾（含渣土、住宅装修垃圾等）、绿化作业垃圾和农业生产废物。</w:t>
      </w:r>
    </w:p>
    <w:p>
      <w:pPr>
        <w:keepNext w:val="0"/>
        <w:keepLines w:val="0"/>
        <w:pageBreakBefore w:val="0"/>
        <w:widowControl w:val="0"/>
        <w:kinsoku/>
        <w:wordWrap/>
        <w:overflowPunct/>
        <w:topLinePunct w:val="0"/>
        <w:autoSpaceDE/>
        <w:autoSpaceDN/>
        <w:bidi w:val="0"/>
        <w:adjustRightInd/>
        <w:snapToGrid/>
        <w:spacing w:line="560" w:lineRule="exact"/>
        <w:ind w:firstLineChars="200" w:firstLine="640"/>
        <w:jc w:val="both"/>
        <w:textAlignment w:val="auto"/>
        <w:rPr>
          <w:rFonts w:ascii="仿宋_GB2312" w:eastAsia="仿宋_GB2312" w:hAnsi="仿宋"/>
          <w:sz w:val="32"/>
          <w:szCs w:val="32"/>
        </w:rPr>
      </w:pPr>
      <w:r>
        <w:rPr>
          <w:rFonts w:ascii="仿宋_GB2312" w:eastAsia="仿宋_GB2312" w:hAnsi="仿宋" w:hint="eastAsia"/>
          <w:sz w:val="32"/>
          <w:szCs w:val="32"/>
        </w:rPr>
        <w:t>生活垃圾处理费，是指生活垃圾收集、运输、无害化处理过程中发生的费用。</w:t>
      </w:r>
    </w:p>
    <w:p>
      <w:pPr>
        <w:keepNext w:val="0"/>
        <w:keepLines w:val="0"/>
        <w:pageBreakBefore w:val="0"/>
        <w:widowControl w:val="0"/>
        <w:kinsoku/>
        <w:wordWrap/>
        <w:overflowPunct/>
        <w:topLinePunct w:val="0"/>
        <w:autoSpaceDE/>
        <w:autoSpaceDN/>
        <w:bidi w:val="0"/>
        <w:adjustRightInd/>
        <w:snapToGrid/>
        <w:spacing w:line="560" w:lineRule="exact"/>
        <w:ind w:left="0" w:firstLineChars="200" w:firstLine="640"/>
        <w:jc w:val="both"/>
        <w:textAlignment w:val="auto"/>
        <w:rPr>
          <w:rFonts w:ascii="仿宋_GB2312" w:eastAsia="仿宋_GB2312" w:hAnsi="仿宋"/>
          <w:sz w:val="32"/>
          <w:szCs w:val="32"/>
        </w:rPr>
      </w:pPr>
      <w:r>
        <w:rPr>
          <w:rFonts w:ascii="黑体" w:eastAsia="黑体" w:hAnsi="黑体" w:hint="eastAsia"/>
          <w:sz w:val="32"/>
          <w:szCs w:val="32"/>
        </w:rPr>
        <w:t>第二条：</w:t>
      </w:r>
      <w:r>
        <w:rPr>
          <w:rFonts w:ascii="仿宋_GB2312" w:eastAsia="仿宋_GB2312" w:hAnsi="仿宋" w:hint="eastAsia"/>
          <w:sz w:val="32"/>
          <w:szCs w:val="32"/>
        </w:rPr>
        <w:t>生活垃圾处理费实行排污者责任原则和政府、社会、企业共同负担的原则。</w:t>
      </w:r>
    </w:p>
    <w:p>
      <w:pPr>
        <w:keepNext w:val="0"/>
        <w:keepLines w:val="0"/>
        <w:pageBreakBefore w:val="0"/>
        <w:widowControl w:val="0"/>
        <w:kinsoku/>
        <w:wordWrap/>
        <w:overflowPunct/>
        <w:topLinePunct w:val="0"/>
        <w:autoSpaceDE/>
        <w:autoSpaceDN/>
        <w:bidi w:val="0"/>
        <w:adjustRightInd/>
        <w:snapToGrid/>
        <w:spacing w:line="560" w:lineRule="exact"/>
        <w:ind w:firstLineChars="200" w:firstLine="640"/>
        <w:jc w:val="both"/>
        <w:textAlignment w:val="auto"/>
        <w:rPr>
          <w:rFonts w:ascii="仿宋_GB2312" w:eastAsia="仿宋_GB2312" w:hAnsi="仿宋"/>
          <w:sz w:val="32"/>
          <w:szCs w:val="32"/>
        </w:rPr>
      </w:pPr>
      <w:r>
        <w:rPr>
          <w:rFonts w:ascii="仿宋_GB2312" w:eastAsia="仿宋_GB2312" w:hAnsi="仿宋" w:hint="eastAsia"/>
          <w:sz w:val="32"/>
          <w:szCs w:val="32"/>
        </w:rPr>
        <w:t>所有产生生活垃圾的国家机关、企事业单位（包括交通运输工具）、个体经营者、社会团体、城市居民和城市暂住人口等均应缴纳生活垃圾处理费。</w:t>
      </w:r>
    </w:p>
    <w:p>
      <w:pPr>
        <w:keepNext w:val="0"/>
        <w:keepLines w:val="0"/>
        <w:pageBreakBefore w:val="0"/>
        <w:widowControl w:val="0"/>
        <w:kinsoku/>
        <w:wordWrap/>
        <w:overflowPunct/>
        <w:topLinePunct w:val="0"/>
        <w:autoSpaceDE/>
        <w:autoSpaceDN/>
        <w:bidi w:val="0"/>
        <w:adjustRightInd/>
        <w:snapToGrid/>
        <w:spacing w:line="560" w:lineRule="exact"/>
        <w:ind w:left="0" w:firstLineChars="200" w:firstLine="640"/>
        <w:jc w:val="both"/>
        <w:textAlignment w:val="auto"/>
        <w:rPr>
          <w:rFonts w:ascii="仿宋_GB2312" w:eastAsia="仿宋_GB2312" w:hAnsi="仿宋" w:hint="eastAsia"/>
          <w:sz w:val="32"/>
          <w:szCs w:val="32"/>
        </w:rPr>
      </w:pPr>
      <w:r>
        <w:rPr>
          <w:rFonts w:ascii="黑体" w:eastAsia="黑体" w:hAnsi="黑体" w:hint="eastAsia"/>
          <w:sz w:val="32"/>
          <w:szCs w:val="32"/>
        </w:rPr>
        <w:t>第三条：</w:t>
      </w:r>
      <w:r>
        <w:rPr>
          <w:rFonts w:ascii="仿宋_GB2312" w:eastAsia="仿宋_GB2312" w:hAnsi="仿宋" w:hint="eastAsia"/>
          <w:sz w:val="32"/>
          <w:szCs w:val="32"/>
        </w:rPr>
        <w:t>税务局负责生活垃圾处理费征缴工作；发改局负责生活垃圾处理费标准的制定和管理工作；城管执法局负责除建筑垃圾和渣土以外其它生活垃圾处理费的核定管理工作。</w:t>
      </w:r>
    </w:p>
    <w:p>
      <w:pPr>
        <w:keepNext w:val="0"/>
        <w:keepLines w:val="0"/>
        <w:pageBreakBefore w:val="0"/>
        <w:widowControl w:val="0"/>
        <w:kinsoku/>
        <w:wordWrap/>
        <w:overflowPunct/>
        <w:topLinePunct w:val="0"/>
        <w:autoSpaceDE/>
        <w:autoSpaceDN/>
        <w:bidi w:val="0"/>
        <w:adjustRightInd/>
        <w:snapToGrid/>
        <w:spacing w:line="560" w:lineRule="exact"/>
        <w:ind w:left="0" w:firstLineChars="200" w:firstLine="640"/>
        <w:jc w:val="both"/>
        <w:textAlignment w:val="auto"/>
        <w:rPr>
          <w:rFonts w:ascii="仿宋_GB2312" w:eastAsia="仿宋_GB2312" w:hAnsi="仿宋" w:hint="eastAsia"/>
          <w:sz w:val="32"/>
          <w:szCs w:val="32"/>
        </w:rPr>
      </w:pPr>
      <w:r>
        <w:rPr>
          <w:rFonts w:ascii="黑体" w:eastAsia="黑体" w:hAnsi="黑体" w:hint="eastAsia"/>
          <w:sz w:val="32"/>
          <w:szCs w:val="32"/>
        </w:rPr>
        <w:t>第四条：</w:t>
      </w:r>
      <w:r>
        <w:rPr>
          <w:rFonts w:ascii="仿宋_GB2312" w:eastAsia="仿宋_GB2312" w:hAnsi="仿宋" w:hint="eastAsia"/>
          <w:sz w:val="32"/>
          <w:szCs w:val="32"/>
        </w:rPr>
        <w:t xml:space="preserve">建立主管部门、专业队伍、市场运作紧密结合的征收机制，对不同的收费对象采取不同的收费方法。 </w:t>
      </w:r>
    </w:p>
    <w:p>
      <w:pPr>
        <w:keepNext w:val="0"/>
        <w:keepLines w:val="0"/>
        <w:pageBreakBefore w:val="0"/>
        <w:widowControl w:val="0"/>
        <w:kinsoku/>
        <w:wordWrap/>
        <w:overflowPunct/>
        <w:topLinePunct w:val="0"/>
        <w:autoSpaceDE/>
        <w:autoSpaceDN/>
        <w:bidi w:val="0"/>
        <w:adjustRightInd/>
        <w:snapToGrid/>
        <w:spacing w:line="560" w:lineRule="exact"/>
        <w:ind w:left="0" w:firstLineChars="200" w:firstLine="640"/>
        <w:jc w:val="both"/>
        <w:textAlignment w:val="auto"/>
        <w:rPr>
          <w:rFonts w:ascii="仿宋_GB2312" w:eastAsia="仿宋_GB2312" w:hAnsi="仿宋" w:hint="eastAsia"/>
          <w:sz w:val="32"/>
          <w:szCs w:val="32"/>
        </w:rPr>
      </w:pPr>
      <w:r>
        <w:rPr>
          <w:rFonts w:ascii="仿宋_GB2312" w:eastAsia="仿宋_GB2312" w:hAnsi="仿宋" w:hint="eastAsia"/>
          <w:sz w:val="32"/>
          <w:szCs w:val="32"/>
        </w:rPr>
        <w:t>（一）居民及暂住人口应</w:t>
      </w:r>
      <w:r>
        <w:rPr>
          <w:rFonts w:ascii="仿宋_GB2312" w:eastAsia="仿宋_GB2312" w:hAnsi="仿宋" w:hint="eastAsia"/>
          <w:sz w:val="32"/>
          <w:szCs w:val="32"/>
          <w:lang w:eastAsia="zh-CN"/>
        </w:rPr>
        <w:t>缴纳</w:t>
      </w:r>
      <w:r>
        <w:rPr>
          <w:rFonts w:ascii="仿宋_GB2312" w:eastAsia="仿宋_GB2312" w:hAnsi="仿宋" w:hint="eastAsia"/>
          <w:sz w:val="32"/>
          <w:szCs w:val="32"/>
        </w:rPr>
        <w:t>的生活垃圾处理费：石家庄聚德热力有限公司覆盖的小区及暂住人口应</w:t>
      </w:r>
      <w:r>
        <w:rPr>
          <w:rFonts w:ascii="仿宋_GB2312" w:eastAsia="仿宋_GB2312" w:hAnsi="仿宋" w:hint="eastAsia"/>
          <w:sz w:val="32"/>
          <w:szCs w:val="32"/>
          <w:lang w:eastAsia="zh-CN"/>
        </w:rPr>
        <w:t>缴纳</w:t>
      </w:r>
      <w:r>
        <w:rPr>
          <w:rFonts w:ascii="仿宋_GB2312" w:eastAsia="仿宋_GB2312" w:hAnsi="仿宋" w:hint="eastAsia"/>
          <w:sz w:val="32"/>
          <w:szCs w:val="32"/>
        </w:rPr>
        <w:t>的生活垃圾处理费由政府相关部门委托石家庄聚德热力有限公司代收代缴。石家庄聚德热力有限公司</w:t>
      </w:r>
      <w:r>
        <w:rPr>
          <w:rFonts w:ascii="仿宋_GB2312" w:eastAsia="仿宋_GB2312" w:hint="eastAsia"/>
          <w:sz w:val="32"/>
        </w:rPr>
        <w:t>不能覆盖的居民户，由城管执法局</w:t>
      </w:r>
      <w:r>
        <w:rPr>
          <w:rFonts w:ascii="仿宋_GB2312" w:eastAsia="仿宋_GB2312" w:hAnsi="仿宋" w:hint="eastAsia"/>
          <w:sz w:val="32"/>
          <w:szCs w:val="32"/>
        </w:rPr>
        <w:t>核定管理</w:t>
      </w:r>
      <w:r>
        <w:rPr>
          <w:rFonts w:ascii="仿宋_GB2312" w:eastAsia="仿宋_GB2312" w:hint="eastAsia"/>
          <w:sz w:val="32"/>
        </w:rPr>
        <w:t>。</w:t>
      </w:r>
    </w:p>
    <w:p>
      <w:pPr>
        <w:keepNext w:val="0"/>
        <w:keepLines w:val="0"/>
        <w:pageBreakBefore w:val="0"/>
        <w:widowControl w:val="0"/>
        <w:kinsoku/>
        <w:wordWrap/>
        <w:overflowPunct/>
        <w:topLinePunct w:val="0"/>
        <w:autoSpaceDE/>
        <w:autoSpaceDN/>
        <w:bidi w:val="0"/>
        <w:adjustRightInd/>
        <w:snapToGrid/>
        <w:spacing w:line="560" w:lineRule="exact"/>
        <w:ind w:left="0" w:firstLineChars="200" w:firstLine="640"/>
        <w:jc w:val="both"/>
        <w:textAlignment w:val="auto"/>
        <w:rPr>
          <w:rFonts w:ascii="仿宋_GB2312" w:eastAsia="仿宋_GB2312" w:hAnsi="仿宋" w:hint="eastAsia"/>
          <w:sz w:val="32"/>
          <w:szCs w:val="32"/>
        </w:rPr>
      </w:pPr>
      <w:r>
        <w:rPr>
          <w:rFonts w:ascii="仿宋_GB2312" w:eastAsia="仿宋_GB2312" w:hAnsi="仿宋" w:hint="eastAsia"/>
          <w:sz w:val="32"/>
          <w:szCs w:val="32"/>
        </w:rPr>
        <w:t>（二）机关、学校、社会团体、企事业单位及经营者等应</w:t>
      </w:r>
      <w:r>
        <w:rPr>
          <w:rFonts w:ascii="仿宋_GB2312" w:eastAsia="仿宋_GB2312" w:hAnsi="仿宋" w:hint="eastAsia"/>
          <w:sz w:val="32"/>
          <w:szCs w:val="32"/>
          <w:lang w:eastAsia="zh-CN"/>
        </w:rPr>
        <w:t>缴纳</w:t>
      </w:r>
      <w:r>
        <w:rPr>
          <w:rFonts w:ascii="仿宋_GB2312" w:eastAsia="仿宋_GB2312" w:hAnsi="仿宋" w:hint="eastAsia"/>
          <w:sz w:val="32"/>
          <w:szCs w:val="32"/>
        </w:rPr>
        <w:t>的生活垃圾处理费：由城管执法局核定信息登录河北省税务局非税收入信息平台，录入缴费信息后，由缴费单位自行在电子税务局或办税服务场所等涉税渠道进行费款缴纳。</w:t>
      </w:r>
    </w:p>
    <w:p>
      <w:pPr>
        <w:keepNext w:val="0"/>
        <w:keepLines w:val="0"/>
        <w:pageBreakBefore w:val="0"/>
        <w:widowControl w:val="0"/>
        <w:kinsoku/>
        <w:wordWrap/>
        <w:overflowPunct/>
        <w:topLinePunct w:val="0"/>
        <w:autoSpaceDE/>
        <w:autoSpaceDN/>
        <w:bidi w:val="0"/>
        <w:adjustRightInd/>
        <w:snapToGrid/>
        <w:spacing w:line="560" w:lineRule="exact"/>
        <w:ind w:left="0" w:firstLineChars="200" w:firstLine="640"/>
        <w:jc w:val="both"/>
        <w:textAlignment w:val="auto"/>
        <w:rPr>
          <w:rFonts w:ascii="仿宋_GB2312" w:eastAsia="仿宋_GB2312" w:hAnsi="仿宋" w:hint="eastAsia"/>
          <w:sz w:val="32"/>
          <w:szCs w:val="32"/>
        </w:rPr>
      </w:pPr>
      <w:r>
        <w:rPr>
          <w:rFonts w:ascii="黑体" w:eastAsia="黑体" w:hAnsi="黑体" w:hint="eastAsia"/>
          <w:sz w:val="32"/>
          <w:szCs w:val="32"/>
        </w:rPr>
        <w:t>第五条：</w:t>
      </w:r>
      <w:r>
        <w:rPr>
          <w:rFonts w:ascii="仿宋_GB2312" w:eastAsia="仿宋_GB2312" w:hAnsi="仿宋" w:hint="eastAsia"/>
          <w:sz w:val="32"/>
          <w:szCs w:val="32"/>
        </w:rPr>
        <w:t>收费标准</w:t>
      </w:r>
    </w:p>
    <w:p>
      <w:pPr>
        <w:keepNext w:val="0"/>
        <w:keepLines w:val="0"/>
        <w:pageBreakBefore w:val="0"/>
        <w:widowControl w:val="0"/>
        <w:kinsoku/>
        <w:wordWrap/>
        <w:overflowPunct/>
        <w:topLinePunct w:val="0"/>
        <w:autoSpaceDE/>
        <w:autoSpaceDN/>
        <w:bidi w:val="0"/>
        <w:adjustRightInd/>
        <w:snapToGrid/>
        <w:spacing w:line="560" w:lineRule="exact"/>
        <w:ind w:left="0" w:firstLineChars="200" w:firstLine="640"/>
        <w:jc w:val="both"/>
        <w:textAlignment w:val="auto"/>
        <w:rPr>
          <w:rFonts w:ascii="仿宋_GB2312" w:eastAsia="仿宋_GB2312" w:hAnsi="仿宋" w:hint="eastAsia"/>
          <w:bCs/>
          <w:sz w:val="32"/>
          <w:szCs w:val="32"/>
        </w:rPr>
      </w:pPr>
      <w:r>
        <w:rPr>
          <w:rFonts w:ascii="仿宋_GB2312" w:eastAsia="仿宋_GB2312" w:hAnsi="仿宋" w:hint="eastAsia"/>
          <w:bCs/>
          <w:sz w:val="32"/>
          <w:szCs w:val="32"/>
        </w:rPr>
        <w:t>（一）由个人</w:t>
      </w:r>
      <w:r>
        <w:rPr>
          <w:rFonts w:ascii="仿宋_GB2312" w:eastAsia="仿宋_GB2312" w:hAnsi="仿宋" w:hint="eastAsia"/>
          <w:bCs/>
          <w:sz w:val="32"/>
          <w:szCs w:val="32"/>
          <w:lang w:eastAsia="zh-CN"/>
        </w:rPr>
        <w:t>缴纳</w:t>
      </w:r>
      <w:r>
        <w:rPr>
          <w:rFonts w:ascii="仿宋_GB2312" w:eastAsia="仿宋_GB2312" w:hAnsi="仿宋" w:hint="eastAsia"/>
          <w:bCs/>
          <w:sz w:val="32"/>
          <w:szCs w:val="32"/>
        </w:rPr>
        <w:t>的：城市居民每户每月3元，办理暂住户口的外地进城人员每人每月2元。</w:t>
      </w:r>
    </w:p>
    <w:p>
      <w:pPr>
        <w:keepNext w:val="0"/>
        <w:keepLines w:val="0"/>
        <w:pageBreakBefore w:val="0"/>
        <w:widowControl w:val="0"/>
        <w:kinsoku/>
        <w:wordWrap/>
        <w:overflowPunct/>
        <w:topLinePunct w:val="0"/>
        <w:autoSpaceDE/>
        <w:autoSpaceDN/>
        <w:bidi w:val="0"/>
        <w:adjustRightInd/>
        <w:snapToGrid/>
        <w:spacing w:line="560" w:lineRule="exact"/>
        <w:ind w:left="0" w:firstLineChars="200" w:firstLine="640"/>
        <w:jc w:val="both"/>
        <w:textAlignment w:val="auto"/>
        <w:rPr>
          <w:rFonts w:ascii="仿宋_GB2312" w:eastAsia="仿宋_GB2312" w:hAnsi="仿宋" w:hint="eastAsia"/>
          <w:bCs/>
          <w:sz w:val="32"/>
          <w:szCs w:val="32"/>
        </w:rPr>
      </w:pPr>
      <w:r>
        <w:rPr>
          <w:rFonts w:ascii="仿宋_GB2312" w:eastAsia="仿宋_GB2312" w:hAnsi="仿宋" w:hint="eastAsia"/>
          <w:bCs/>
          <w:sz w:val="32"/>
          <w:szCs w:val="32"/>
        </w:rPr>
        <w:t>（二）由单位</w:t>
      </w:r>
      <w:r>
        <w:rPr>
          <w:rFonts w:ascii="仿宋_GB2312" w:eastAsia="仿宋_GB2312" w:hAnsi="仿宋" w:hint="eastAsia"/>
          <w:bCs/>
          <w:sz w:val="32"/>
          <w:szCs w:val="32"/>
          <w:lang w:eastAsia="zh-CN"/>
        </w:rPr>
        <w:t>缴纳</w:t>
      </w:r>
      <w:r>
        <w:rPr>
          <w:rFonts w:ascii="仿宋_GB2312" w:eastAsia="仿宋_GB2312" w:hAnsi="仿宋" w:hint="eastAsia"/>
          <w:bCs/>
          <w:sz w:val="32"/>
          <w:szCs w:val="32"/>
        </w:rPr>
        <w:t>的：国家机关、社会团体、企事业单位（不包括按以下第三项执行的单位），按上年末在岗职工人数（含临时聘用人员）计收，计收标准1.5元/人·月，普通高校、中等专业技工学校按在籍学生人数计收，计收标准0.5元/人·月。</w:t>
      </w:r>
    </w:p>
    <w:p>
      <w:pPr>
        <w:keepNext w:val="0"/>
        <w:keepLines w:val="0"/>
        <w:pageBreakBefore w:val="0"/>
        <w:widowControl w:val="0"/>
        <w:kinsoku/>
        <w:wordWrap/>
        <w:overflowPunct/>
        <w:topLinePunct w:val="0"/>
        <w:autoSpaceDE/>
        <w:autoSpaceDN/>
        <w:bidi w:val="0"/>
        <w:adjustRightInd/>
        <w:snapToGrid/>
        <w:spacing w:line="560" w:lineRule="exact"/>
        <w:ind w:left="0" w:firstLineChars="200" w:firstLine="640"/>
        <w:jc w:val="both"/>
        <w:textAlignment w:val="auto"/>
        <w:rPr>
          <w:rFonts w:ascii="仿宋_GB2312" w:eastAsia="仿宋_GB2312" w:hAnsi="仿宋" w:hint="eastAsia"/>
          <w:bCs/>
          <w:sz w:val="32"/>
          <w:szCs w:val="32"/>
        </w:rPr>
      </w:pPr>
      <w:r>
        <w:rPr>
          <w:rFonts w:ascii="仿宋_GB2312" w:eastAsia="仿宋_GB2312" w:hAnsi="仿宋" w:hint="eastAsia"/>
          <w:bCs/>
          <w:sz w:val="32"/>
          <w:szCs w:val="32"/>
        </w:rPr>
        <w:t>（三）由经营者</w:t>
      </w:r>
      <w:r>
        <w:rPr>
          <w:rFonts w:ascii="仿宋_GB2312" w:eastAsia="仿宋_GB2312" w:hAnsi="仿宋" w:hint="eastAsia"/>
          <w:bCs/>
          <w:sz w:val="32"/>
          <w:szCs w:val="32"/>
          <w:lang w:eastAsia="zh-CN"/>
        </w:rPr>
        <w:t>缴纳</w:t>
      </w:r>
      <w:r>
        <w:rPr>
          <w:rFonts w:ascii="仿宋_GB2312" w:eastAsia="仿宋_GB2312" w:hAnsi="仿宋" w:hint="eastAsia"/>
          <w:bCs/>
          <w:sz w:val="32"/>
          <w:szCs w:val="32"/>
        </w:rPr>
        <w:t>的：</w:t>
      </w:r>
    </w:p>
    <w:p>
      <w:pPr>
        <w:keepNext w:val="0"/>
        <w:keepLines w:val="0"/>
        <w:pageBreakBefore w:val="0"/>
        <w:widowControl w:val="0"/>
        <w:kinsoku/>
        <w:wordWrap/>
        <w:overflowPunct/>
        <w:topLinePunct w:val="0"/>
        <w:autoSpaceDE/>
        <w:autoSpaceDN/>
        <w:bidi w:val="0"/>
        <w:adjustRightInd/>
        <w:snapToGrid/>
        <w:spacing w:line="560" w:lineRule="exact"/>
        <w:ind w:left="0" w:firstLineChars="200" w:firstLine="640"/>
        <w:jc w:val="both"/>
        <w:textAlignment w:val="auto"/>
        <w:rPr>
          <w:rFonts w:ascii="仿宋_GB2312" w:eastAsia="仿宋_GB2312" w:hAnsi="仿宋" w:hint="eastAsia"/>
          <w:sz w:val="32"/>
          <w:szCs w:val="32"/>
        </w:rPr>
      </w:pPr>
      <w:r>
        <w:rPr>
          <w:rFonts w:ascii="仿宋_GB2312" w:eastAsia="仿宋_GB2312" w:hAnsi="仿宋" w:hint="eastAsia"/>
          <w:bCs/>
          <w:sz w:val="32"/>
          <w:szCs w:val="32"/>
        </w:rPr>
        <w:t>1．医院（不含医疗垃圾）、旅店、多功能宾馆、酒店（客房部分）按床位计收，收费标准３元/床·月（不足5张床的按职工人数计收，计收标准1.5元/人·月）。</w:t>
      </w:r>
    </w:p>
    <w:p>
      <w:pPr>
        <w:keepNext w:val="0"/>
        <w:keepLines w:val="0"/>
        <w:pageBreakBefore w:val="0"/>
        <w:widowControl w:val="0"/>
        <w:kinsoku/>
        <w:wordWrap/>
        <w:overflowPunct/>
        <w:topLinePunct w:val="0"/>
        <w:autoSpaceDE/>
        <w:autoSpaceDN/>
        <w:bidi w:val="0"/>
        <w:adjustRightInd/>
        <w:snapToGrid/>
        <w:spacing w:line="560" w:lineRule="exact"/>
        <w:ind w:left="0" w:firstLineChars="200" w:firstLine="640"/>
        <w:jc w:val="both"/>
        <w:textAlignment w:val="auto"/>
        <w:rPr>
          <w:rFonts w:ascii="仿宋_GB2312" w:eastAsia="仿宋_GB2312" w:hAnsi="仿宋" w:hint="eastAsia"/>
          <w:sz w:val="32"/>
          <w:szCs w:val="32"/>
        </w:rPr>
      </w:pPr>
      <w:r>
        <w:rPr>
          <w:rFonts w:ascii="仿宋_GB2312" w:eastAsia="仿宋_GB2312" w:hAnsi="仿宋" w:hint="eastAsia"/>
          <w:bCs/>
          <w:sz w:val="32"/>
          <w:szCs w:val="32"/>
        </w:rPr>
        <w:t>2.农贸、集贸市场按摊位计收，收费标准 5元/摊·月。</w:t>
      </w:r>
    </w:p>
    <w:p>
      <w:pPr>
        <w:keepNext w:val="0"/>
        <w:keepLines w:val="0"/>
        <w:pageBreakBefore w:val="0"/>
        <w:widowControl w:val="0"/>
        <w:kinsoku/>
        <w:wordWrap/>
        <w:overflowPunct/>
        <w:topLinePunct w:val="0"/>
        <w:autoSpaceDE/>
        <w:autoSpaceDN/>
        <w:bidi w:val="0"/>
        <w:adjustRightInd/>
        <w:snapToGrid/>
        <w:spacing w:line="560" w:lineRule="exact"/>
        <w:ind w:left="0" w:firstLineChars="200" w:firstLine="640"/>
        <w:jc w:val="both"/>
        <w:textAlignment w:val="auto"/>
        <w:rPr>
          <w:rFonts w:ascii="仿宋_GB2312" w:eastAsia="仿宋_GB2312" w:hAnsi="仿宋" w:hint="eastAsia"/>
          <w:sz w:val="32"/>
          <w:szCs w:val="32"/>
        </w:rPr>
      </w:pPr>
      <w:r>
        <w:rPr>
          <w:rFonts w:ascii="仿宋_GB2312" w:eastAsia="仿宋_GB2312" w:hAnsi="仿宋" w:hint="eastAsia"/>
          <w:bCs/>
          <w:sz w:val="32"/>
          <w:szCs w:val="32"/>
        </w:rPr>
        <w:t>3.桑拿洗浴、美容美发、休闲娱乐等场所按经营面积计收，收费标准0.8元/平米·月。</w:t>
      </w:r>
    </w:p>
    <w:p>
      <w:pPr>
        <w:keepNext w:val="0"/>
        <w:keepLines w:val="0"/>
        <w:pageBreakBefore w:val="0"/>
        <w:widowControl w:val="0"/>
        <w:kinsoku/>
        <w:wordWrap/>
        <w:overflowPunct/>
        <w:topLinePunct w:val="0"/>
        <w:autoSpaceDE/>
        <w:autoSpaceDN/>
        <w:bidi w:val="0"/>
        <w:adjustRightInd/>
        <w:snapToGrid/>
        <w:spacing w:line="560" w:lineRule="exact"/>
        <w:ind w:left="0" w:firstLineChars="200" w:firstLine="640"/>
        <w:jc w:val="both"/>
        <w:textAlignment w:val="auto"/>
        <w:rPr>
          <w:rFonts w:ascii="仿宋_GB2312" w:eastAsia="仿宋_GB2312" w:hAnsi="仿宋" w:hint="eastAsia"/>
          <w:sz w:val="32"/>
          <w:szCs w:val="32"/>
        </w:rPr>
      </w:pPr>
      <w:r>
        <w:rPr>
          <w:rFonts w:ascii="仿宋_GB2312" w:eastAsia="仿宋_GB2312" w:hAnsi="仿宋" w:hint="eastAsia"/>
          <w:bCs/>
          <w:sz w:val="32"/>
          <w:szCs w:val="32"/>
        </w:rPr>
        <w:t>4．长、短途客运车辆（不含客运企业）按座位计收，收费标准0.5元/座·月。</w:t>
      </w:r>
    </w:p>
    <w:p>
      <w:pPr>
        <w:keepNext w:val="0"/>
        <w:keepLines w:val="0"/>
        <w:pageBreakBefore w:val="0"/>
        <w:widowControl w:val="0"/>
        <w:kinsoku/>
        <w:wordWrap/>
        <w:overflowPunct/>
        <w:topLinePunct w:val="0"/>
        <w:autoSpaceDE/>
        <w:autoSpaceDN/>
        <w:bidi w:val="0"/>
        <w:adjustRightInd/>
        <w:snapToGrid/>
        <w:spacing w:line="560" w:lineRule="exact"/>
        <w:ind w:left="0" w:firstLineChars="200" w:firstLine="640"/>
        <w:jc w:val="both"/>
        <w:textAlignment w:val="auto"/>
        <w:rPr>
          <w:rFonts w:ascii="仿宋_GB2312" w:eastAsia="仿宋_GB2312" w:hAnsi="仿宋" w:hint="eastAsia"/>
          <w:bCs/>
          <w:sz w:val="32"/>
          <w:szCs w:val="32"/>
        </w:rPr>
      </w:pPr>
      <w:r>
        <w:rPr>
          <w:rFonts w:ascii="仿宋_GB2312" w:eastAsia="仿宋_GB2312" w:hAnsi="仿宋" w:hint="eastAsia"/>
          <w:bCs/>
          <w:sz w:val="32"/>
          <w:szCs w:val="32"/>
        </w:rPr>
        <w:t>5．商业零售企业按营业面积大小实行累进计收，收费标准：</w:t>
      </w:r>
    </w:p>
    <w:p>
      <w:pPr>
        <w:keepNext w:val="0"/>
        <w:keepLines w:val="0"/>
        <w:pageBreakBefore w:val="0"/>
        <w:widowControl w:val="0"/>
        <w:kinsoku/>
        <w:wordWrap/>
        <w:overflowPunct/>
        <w:topLinePunct w:val="0"/>
        <w:autoSpaceDE/>
        <w:autoSpaceDN/>
        <w:bidi w:val="0"/>
        <w:adjustRightInd/>
        <w:snapToGrid/>
        <w:spacing w:line="560" w:lineRule="exact"/>
        <w:ind w:left="0" w:firstLineChars="200" w:firstLine="640"/>
        <w:jc w:val="both"/>
        <w:textAlignment w:val="auto"/>
        <w:rPr>
          <w:rFonts w:ascii="仿宋_GB2312" w:eastAsia="仿宋_GB2312" w:hAnsi="仿宋" w:hint="eastAsia"/>
          <w:sz w:val="32"/>
          <w:szCs w:val="32"/>
        </w:rPr>
      </w:pPr>
      <w:r>
        <w:rPr>
          <w:rFonts w:ascii="仿宋_GB2312" w:eastAsia="仿宋_GB2312" w:hAnsi="仿宋" w:hint="eastAsia"/>
          <w:bCs/>
          <w:sz w:val="32"/>
          <w:szCs w:val="32"/>
        </w:rPr>
        <w:t>50（含）平方米以下20元/户·月</w:t>
      </w:r>
    </w:p>
    <w:p>
      <w:pPr>
        <w:keepNext w:val="0"/>
        <w:keepLines w:val="0"/>
        <w:pageBreakBefore w:val="0"/>
        <w:widowControl w:val="0"/>
        <w:kinsoku/>
        <w:wordWrap/>
        <w:overflowPunct/>
        <w:topLinePunct w:val="0"/>
        <w:autoSpaceDE/>
        <w:autoSpaceDN/>
        <w:bidi w:val="0"/>
        <w:adjustRightInd/>
        <w:snapToGrid/>
        <w:spacing w:line="560" w:lineRule="exact"/>
        <w:ind w:left="0" w:firstLineChars="200" w:firstLine="640"/>
        <w:jc w:val="both"/>
        <w:textAlignment w:val="auto"/>
        <w:rPr>
          <w:rFonts w:ascii="仿宋_GB2312" w:eastAsia="仿宋_GB2312" w:hAnsi="仿宋" w:hint="eastAsia"/>
          <w:sz w:val="32"/>
          <w:szCs w:val="32"/>
        </w:rPr>
      </w:pPr>
      <w:r>
        <w:rPr>
          <w:rFonts w:ascii="仿宋_GB2312" w:eastAsia="仿宋_GB2312" w:hAnsi="仿宋" w:hint="eastAsia"/>
          <w:bCs/>
          <w:sz w:val="32"/>
          <w:szCs w:val="32"/>
        </w:rPr>
        <w:t>50—100 （含）平方米0.6元/平方米·月</w:t>
      </w:r>
    </w:p>
    <w:p>
      <w:pPr>
        <w:keepNext w:val="0"/>
        <w:keepLines w:val="0"/>
        <w:pageBreakBefore w:val="0"/>
        <w:widowControl w:val="0"/>
        <w:kinsoku/>
        <w:wordWrap/>
        <w:overflowPunct/>
        <w:topLinePunct w:val="0"/>
        <w:autoSpaceDE/>
        <w:autoSpaceDN/>
        <w:bidi w:val="0"/>
        <w:adjustRightInd/>
        <w:snapToGrid/>
        <w:spacing w:line="560" w:lineRule="exact"/>
        <w:ind w:left="0" w:firstLineChars="200" w:firstLine="640"/>
        <w:jc w:val="both"/>
        <w:textAlignment w:val="auto"/>
        <w:rPr>
          <w:rFonts w:ascii="仿宋_GB2312" w:eastAsia="仿宋_GB2312" w:hAnsi="仿宋" w:hint="eastAsia"/>
          <w:sz w:val="32"/>
          <w:szCs w:val="32"/>
        </w:rPr>
      </w:pPr>
      <w:r>
        <w:rPr>
          <w:rFonts w:ascii="仿宋_GB2312" w:eastAsia="仿宋_GB2312" w:hAnsi="仿宋" w:hint="eastAsia"/>
          <w:bCs/>
          <w:sz w:val="32"/>
          <w:szCs w:val="32"/>
        </w:rPr>
        <w:t>100—500（含）平方米0.5元/平方米·月</w:t>
      </w:r>
    </w:p>
    <w:p>
      <w:pPr>
        <w:keepNext w:val="0"/>
        <w:keepLines w:val="0"/>
        <w:pageBreakBefore w:val="0"/>
        <w:widowControl w:val="0"/>
        <w:kinsoku/>
        <w:wordWrap/>
        <w:overflowPunct/>
        <w:topLinePunct w:val="0"/>
        <w:autoSpaceDE/>
        <w:autoSpaceDN/>
        <w:bidi w:val="0"/>
        <w:adjustRightInd/>
        <w:snapToGrid/>
        <w:spacing w:line="560" w:lineRule="exact"/>
        <w:ind w:left="0" w:firstLineChars="200" w:firstLine="640"/>
        <w:jc w:val="both"/>
        <w:textAlignment w:val="auto"/>
        <w:rPr>
          <w:rFonts w:ascii="仿宋_GB2312" w:eastAsia="仿宋_GB2312" w:hAnsi="仿宋" w:hint="eastAsia"/>
          <w:sz w:val="32"/>
          <w:szCs w:val="32"/>
        </w:rPr>
      </w:pPr>
      <w:r>
        <w:rPr>
          <w:rFonts w:ascii="仿宋_GB2312" w:eastAsia="仿宋_GB2312" w:hAnsi="仿宋" w:hint="eastAsia"/>
          <w:bCs/>
          <w:sz w:val="32"/>
          <w:szCs w:val="32"/>
        </w:rPr>
        <w:t>500—1000（含）平方米0.4元/平方米·月</w:t>
      </w:r>
    </w:p>
    <w:p>
      <w:pPr>
        <w:keepNext w:val="0"/>
        <w:keepLines w:val="0"/>
        <w:pageBreakBefore w:val="0"/>
        <w:widowControl w:val="0"/>
        <w:kinsoku/>
        <w:wordWrap/>
        <w:overflowPunct/>
        <w:topLinePunct w:val="0"/>
        <w:autoSpaceDE/>
        <w:autoSpaceDN/>
        <w:bidi w:val="0"/>
        <w:adjustRightInd/>
        <w:snapToGrid/>
        <w:spacing w:line="560" w:lineRule="exact"/>
        <w:ind w:left="0" w:firstLineChars="200" w:firstLine="640"/>
        <w:jc w:val="both"/>
        <w:textAlignment w:val="auto"/>
        <w:rPr>
          <w:rFonts w:ascii="仿宋_GB2312" w:eastAsia="仿宋_GB2312" w:hAnsi="仿宋" w:hint="eastAsia"/>
          <w:sz w:val="32"/>
          <w:szCs w:val="32"/>
        </w:rPr>
      </w:pPr>
      <w:r>
        <w:rPr>
          <w:rFonts w:ascii="仿宋_GB2312" w:eastAsia="仿宋_GB2312" w:hAnsi="仿宋" w:hint="eastAsia"/>
          <w:bCs/>
          <w:sz w:val="32"/>
          <w:szCs w:val="32"/>
        </w:rPr>
        <w:t>1000—5000（含）平方米0.3元/平方米·月</w:t>
      </w:r>
    </w:p>
    <w:p>
      <w:pPr>
        <w:keepNext w:val="0"/>
        <w:keepLines w:val="0"/>
        <w:pageBreakBefore w:val="0"/>
        <w:widowControl w:val="0"/>
        <w:kinsoku/>
        <w:wordWrap/>
        <w:overflowPunct/>
        <w:topLinePunct w:val="0"/>
        <w:autoSpaceDE/>
        <w:autoSpaceDN/>
        <w:bidi w:val="0"/>
        <w:adjustRightInd/>
        <w:snapToGrid/>
        <w:spacing w:line="560" w:lineRule="exact"/>
        <w:ind w:left="0" w:firstLineChars="200" w:firstLine="640"/>
        <w:jc w:val="both"/>
        <w:textAlignment w:val="auto"/>
        <w:rPr>
          <w:rFonts w:ascii="仿宋_GB2312" w:eastAsia="仿宋_GB2312" w:hAnsi="仿宋" w:hint="eastAsia"/>
          <w:sz w:val="32"/>
          <w:szCs w:val="32"/>
        </w:rPr>
      </w:pPr>
      <w:r>
        <w:rPr>
          <w:rFonts w:ascii="仿宋_GB2312" w:eastAsia="仿宋_GB2312" w:hAnsi="仿宋" w:hint="eastAsia"/>
          <w:bCs/>
          <w:sz w:val="32"/>
          <w:szCs w:val="32"/>
        </w:rPr>
        <w:t>5000（含）平方米以上 0.2元/平方米·月</w:t>
      </w:r>
    </w:p>
    <w:p>
      <w:pPr>
        <w:keepNext w:val="0"/>
        <w:keepLines w:val="0"/>
        <w:pageBreakBefore w:val="0"/>
        <w:widowControl w:val="0"/>
        <w:kinsoku/>
        <w:wordWrap/>
        <w:overflowPunct/>
        <w:topLinePunct w:val="0"/>
        <w:autoSpaceDE/>
        <w:autoSpaceDN/>
        <w:bidi w:val="0"/>
        <w:adjustRightInd/>
        <w:snapToGrid/>
        <w:spacing w:line="560" w:lineRule="exact"/>
        <w:ind w:left="0" w:firstLineChars="200" w:firstLine="640"/>
        <w:jc w:val="both"/>
        <w:textAlignment w:val="auto"/>
        <w:rPr>
          <w:rFonts w:ascii="仿宋_GB2312" w:eastAsia="仿宋_GB2312" w:hAnsi="仿宋"/>
          <w:sz w:val="32"/>
          <w:szCs w:val="32"/>
        </w:rPr>
      </w:pPr>
      <w:r>
        <w:rPr>
          <w:rFonts w:ascii="仿宋_GB2312" w:eastAsia="仿宋_GB2312" w:hAnsi="仿宋" w:hint="eastAsia"/>
          <w:bCs/>
          <w:sz w:val="32"/>
          <w:szCs w:val="32"/>
        </w:rPr>
        <w:t>6．餐饮业按营业面积大小实行累进计价收费标准</w:t>
      </w:r>
      <w:r>
        <w:rPr>
          <w:rFonts w:ascii="仿宋_GB2312" w:eastAsia="仿宋_GB2312" w:hAnsi="仿宋" w:hint="eastAsia"/>
          <w:sz w:val="32"/>
          <w:szCs w:val="32"/>
        </w:rPr>
        <w:t>，（待厨余垃圾处置收费征收管理办法出后，执行新收费标准）：</w:t>
      </w:r>
    </w:p>
    <w:p>
      <w:pPr>
        <w:keepNext w:val="0"/>
        <w:keepLines w:val="0"/>
        <w:pageBreakBefore w:val="0"/>
        <w:widowControl w:val="0"/>
        <w:kinsoku/>
        <w:wordWrap/>
        <w:overflowPunct/>
        <w:topLinePunct w:val="0"/>
        <w:autoSpaceDE/>
        <w:autoSpaceDN/>
        <w:bidi w:val="0"/>
        <w:adjustRightInd/>
        <w:snapToGrid/>
        <w:spacing w:line="560" w:lineRule="exact"/>
        <w:ind w:left="0" w:firstLineChars="200" w:firstLine="640"/>
        <w:jc w:val="both"/>
        <w:textAlignment w:val="auto"/>
        <w:rPr>
          <w:rFonts w:ascii="仿宋_GB2312" w:eastAsia="仿宋_GB2312" w:hAnsi="仿宋"/>
          <w:bCs/>
          <w:sz w:val="32"/>
          <w:szCs w:val="32"/>
        </w:rPr>
      </w:pPr>
      <w:r>
        <w:rPr>
          <w:rFonts w:ascii="仿宋_GB2312" w:eastAsia="仿宋_GB2312" w:hAnsi="仿宋" w:hint="eastAsia"/>
          <w:bCs/>
          <w:sz w:val="32"/>
          <w:szCs w:val="32"/>
        </w:rPr>
        <w:t>50（含）平方米以下30元/户·月</w:t>
      </w:r>
    </w:p>
    <w:p>
      <w:pPr>
        <w:keepNext w:val="0"/>
        <w:keepLines w:val="0"/>
        <w:pageBreakBefore w:val="0"/>
        <w:widowControl w:val="0"/>
        <w:kinsoku/>
        <w:wordWrap/>
        <w:overflowPunct/>
        <w:topLinePunct w:val="0"/>
        <w:autoSpaceDE/>
        <w:autoSpaceDN/>
        <w:bidi w:val="0"/>
        <w:adjustRightInd/>
        <w:snapToGrid/>
        <w:spacing w:line="560" w:lineRule="exact"/>
        <w:ind w:left="0" w:firstLineChars="200" w:firstLine="640"/>
        <w:jc w:val="both"/>
        <w:textAlignment w:val="auto"/>
        <w:rPr>
          <w:rFonts w:ascii="仿宋_GB2312" w:eastAsia="仿宋_GB2312" w:hAnsi="仿宋"/>
          <w:bCs/>
          <w:sz w:val="32"/>
          <w:szCs w:val="32"/>
        </w:rPr>
      </w:pPr>
      <w:r>
        <w:rPr>
          <w:rFonts w:ascii="仿宋_GB2312" w:eastAsia="仿宋_GB2312" w:hAnsi="仿宋" w:hint="eastAsia"/>
          <w:bCs/>
          <w:sz w:val="32"/>
          <w:szCs w:val="32"/>
        </w:rPr>
        <w:t>50—100（含）  平方米1.0元/平方米·月</w:t>
      </w:r>
    </w:p>
    <w:p>
      <w:pPr>
        <w:keepNext w:val="0"/>
        <w:keepLines w:val="0"/>
        <w:pageBreakBefore w:val="0"/>
        <w:widowControl w:val="0"/>
        <w:kinsoku/>
        <w:wordWrap/>
        <w:overflowPunct/>
        <w:topLinePunct w:val="0"/>
        <w:autoSpaceDE/>
        <w:autoSpaceDN/>
        <w:bidi w:val="0"/>
        <w:adjustRightInd/>
        <w:snapToGrid/>
        <w:spacing w:line="560" w:lineRule="exact"/>
        <w:ind w:left="0" w:firstLineChars="200" w:firstLine="640"/>
        <w:jc w:val="both"/>
        <w:textAlignment w:val="auto"/>
        <w:rPr>
          <w:rFonts w:ascii="仿宋_GB2312" w:eastAsia="仿宋_GB2312" w:hAnsi="仿宋"/>
          <w:bCs/>
          <w:sz w:val="32"/>
          <w:szCs w:val="32"/>
        </w:rPr>
      </w:pPr>
      <w:r>
        <w:rPr>
          <w:rFonts w:ascii="仿宋_GB2312" w:eastAsia="仿宋_GB2312" w:hAnsi="仿宋" w:hint="eastAsia"/>
          <w:bCs/>
          <w:sz w:val="32"/>
          <w:szCs w:val="32"/>
        </w:rPr>
        <w:t>100—500（含）平方米 0.9元/平方米·月</w:t>
      </w:r>
    </w:p>
    <w:p>
      <w:pPr>
        <w:keepNext w:val="0"/>
        <w:keepLines w:val="0"/>
        <w:pageBreakBefore w:val="0"/>
        <w:widowControl w:val="0"/>
        <w:kinsoku/>
        <w:wordWrap/>
        <w:overflowPunct/>
        <w:topLinePunct w:val="0"/>
        <w:autoSpaceDE/>
        <w:autoSpaceDN/>
        <w:bidi w:val="0"/>
        <w:adjustRightInd/>
        <w:snapToGrid/>
        <w:spacing w:line="560" w:lineRule="exact"/>
        <w:ind w:left="0" w:firstLineChars="200" w:firstLine="640"/>
        <w:jc w:val="both"/>
        <w:textAlignment w:val="auto"/>
        <w:rPr>
          <w:rFonts w:ascii="仿宋_GB2312" w:eastAsia="仿宋_GB2312" w:hAnsi="仿宋"/>
          <w:bCs/>
          <w:sz w:val="32"/>
          <w:szCs w:val="32"/>
        </w:rPr>
      </w:pPr>
      <w:r>
        <w:rPr>
          <w:rFonts w:ascii="仿宋_GB2312" w:eastAsia="仿宋_GB2312" w:hAnsi="仿宋" w:hint="eastAsia"/>
          <w:bCs/>
          <w:sz w:val="32"/>
          <w:szCs w:val="32"/>
        </w:rPr>
        <w:t>500—1000（含）平方米0.8元/平方米·月</w:t>
      </w:r>
    </w:p>
    <w:p>
      <w:pPr>
        <w:keepNext w:val="0"/>
        <w:keepLines w:val="0"/>
        <w:pageBreakBefore w:val="0"/>
        <w:widowControl w:val="0"/>
        <w:kinsoku/>
        <w:wordWrap/>
        <w:overflowPunct/>
        <w:topLinePunct w:val="0"/>
        <w:autoSpaceDE/>
        <w:autoSpaceDN/>
        <w:bidi w:val="0"/>
        <w:adjustRightInd/>
        <w:snapToGrid/>
        <w:spacing w:line="560" w:lineRule="exact"/>
        <w:ind w:left="0" w:firstLineChars="200" w:firstLine="640"/>
        <w:jc w:val="both"/>
        <w:textAlignment w:val="auto"/>
        <w:rPr>
          <w:rFonts w:ascii="仿宋_GB2312" w:eastAsia="仿宋_GB2312" w:hAnsi="仿宋"/>
          <w:bCs/>
          <w:sz w:val="32"/>
          <w:szCs w:val="32"/>
        </w:rPr>
      </w:pPr>
      <w:r>
        <w:rPr>
          <w:rFonts w:ascii="仿宋_GB2312" w:eastAsia="仿宋_GB2312" w:hAnsi="仿宋" w:hint="eastAsia"/>
          <w:bCs/>
          <w:sz w:val="32"/>
          <w:szCs w:val="32"/>
        </w:rPr>
        <w:t>1000—5000（含）平方米0.7元/平方米·月</w:t>
      </w:r>
    </w:p>
    <w:p>
      <w:pPr>
        <w:keepNext w:val="0"/>
        <w:keepLines w:val="0"/>
        <w:pageBreakBefore w:val="0"/>
        <w:widowControl w:val="0"/>
        <w:kinsoku/>
        <w:wordWrap/>
        <w:overflowPunct/>
        <w:topLinePunct w:val="0"/>
        <w:autoSpaceDE/>
        <w:autoSpaceDN/>
        <w:bidi w:val="0"/>
        <w:adjustRightInd/>
        <w:snapToGrid/>
        <w:spacing w:line="560" w:lineRule="exact"/>
        <w:ind w:left="0" w:firstLineChars="200" w:firstLine="640"/>
        <w:jc w:val="both"/>
        <w:textAlignment w:val="auto"/>
        <w:rPr>
          <w:rFonts w:ascii="仿宋_GB2312" w:eastAsia="仿宋_GB2312" w:hAnsi="仿宋" w:hint="eastAsia"/>
          <w:bCs/>
          <w:sz w:val="32"/>
          <w:szCs w:val="32"/>
        </w:rPr>
      </w:pPr>
      <w:r>
        <w:rPr>
          <w:rFonts w:ascii="仿宋_GB2312" w:eastAsia="仿宋_GB2312" w:hAnsi="仿宋" w:hint="eastAsia"/>
          <w:bCs/>
          <w:sz w:val="32"/>
          <w:szCs w:val="32"/>
        </w:rPr>
        <w:t>5000（含）平方米以上 0.5元/平方米·月</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0" w:firstLineChars="200" w:firstLine="640"/>
        <w:jc w:val="both"/>
        <w:textAlignment w:val="auto"/>
        <w:rPr>
          <w:rFonts w:ascii="仿宋_GB2312" w:eastAsia="仿宋_GB2312" w:hAnsi="仿宋" w:hint="eastAsia"/>
          <w:bCs/>
          <w:sz w:val="32"/>
          <w:szCs w:val="32"/>
        </w:rPr>
      </w:pPr>
      <w:r>
        <w:rPr>
          <w:rFonts w:ascii="仿宋_GB2312" w:eastAsia="仿宋_GB2312" w:hAnsi="仿宋" w:hint="eastAsia"/>
          <w:bCs/>
          <w:color w:val="000000"/>
          <w:sz w:val="32"/>
          <w:szCs w:val="32"/>
        </w:rPr>
        <w:t>单位自运到指定垃圾场的，按每吨50元计收。</w:t>
      </w:r>
    </w:p>
    <w:p>
      <w:pPr>
        <w:keepNext w:val="0"/>
        <w:keepLines w:val="0"/>
        <w:pageBreakBefore w:val="0"/>
        <w:widowControl w:val="0"/>
        <w:kinsoku/>
        <w:wordWrap/>
        <w:overflowPunct/>
        <w:topLinePunct w:val="0"/>
        <w:autoSpaceDE/>
        <w:autoSpaceDN/>
        <w:bidi w:val="0"/>
        <w:adjustRightInd/>
        <w:snapToGrid/>
        <w:spacing w:line="560" w:lineRule="exact"/>
        <w:ind w:left="0" w:firstLineChars="200" w:firstLine="640"/>
        <w:jc w:val="both"/>
        <w:textAlignment w:val="auto"/>
        <w:rPr>
          <w:rFonts w:ascii="仿宋_GB2312" w:eastAsia="仿宋_GB2312" w:hAnsi="仿宋" w:hint="eastAsia"/>
          <w:bCs/>
          <w:sz w:val="32"/>
          <w:szCs w:val="32"/>
        </w:rPr>
      </w:pPr>
      <w:r>
        <w:rPr>
          <w:rFonts w:ascii="黑体" w:eastAsia="黑体" w:hAnsi="黑体" w:hint="eastAsia"/>
          <w:bCs/>
          <w:sz w:val="32"/>
          <w:szCs w:val="32"/>
        </w:rPr>
        <w:t>第</w:t>
      </w:r>
      <w:r>
        <w:rPr>
          <w:rFonts w:ascii="黑体" w:eastAsia="黑体" w:hAnsi="黑体" w:hint="eastAsia"/>
          <w:sz w:val="32"/>
          <w:szCs w:val="32"/>
        </w:rPr>
        <w:t>六条：</w:t>
      </w:r>
      <w:r>
        <w:rPr>
          <w:rFonts w:ascii="仿宋_GB2312" w:eastAsia="仿宋_GB2312" w:hAnsi="仿宋" w:hint="eastAsia"/>
          <w:sz w:val="32"/>
          <w:szCs w:val="32"/>
        </w:rPr>
        <w:t>生活垃圾处理费属行政事业性收费，实行收支两条线管理。所收费用专项用于生活垃圾收集、运输、垃圾无害化处理设施的建设、运行以及社会资本投入垃圾处理事业补贴等支出。</w:t>
      </w:r>
    </w:p>
    <w:p>
      <w:pPr>
        <w:keepNext w:val="0"/>
        <w:keepLines w:val="0"/>
        <w:pageBreakBefore w:val="0"/>
        <w:widowControl w:val="0"/>
        <w:kinsoku/>
        <w:wordWrap/>
        <w:overflowPunct/>
        <w:topLinePunct w:val="0"/>
        <w:autoSpaceDE/>
        <w:autoSpaceDN/>
        <w:bidi w:val="0"/>
        <w:adjustRightInd/>
        <w:snapToGrid/>
        <w:spacing w:line="560" w:lineRule="exact"/>
        <w:ind w:left="0" w:firstLineChars="200" w:firstLine="640"/>
        <w:jc w:val="both"/>
        <w:textAlignment w:val="auto"/>
        <w:rPr>
          <w:rFonts w:ascii="仿宋_GB2312" w:eastAsia="仿宋_GB2312" w:hAnsi="仿宋"/>
          <w:bCs/>
          <w:sz w:val="32"/>
          <w:szCs w:val="32"/>
        </w:rPr>
      </w:pPr>
      <w:r>
        <w:rPr>
          <w:rFonts w:ascii="黑体" w:eastAsia="黑体" w:hAnsi="黑体" w:hint="eastAsia"/>
          <w:sz w:val="32"/>
          <w:szCs w:val="32"/>
        </w:rPr>
        <w:t>第七条：</w:t>
      </w:r>
      <w:r>
        <w:rPr>
          <w:rFonts w:ascii="仿宋_GB2312" w:eastAsia="仿宋_GB2312" w:hAnsi="仿宋" w:hint="eastAsia"/>
          <w:bCs/>
          <w:sz w:val="32"/>
          <w:szCs w:val="32"/>
        </w:rPr>
        <w:t>对受委托代收单位可按实际征收额给予7%—10%的代征手续费，专项用于征收业务费，具体数额及比例由财政部门按照委托征收单位代征情况予以核定，并纳入财政预算。</w:t>
      </w:r>
    </w:p>
    <w:p>
      <w:pPr>
        <w:keepNext w:val="0"/>
        <w:keepLines w:val="0"/>
        <w:pageBreakBefore w:val="0"/>
        <w:widowControl w:val="0"/>
        <w:kinsoku/>
        <w:wordWrap/>
        <w:overflowPunct/>
        <w:topLinePunct w:val="0"/>
        <w:autoSpaceDE/>
        <w:autoSpaceDN/>
        <w:bidi w:val="0"/>
        <w:adjustRightInd/>
        <w:snapToGrid/>
        <w:spacing w:line="560" w:lineRule="exact"/>
        <w:ind w:left="0" w:firstLineChars="200" w:firstLine="640"/>
        <w:jc w:val="both"/>
        <w:textAlignment w:val="auto"/>
        <w:rPr>
          <w:rFonts w:ascii="仿宋_GB2312" w:eastAsia="仿宋_GB2312" w:hAnsi="仿宋"/>
          <w:sz w:val="32"/>
          <w:szCs w:val="32"/>
        </w:rPr>
      </w:pPr>
      <w:r>
        <w:rPr>
          <w:rFonts w:ascii="黑体" w:eastAsia="黑体" w:hAnsi="黑体" w:hint="eastAsia"/>
          <w:sz w:val="32"/>
          <w:szCs w:val="32"/>
        </w:rPr>
        <w:t>第八条：</w:t>
      </w:r>
      <w:r>
        <w:rPr>
          <w:rFonts w:ascii="仿宋_GB2312" w:eastAsia="仿宋_GB2312" w:hAnsi="仿宋" w:hint="eastAsia"/>
          <w:sz w:val="32"/>
          <w:szCs w:val="32"/>
        </w:rPr>
        <w:t>对拒不缴纳或弄虚作假少缴纳生活垃圾处理费的单位和个人，</w:t>
      </w:r>
      <w:r>
        <w:rPr>
          <w:rFonts w:ascii="仿宋_GB2312" w:eastAsia="仿宋_GB2312" w:hAnsi="仿宋" w:hint="eastAsia"/>
          <w:bCs/>
          <w:sz w:val="32"/>
          <w:szCs w:val="32"/>
        </w:rPr>
        <w:t>城管执法局</w:t>
      </w:r>
      <w:r>
        <w:rPr>
          <w:rFonts w:ascii="仿宋_GB2312" w:eastAsia="仿宋_GB2312" w:hAnsi="仿宋" w:hint="eastAsia"/>
          <w:sz w:val="32"/>
          <w:szCs w:val="32"/>
        </w:rPr>
        <w:t>可依据《城市生活垃圾管理办法》相关规定予以处罚。</w:t>
      </w:r>
    </w:p>
    <w:p>
      <w:pPr>
        <w:keepNext w:val="0"/>
        <w:keepLines w:val="0"/>
        <w:pageBreakBefore w:val="0"/>
        <w:widowControl w:val="0"/>
        <w:kinsoku/>
        <w:wordWrap/>
        <w:overflowPunct/>
        <w:topLinePunct w:val="0"/>
        <w:autoSpaceDE/>
        <w:autoSpaceDN/>
        <w:bidi w:val="0"/>
        <w:adjustRightInd/>
        <w:snapToGrid/>
        <w:spacing w:line="560" w:lineRule="exact"/>
        <w:ind w:left="0" w:firstLineChars="200" w:firstLine="640"/>
        <w:jc w:val="both"/>
        <w:textAlignment w:val="auto"/>
        <w:rPr>
          <w:rFonts w:ascii="仿宋_GB2312" w:eastAsia="仿宋_GB2312" w:hAnsi="仿宋"/>
          <w:sz w:val="32"/>
          <w:szCs w:val="32"/>
        </w:rPr>
      </w:pPr>
      <w:r>
        <w:rPr>
          <w:rFonts w:ascii="黑体" w:eastAsia="黑体" w:hAnsi="黑体" w:hint="eastAsia"/>
          <w:sz w:val="32"/>
          <w:szCs w:val="32"/>
        </w:rPr>
        <w:t>第九条：</w:t>
      </w:r>
      <w:r>
        <w:rPr>
          <w:rFonts w:ascii="仿宋_GB2312" w:eastAsia="仿宋_GB2312" w:hAnsi="仿宋" w:hint="eastAsia"/>
          <w:sz w:val="32"/>
          <w:szCs w:val="32"/>
        </w:rPr>
        <w:t>违反价格法、生活垃圾处理费专款专用规定以及有关财务规定的单位和个人，依照有关法律、法规予以查处，情节严重的，追究法律责任。</w:t>
      </w:r>
    </w:p>
    <w:p>
      <w:pPr>
        <w:keepNext w:val="0"/>
        <w:keepLines w:val="0"/>
        <w:pageBreakBefore w:val="0"/>
        <w:widowControl w:val="0"/>
        <w:kinsoku/>
        <w:wordWrap/>
        <w:overflowPunct/>
        <w:topLinePunct w:val="0"/>
        <w:autoSpaceDE/>
        <w:autoSpaceDN/>
        <w:bidi w:val="0"/>
        <w:adjustRightInd/>
        <w:snapToGrid/>
        <w:spacing w:line="560" w:lineRule="exact"/>
        <w:ind w:left="0" w:firstLineChars="200" w:firstLine="640"/>
        <w:jc w:val="both"/>
        <w:textAlignment w:val="auto"/>
        <w:rPr>
          <w:rFonts w:ascii="仿宋_GB2312" w:eastAsia="仿宋_GB2312" w:hAnsi="仿宋" w:hint="eastAsia"/>
          <w:sz w:val="32"/>
          <w:szCs w:val="32"/>
        </w:rPr>
      </w:pPr>
      <w:r>
        <w:rPr>
          <w:rFonts w:ascii="黑体" w:eastAsia="黑体" w:hAnsi="黑体" w:hint="eastAsia"/>
          <w:sz w:val="32"/>
          <w:szCs w:val="32"/>
        </w:rPr>
        <w:t>第十条：</w:t>
      </w:r>
      <w:r>
        <w:rPr>
          <w:rFonts w:ascii="仿宋_GB2312" w:eastAsia="仿宋_GB2312" w:hAnsi="仿宋" w:hint="eastAsia"/>
          <w:sz w:val="32"/>
          <w:szCs w:val="32"/>
        </w:rPr>
        <w:t>符合相关法律政策文件应予以免除行政事业性收费的项目，对享受国家定期抚恤补助的优抚户或持有特困证的特困户、低保户及经有关部门批准的停产半停产企业在停产期间，学校在寒暑假期间，予以免征。</w:t>
      </w:r>
    </w:p>
    <w:p>
      <w:pPr>
        <w:keepNext w:val="0"/>
        <w:keepLines w:val="0"/>
        <w:pageBreakBefore w:val="0"/>
        <w:widowControl w:val="0"/>
        <w:kinsoku/>
        <w:wordWrap/>
        <w:overflowPunct/>
        <w:topLinePunct w:val="0"/>
        <w:autoSpaceDE/>
        <w:autoSpaceDN/>
        <w:bidi w:val="0"/>
        <w:adjustRightInd/>
        <w:snapToGrid/>
        <w:spacing w:line="560" w:lineRule="exact"/>
        <w:ind w:left="0" w:firstLineChars="200" w:firstLine="640"/>
        <w:jc w:val="both"/>
        <w:textAlignment w:val="auto"/>
        <w:rPr>
          <w:rFonts w:ascii="仿宋_GB2312" w:eastAsia="仿宋_GB2312" w:hAnsi="仿宋" w:hint="eastAsia"/>
          <w:sz w:val="32"/>
          <w:szCs w:val="32"/>
        </w:rPr>
      </w:pPr>
      <w:r>
        <w:rPr>
          <w:rFonts w:ascii="黑体" w:eastAsia="黑体" w:hAnsi="黑体" w:hint="eastAsia"/>
          <w:sz w:val="32"/>
          <w:szCs w:val="32"/>
        </w:rPr>
        <w:t>第十一条：</w:t>
      </w:r>
      <w:r>
        <w:rPr>
          <w:rFonts w:ascii="仿宋_GB2312" w:eastAsia="仿宋_GB2312" w:hint="eastAsia"/>
          <w:sz w:val="32"/>
          <w:szCs w:val="32"/>
        </w:rPr>
        <w:t>2023年9月30日前征收的建筑垃圾处理费执行《石家庄市城镇垃圾处理费征收管理办法》，2023年10月1日后执行《河北省发展和改革委员会河北省财政厅关于放开建筑垃圾处理收费标准等事项的通知》（冀发改公价〔2023〕1083号）</w:t>
      </w:r>
    </w:p>
    <w:p>
      <w:pPr>
        <w:keepNext w:val="0"/>
        <w:keepLines w:val="0"/>
        <w:pageBreakBefore w:val="0"/>
        <w:widowControl w:val="0"/>
        <w:kinsoku/>
        <w:wordWrap/>
        <w:overflowPunct/>
        <w:topLinePunct w:val="0"/>
        <w:autoSpaceDE/>
        <w:autoSpaceDN/>
        <w:bidi w:val="0"/>
        <w:adjustRightInd/>
        <w:snapToGrid/>
        <w:spacing w:line="560" w:lineRule="exact"/>
        <w:ind w:left="0" w:firstLineChars="200" w:firstLine="640"/>
        <w:jc w:val="both"/>
        <w:textAlignment w:val="auto"/>
        <w:rPr>
          <w:rFonts w:ascii="仿宋_GB2312" w:eastAsia="仿宋_GB2312" w:hAnsi="仿宋"/>
          <w:sz w:val="32"/>
          <w:szCs w:val="32"/>
        </w:rPr>
      </w:pPr>
      <w:r>
        <w:rPr>
          <w:rFonts w:ascii="黑体" w:eastAsia="黑体" w:hAnsi="黑体" w:hint="eastAsia"/>
          <w:sz w:val="32"/>
          <w:szCs w:val="32"/>
        </w:rPr>
        <w:t>第十二条：</w:t>
      </w:r>
      <w:r>
        <w:rPr>
          <w:rFonts w:ascii="仿宋_GB2312" w:eastAsia="仿宋_GB2312" w:hAnsi="仿宋" w:hint="eastAsia"/>
          <w:sz w:val="32"/>
          <w:szCs w:val="32"/>
        </w:rPr>
        <w:t>本办法有效期自2024年1月1日起至2027年12月31日止。2018年7月24日晋州市人民政府办公室印发的《晋州市城镇垃圾处理费征收管理办法》（晋政办函 〔2018〕 34号）同时废止。</w:t>
      </w:r>
    </w:p>
    <w:p>
      <w:pPr>
        <w:keepNext w:val="0"/>
        <w:keepLines w:val="0"/>
        <w:pageBreakBefore w:val="0"/>
        <w:widowControl w:val="0"/>
        <w:kinsoku/>
        <w:wordWrap/>
        <w:overflowPunct/>
        <w:topLinePunct w:val="0"/>
        <w:autoSpaceDE/>
        <w:autoSpaceDN/>
        <w:bidi w:val="0"/>
        <w:adjustRightInd/>
        <w:snapToGrid/>
        <w:spacing w:line="560" w:lineRule="exact"/>
        <w:ind w:left="0" w:firstLineChars="200" w:firstLine="420"/>
        <w:jc w:val="both"/>
        <w:textAlignment w:val="auto"/>
        <w:rPr>
          <w:rFonts w:ascii="仿宋_GB2312" w:eastAsia="仿宋_GB2312" w:hAnsi="仿宋"/>
        </w:rPr>
      </w:pPr>
      <w:r>
        <w:rPr>
          <w:rFonts w:ascii="仿宋_GB2312" w:eastAsia="仿宋_GB2312" w:hAnsi="仿宋" w:hint="eastAsia"/>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firstLineChars="200" w:firstLine="420"/>
        <w:jc w:val="both"/>
        <w:textAlignment w:val="auto"/>
        <w:rPr>
          <w:rFonts w:ascii="仿宋_GB2312" w:eastAsia="仿宋_GB2312" w:hAnsi="仿宋"/>
        </w:rPr>
      </w:pPr>
      <w:r>
        <w:rPr>
          <w:rFonts w:ascii="仿宋_GB2312" w:eastAsia="仿宋_GB2312" w:hAnsi="仿宋" w:hint="eastAsia"/>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firstLineChars="200" w:firstLine="420"/>
        <w:jc w:val="both"/>
        <w:textAlignment w:val="auto"/>
        <w:rPr>
          <w:rFonts w:ascii="仿宋_GB2312" w:eastAsia="仿宋_GB2312" w:hAnsi="仿宋"/>
        </w:rPr>
      </w:pPr>
      <w:r>
        <w:rPr>
          <w:rFonts w:ascii="仿宋_GB2312" w:eastAsia="仿宋_GB2312" w:hAnsi="仿宋" w:hint="eastAsia"/>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firstLineChars="200" w:firstLine="420"/>
        <w:jc w:val="both"/>
        <w:textAlignment w:val="auto"/>
        <w:rPr>
          <w:rFonts w:ascii="仿宋_GB2312" w:eastAsia="仿宋_GB2312" w:hAnsi="仿宋"/>
        </w:rPr>
      </w:pPr>
      <w:r>
        <w:rPr>
          <w:rFonts w:ascii="仿宋_GB2312" w:eastAsia="仿宋_GB2312" w:hAnsi="仿宋" w:hint="eastAsia"/>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firstLineChars="200" w:firstLine="420"/>
        <w:jc w:val="both"/>
        <w:textAlignment w:val="auto"/>
        <w:rPr>
          <w:rFonts w:ascii="仿宋" w:eastAsia="仿宋" w:hAnsi="仿宋"/>
        </w:rPr>
      </w:pPr>
    </w:p>
    <w:sectPr>
      <w:footerReference w:type="default" r:id="rId2"/>
      <w:footerReference w:type="even" r:id="rId3"/>
      <w:footerReference w:type="first" r:id="rId4"/>
      <w:pgSz w:w="11906" w:h="16838"/>
      <w:pgMar w:top="2041" w:right="1531" w:bottom="2041" w:left="1531" w:header="851" w:footer="992" w:gutter="0"/>
      <w:pgNumType/>
      <w:cols w:num="1" w:space="720"/>
      <w:docGrid w:type="lines" w:linePitch="312" w:charSpace="0"/>
    </w:sectPr>
  </w:body>
</w:document>
</file>

<file path=word/fontTable.xml><?xml version="1.0" encoding="utf-8"?>
<w:fonts xmlns:w="http://schemas.openxmlformats.org/wordprocessingml/2006/main" xmlns:r="http://schemas.openxmlformats.org/officeDocument/2006/relationships">
  <w:font w:name="方正小标宋简体">
    <w:panose1 w:val="03000509000000000000"/>
    <w:charset w:val="86"/>
    <w:family w:val="script"/>
    <w:pitch w:val="variable"/>
    <w:sig w:usb0="00000001" w:usb1="080E0000" w:usb2="00000000" w:usb3="00000000" w:csb0="00040000" w:csb1="00000000"/>
  </w:font>
  <w:font w:name="仿宋_GB2312">
    <w:panose1 w:val="02010609030101010101"/>
    <w:charset w:val="86"/>
    <w:family w:val="modern"/>
    <w:pitch w:val="variable"/>
    <w:sig w:usb0="00000001" w:usb1="080E0000" w:usb2="00000000" w:usb3="00000000" w:csb0="00040000" w:csb1="00000000"/>
  </w:font>
  <w:font w:name="仿宋">
    <w:panose1 w:val="02010609060101010101"/>
    <w:charset w:val="86"/>
    <w:family w:val="modern"/>
    <w:pitch w:val="variable"/>
    <w:sig w:usb0="800002BF" w:usb1="38CF7CFA" w:usb2="00000016" w:usb3="00000000" w:csb0="00040001" w:csb1="00000000"/>
  </w:font>
  <w:font w:name="Arial">
    <w:panose1 w:val="020B0604020202020204"/>
    <w:charset w:val="01"/>
    <w:family w:val="swiss"/>
    <w:pitch w:val="variable"/>
    <w:sig w:usb0="E0002AFF" w:usb1="C0007843" w:usb2="00000009" w:usb3="00000000" w:csb0="400001FF" w:csb1="FFFF0000"/>
  </w:font>
  <w:font w:name="黑体">
    <w:panose1 w:val="02010609060101010101"/>
    <w:charset w:val="86"/>
    <w:family w:val="auto"/>
    <w:pitch w:val="variable"/>
    <w:sig w:usb0="800002BF" w:usb1="38CF7CFA" w:usb2="00000016" w:usb3="00000000" w:csb0="00040001" w:csb1="00000000"/>
  </w:font>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variable"/>
    <w:sig w:usb0="00000003" w:usb1="288F0000" w:usb2="00000006" w:usb3="00000000" w:csb0="00040001" w:csb1="00000000"/>
  </w:font>
  <w:font w:name="Luxi Sans">
    <w:altName w:val="仿宋"/>
    <w:panose1 w:val="00000000000000000000"/>
    <w:charset w:val="00"/>
    <w:family w:val="auto"/>
    <w:pitch w:val="variable"/>
    <w:sig w:usb0="00000000" w:usb1="00000000" w:usb2="00000000" w:usb3="00000000" w:csb0="00000000"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6"/>
      <w:framePr w:w="0" w:hRule="auto" w:wrap="around" w:vAnchor="text" w:hAnchor="margin" w:xAlign="center" w:y="1" w:anchorLock="0"/>
      <w:pBdr>
        <w:top w:val="none" w:sz="0" w:space="0" w:color="auto"/>
        <w:left w:val="none" w:sz="0" w:space="0" w:color="auto"/>
        <w:bottom w:val="none" w:sz="0" w:space="0" w:color="auto"/>
        <w:right w:val="none" w:sz="0" w:space="0" w:color="auto"/>
      </w:pBdr>
      <w:tabs>
        <w:tab w:val="center" w:pos="4153"/>
        <w:tab w:val="right" w:pos="8306"/>
      </w:tabs>
    </w:pPr>
    <w:r>
      <w:rPr>
        <w:rStyle w:val="43"/>
      </w:rPr>
      <w:fldChar w:fldCharType="begin"/>
    </w:r>
    <w:r>
      <w:rPr>
        <w:rStyle w:val="43"/>
      </w:rPr>
      <w:instrText>Page</w:instrText>
    </w:r>
    <w:r>
      <w:rPr>
        <w:rStyle w:val="43"/>
      </w:rPr>
      <w:fldChar w:fldCharType="separate"/>
    </w:r>
    <w:r>
      <w:rPr>
        <w:rStyle w:val="43"/>
      </w:rPr>
      <w:t>1</w:t>
    </w:r>
    <w:r>
      <w:rPr>
        <w:rStyle w:val="43"/>
      </w:rPr>
      <w:fldChar w:fldCharType="end"/>
    </w:r>
  </w:p>
  <w:p>
    <w:pPr>
      <w:pStyle w:val="16"/>
      <w:tabs>
        <w:tab w:val="center" w:pos="4153"/>
        <w:tab w:val="right" w:pos="8306"/>
      </w:tabs>
    </w:pP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6"/>
      <w:framePr w:w="0" w:hRule="auto" w:wrap="around" w:vAnchor="text" w:hAnchor="margin" w:xAlign="center" w:y="1" w:anchorLock="0"/>
      <w:pBdr>
        <w:top w:val="none" w:sz="0" w:space="0" w:color="auto"/>
        <w:left w:val="none" w:sz="0" w:space="0" w:color="auto"/>
        <w:bottom w:val="none" w:sz="0" w:space="0" w:color="auto"/>
        <w:right w:val="none" w:sz="0" w:space="0" w:color="auto"/>
      </w:pBdr>
      <w:tabs>
        <w:tab w:val="center" w:pos="4153"/>
        <w:tab w:val="right" w:pos="8306"/>
      </w:tabs>
    </w:pPr>
    <w:r>
      <w:rPr>
        <w:rStyle w:val="43"/>
      </w:rPr>
      <w:fldChar w:fldCharType="begin"/>
    </w:r>
    <w:r>
      <w:rPr>
        <w:rStyle w:val="43"/>
      </w:rPr>
      <w:instrText>Page</w:instrText>
    </w:r>
    <w:r>
      <w:rPr>
        <w:rStyle w:val="43"/>
      </w:rPr>
      <w:fldChar w:fldCharType="separate"/>
    </w:r>
    <w:r>
      <w:rPr>
        <w:rStyle w:val="43"/>
      </w:rPr>
      <w:t>1</w:t>
    </w:r>
    <w:r>
      <w:rPr>
        <w:rStyle w:val="43"/>
      </w:rPr>
      <w:fldChar w:fldCharType="end"/>
    </w:r>
  </w:p>
  <w:p>
    <w:pPr>
      <w:pStyle w:val="16"/>
      <w:tabs>
        <w:tab w:val="center" w:pos="4153"/>
        <w:tab w:val="right" w:pos="8306"/>
      </w:tabs>
    </w:pPr>
  </w:p>
</w:ftr>
</file>

<file path=word/footer3.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6"/>
      <w:framePr w:w="0" w:hRule="auto" w:wrap="around" w:vAnchor="text" w:hAnchor="margin" w:xAlign="center" w:y="1" w:anchorLock="0"/>
      <w:pBdr>
        <w:top w:val="none" w:sz="0" w:space="0" w:color="auto"/>
        <w:left w:val="none" w:sz="0" w:space="0" w:color="auto"/>
        <w:bottom w:val="none" w:sz="0" w:space="0" w:color="auto"/>
        <w:right w:val="none" w:sz="0" w:space="0" w:color="auto"/>
      </w:pBdr>
      <w:tabs>
        <w:tab w:val="center" w:pos="4153"/>
        <w:tab w:val="right" w:pos="8306"/>
      </w:tabs>
    </w:pPr>
    <w:r>
      <w:rPr>
        <w:rStyle w:val="43"/>
      </w:rPr>
      <w:fldChar w:fldCharType="begin"/>
    </w:r>
    <w:r>
      <w:rPr>
        <w:rStyle w:val="43"/>
      </w:rPr>
      <w:instrText>Page</w:instrText>
    </w:r>
    <w:r>
      <w:rPr>
        <w:rStyle w:val="43"/>
      </w:rPr>
      <w:fldChar w:fldCharType="separate"/>
    </w:r>
    <w:r>
      <w:rPr>
        <w:rStyle w:val="43"/>
      </w:rPr>
      <w:t>1</w:t>
    </w:r>
    <w:r>
      <w:rPr>
        <w:rStyle w:val="43"/>
      </w:rPr>
      <w:fldChar w:fldCharType="end"/>
    </w:r>
  </w:p>
  <w:p>
    <w:pPr>
      <w:pStyle w:val="16"/>
      <w:tabs>
        <w:tab w:val="center" w:pos="4153"/>
        <w:tab w:val="right" w:pos="8306"/>
      </w:tabs>
    </w:pPr>
  </w:p>
</w:ftr>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11EF3DF6"/>
    <w:multiLevelType w:val="singleLevel"/>
    <w:tmpl w:val="11EF3DF6"/>
    <w:lvl w:ilvl="0">
      <w:start w:val="4"/>
      <w:numFmt w:val="chineseCounting"/>
      <w:lvlRestart w:val="0"/>
      <w:suff w:val="nothing"/>
      <w:lvlText w:val="（%1）"/>
      <w:lvlJc w:val="left"/>
      <w:pPr/>
      <w:rPr>
        <w:rFonts w:hint="eastAsia"/>
      </w:rPr>
    </w:lvl>
  </w:abstractNum>
  <w:num w:numId="1">
    <w:abstractNumId w:val="0"/>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documentProtection w:edit="readOnly"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compatSetting w:name="compatibilityMode" w:uri="http://schemas.microsoft.com/office/word" w:val="14"/>
  </w:compat>
  <w:docVars>
    <w:docVar w:name="commondata" w:val="eyJoZGlkIjoiOTFmYmVlMTAzMzRkZDcxZDE4ZWVkNjk1NmJmMDFhOWYifQ=="/>
  </w:docVars>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pPr>
      <w:widowControl w:val="0"/>
      <w:jc w:val="both"/>
    </w:pPr>
    <w:rPr>
      <w:rFonts w:ascii="Times New Roman" w:eastAsia="宋体" w:cs="Times New Roman" w:hAnsi="Times New Roman"/>
      <w:kern w:val="2"/>
      <w:sz w:val="21"/>
      <w:szCs w:val="21"/>
      <w:lang w:val="en-US" w:eastAsia="zh-CN" w:bidi="ar-SA"/>
    </w:rPr>
  </w:style>
  <w:style w:type="paragraph" w:styleId="1">
    <w:name w:val="heading 1"/>
    <w:basedOn w:val="0"/>
    <w:autoRedefine/>
    <w:next w:val="0"/>
    <w:pPr>
      <w:keepNext/>
      <w:keepLines/>
      <w:widowControl w:val="0"/>
      <w:spacing w:before="340" w:after="330" w:line="578" w:lineRule="auto"/>
      <w:outlineLvl w:val="0"/>
    </w:pPr>
    <w:rPr>
      <w:b/>
      <w:bCs/>
      <w:kern w:val="44"/>
      <w:sz w:val="44"/>
    </w:rPr>
  </w:style>
  <w:style w:type="paragraph" w:styleId="2">
    <w:name w:val="heading 2"/>
    <w:basedOn w:val="0"/>
    <w:autoRedefine/>
    <w:next w:val="0"/>
    <w:pPr>
      <w:keepNext/>
      <w:keepLines/>
      <w:widowControl w:val="0"/>
      <w:spacing w:before="260" w:after="260" w:line="415" w:lineRule="auto"/>
      <w:outlineLvl w:val="1"/>
    </w:pPr>
    <w:rPr>
      <w:rFonts w:ascii="Luxi Sans" w:eastAsia="黑体" w:hAnsi="Luxi Sans"/>
      <w:b/>
      <w:sz w:val="32"/>
    </w:rPr>
  </w:style>
  <w:style w:type="paragraph" w:styleId="3">
    <w:name w:val="heading 3"/>
    <w:basedOn w:val="0"/>
    <w:next w:val="0"/>
    <w:pPr>
      <w:keepNext/>
      <w:keepLines/>
      <w:widowControl w:val="0"/>
      <w:spacing w:before="260" w:after="260" w:line="415" w:lineRule="auto"/>
      <w:outlineLvl w:val="2"/>
    </w:pPr>
    <w:rPr>
      <w:b/>
      <w:sz w:val="32"/>
    </w:rPr>
  </w:style>
  <w:style w:type="character" w:default="1" w:styleId="10">
    <w:name w:val="Default Paragraph Font"/>
    <w:autoRedefine/>
  </w:style>
  <w:style w:type="paragraph" w:styleId="15">
    <w:name w:val="Body Text"/>
    <w:basedOn w:val="0"/>
    <w:rPr>
      <w:sz w:val="32"/>
      <w:szCs w:val="32"/>
    </w:rPr>
  </w:style>
  <w:style w:type="paragraph" w:styleId="16">
    <w:name w:val="footer"/>
    <w:basedOn w:val="0"/>
    <w:autoRedefine/>
    <w:pPr>
      <w:tabs>
        <w:tab w:val="center" w:pos="4153"/>
        <w:tab w:val="right" w:pos="8306"/>
      </w:tabs>
      <w:snapToGrid w:val="0"/>
      <w:jc w:val="left"/>
    </w:pPr>
    <w:rPr>
      <w:sz w:val="18"/>
      <w:szCs w:val="18"/>
    </w:rPr>
  </w:style>
  <w:style w:type="paragraph" w:styleId="17">
    <w:name w:val="header"/>
    <w:basedOn w:val="0"/>
    <w:pPr>
      <w:pBdr>
        <w:bottom w:val="single" w:sz="6" w:space="1" w:color="auto"/>
      </w:pBdr>
      <w:tabs>
        <w:tab w:val="center" w:pos="4153"/>
        <w:tab w:val="right" w:pos="8306"/>
      </w:tabs>
      <w:snapToGrid w:val="0"/>
      <w:jc w:val="center"/>
    </w:pPr>
    <w:rPr>
      <w:sz w:val="18"/>
      <w:szCs w:val="18"/>
    </w:rPr>
  </w:style>
  <w:style w:type="character" w:styleId="43">
    <w:name w:val="page number"/>
    <w:basedOn w:val="10"/>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footer" Target="footer3.xml"/><Relationship Id="rId5" Type="http://schemas.openxmlformats.org/officeDocument/2006/relationships/styles" Target="styles.xml"/><Relationship Id="rId6" Type="http://schemas.openxmlformats.org/officeDocument/2006/relationships/numbering" Target="numbering.xml"/><Relationship Id="rId7" Type="http://schemas.openxmlformats.org/officeDocument/2006/relationships/fontTable" Target="fontTable.xml"/><Relationship Id="rId8"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C04B27B2-317E-4969-979B-21331683EA32}">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43</TotalTime>
  <Application>Yozo_Office27021597764231179</Application>
  <Pages>5</Pages>
  <Words>0</Words>
  <Characters>1742</Characters>
  <Lines>0</Lines>
  <Paragraphs>47</Paragraphs>
  <CharactersWithSpaces>2323</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123</dc:creator>
  <cp:lastModifiedBy>Administrator</cp:lastModifiedBy>
  <cp:revision>74</cp:revision>
  <cp:lastPrinted>2024-01-25T08:45:00Z</cp:lastPrinted>
  <dcterms:created xsi:type="dcterms:W3CDTF">2022-10-23T17:25:00Z</dcterms:created>
  <dcterms:modified xsi:type="dcterms:W3CDTF">2024-03-07T09:29:17Z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2052-12.1.0.16250</vt:lpwstr>
  </property>
  <property fmtid="{D5CDD505-2E9C-101B-9397-08002B2CF9AE}" pid="3" name="ICV">
    <vt:lpwstr>6F50DD3C18854D43821233C3929F6092_13</vt:lpwstr>
  </property>
</Properties>
</file>