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val="0"/>
        <w:kinsoku/>
        <w:wordWrap/>
        <w:overflowPunct/>
        <w:topLinePunct w:val="0"/>
        <w:autoSpaceDE w:val="0"/>
        <w:autoSpaceDN w:val="0"/>
        <w:bidi w:val="0"/>
        <w:adjustRightInd/>
        <w:snapToGrid/>
        <w:spacing w:before="0" w:beforeLines="0" w:after="0" w:afterLines="0" w:line="640" w:lineRule="exact"/>
        <w:ind w:left="0" w:leftChars="0" w:right="0" w:rightChars="0" w:firstLine="0" w:firstLineChars="0"/>
        <w:jc w:val="both"/>
        <w:textAlignment w:val="auto"/>
        <w:outlineLvl w:val="1"/>
        <w:rPr>
          <w:rFonts w:hint="eastAsia" w:ascii="黑体" w:hAnsi="黑体" w:eastAsia="黑体" w:cs="黑体"/>
          <w:b w:val="0"/>
          <w:bCs/>
          <w:spacing w:val="-1"/>
          <w:w w:val="95"/>
          <w:sz w:val="32"/>
          <w:szCs w:val="32"/>
          <w:lang w:eastAsia="zh-CN"/>
        </w:rPr>
      </w:pPr>
      <w:r>
        <w:rPr>
          <w:rFonts w:hint="eastAsia" w:ascii="黑体" w:hAnsi="黑体" w:eastAsia="黑体" w:cs="黑体"/>
          <w:b w:val="0"/>
          <w:bCs/>
          <w:spacing w:val="-1"/>
          <w:w w:val="95"/>
          <w:sz w:val="32"/>
          <w:szCs w:val="32"/>
          <w:lang w:eastAsia="zh-CN"/>
        </w:rPr>
        <w:t>附件</w:t>
      </w:r>
      <w:r>
        <w:rPr>
          <w:rFonts w:hint="eastAsia" w:ascii="黑体" w:hAnsi="黑体" w:eastAsia="黑体" w:cs="黑体"/>
          <w:b w:val="0"/>
          <w:bCs/>
          <w:spacing w:val="-1"/>
          <w:w w:val="95"/>
          <w:sz w:val="32"/>
          <w:szCs w:val="32"/>
          <w:lang w:val="en-US" w:eastAsia="zh-CN"/>
        </w:rPr>
        <w:t>1</w:t>
      </w:r>
    </w:p>
    <w:p>
      <w:pPr>
        <w:pStyle w:val="3"/>
        <w:keepNext w:val="0"/>
        <w:keepLines w:val="0"/>
        <w:pageBreakBefore w:val="0"/>
        <w:widowControl w:val="0"/>
        <w:kinsoku/>
        <w:wordWrap/>
        <w:overflowPunct/>
        <w:topLinePunct w:val="0"/>
        <w:autoSpaceDE w:val="0"/>
        <w:autoSpaceDN w:val="0"/>
        <w:bidi w:val="0"/>
        <w:adjustRightInd/>
        <w:snapToGrid/>
        <w:spacing w:before="0" w:beforeLines="0" w:after="0" w:afterLines="0" w:line="640" w:lineRule="exact"/>
        <w:ind w:left="0" w:leftChars="0" w:right="0" w:rightChars="0" w:firstLine="0" w:firstLineChars="0"/>
        <w:jc w:val="center"/>
        <w:textAlignment w:val="auto"/>
        <w:outlineLvl w:val="1"/>
        <w:rPr>
          <w:rFonts w:hint="eastAsia" w:ascii="方正小标宋简体" w:hAnsi="方正小标宋简体" w:eastAsia="方正小标宋简体" w:cs="方正小标宋简体"/>
          <w:b w:val="0"/>
          <w:bCs/>
          <w:spacing w:val="-1"/>
          <w:w w:val="95"/>
          <w:sz w:val="44"/>
          <w:szCs w:val="44"/>
          <w:lang w:eastAsia="zh-CN"/>
        </w:rPr>
      </w:pPr>
    </w:p>
    <w:p>
      <w:pPr>
        <w:pStyle w:val="3"/>
        <w:keepNext w:val="0"/>
        <w:keepLines w:val="0"/>
        <w:pageBreakBefore w:val="0"/>
        <w:widowControl w:val="0"/>
        <w:kinsoku/>
        <w:wordWrap/>
        <w:overflowPunct/>
        <w:topLinePunct w:val="0"/>
        <w:autoSpaceDE w:val="0"/>
        <w:autoSpaceDN w:val="0"/>
        <w:bidi w:val="0"/>
        <w:adjustRightInd/>
        <w:snapToGrid/>
        <w:spacing w:before="0" w:beforeLines="0" w:after="0" w:afterLines="0" w:line="640" w:lineRule="exact"/>
        <w:ind w:left="0" w:leftChars="0" w:right="0" w:rightChars="0" w:firstLine="0" w:firstLineChars="0"/>
        <w:jc w:val="center"/>
        <w:textAlignment w:val="auto"/>
        <w:outlineLvl w:val="1"/>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pacing w:val="-1"/>
          <w:w w:val="95"/>
          <w:sz w:val="44"/>
          <w:szCs w:val="44"/>
          <w:lang w:eastAsia="zh-CN"/>
        </w:rPr>
        <w:t>晋州</w:t>
      </w:r>
      <w:r>
        <w:rPr>
          <w:rFonts w:hint="eastAsia" w:ascii="方正小标宋简体" w:hAnsi="方正小标宋简体" w:eastAsia="方正小标宋简体" w:cs="方正小标宋简体"/>
          <w:b w:val="0"/>
          <w:bCs/>
          <w:spacing w:val="-1"/>
          <w:w w:val="95"/>
          <w:sz w:val="44"/>
          <w:szCs w:val="44"/>
        </w:rPr>
        <w:t>市公平竞争审查抽查工作规则</w:t>
      </w:r>
    </w:p>
    <w:p>
      <w:pPr>
        <w:pStyle w:val="4"/>
        <w:keepNext w:val="0"/>
        <w:keepLines w:val="0"/>
        <w:pageBreakBefore w:val="0"/>
        <w:widowControl w:val="0"/>
        <w:kinsoku/>
        <w:wordWrap/>
        <w:overflowPunct/>
        <w:topLinePunct w:val="0"/>
        <w:autoSpaceDE w:val="0"/>
        <w:autoSpaceDN w:val="0"/>
        <w:bidi w:val="0"/>
        <w:adjustRightInd/>
        <w:snapToGrid/>
        <w:spacing w:before="0" w:after="0" w:line="240" w:lineRule="auto"/>
        <w:ind w:left="0" w:leftChars="0" w:right="0" w:rightChars="0" w:firstLine="640" w:firstLineChars="200"/>
        <w:textAlignment w:val="auto"/>
        <w:rPr>
          <w:rFonts w:hint="eastAsia" w:ascii="仿宋_GB2312" w:hAnsi="仿宋_GB2312" w:eastAsia="仿宋_GB2312" w:cs="仿宋_GB2312"/>
          <w:sz w:val="32"/>
          <w:szCs w:val="32"/>
        </w:rPr>
      </w:pP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79"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11"/>
          <w:w w:val="99"/>
          <w:sz w:val="32"/>
          <w:szCs w:val="32"/>
        </w:rPr>
        <w:t>第一条</w:t>
      </w:r>
      <w:r>
        <w:rPr>
          <w:rFonts w:hint="eastAsia" w:ascii="仿宋_GB2312" w:hAnsi="仿宋_GB2312" w:eastAsia="仿宋_GB2312" w:cs="仿宋_GB2312"/>
          <w:b/>
          <w:spacing w:val="23"/>
          <w:sz w:val="32"/>
          <w:szCs w:val="32"/>
        </w:rPr>
        <w:t xml:space="preserve"> </w:t>
      </w:r>
      <w:r>
        <w:rPr>
          <w:rFonts w:hint="eastAsia" w:ascii="仿宋_GB2312" w:hAnsi="仿宋_GB2312" w:eastAsia="仿宋_GB2312" w:cs="仿宋_GB2312"/>
          <w:spacing w:val="13"/>
          <w:w w:val="99"/>
          <w:sz w:val="32"/>
          <w:szCs w:val="32"/>
        </w:rPr>
        <w:t>为了做好公平竞争审查抽查工作，强化公平竞争</w:t>
      </w:r>
      <w:r>
        <w:rPr>
          <w:rFonts w:hint="eastAsia" w:ascii="仿宋_GB2312" w:hAnsi="仿宋_GB2312" w:eastAsia="仿宋_GB2312" w:cs="仿宋_GB2312"/>
          <w:spacing w:val="6"/>
          <w:w w:val="99"/>
          <w:sz w:val="32"/>
          <w:szCs w:val="32"/>
        </w:rPr>
        <w:t>审查工作监督保障，根据《中华人民共和国反垄断法》《公平竞争审查条例》等有关规定，制定本规则。</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79"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11"/>
          <w:w w:val="99"/>
          <w:sz w:val="32"/>
          <w:szCs w:val="32"/>
        </w:rPr>
        <w:t>第二条</w:t>
      </w:r>
      <w:r>
        <w:rPr>
          <w:rFonts w:hint="eastAsia" w:ascii="仿宋_GB2312" w:hAnsi="仿宋_GB2312" w:eastAsia="仿宋_GB2312" w:cs="仿宋_GB2312"/>
          <w:b/>
          <w:spacing w:val="23"/>
          <w:sz w:val="32"/>
          <w:szCs w:val="32"/>
        </w:rPr>
        <w:t xml:space="preserve"> </w:t>
      </w:r>
      <w:r>
        <w:rPr>
          <w:rFonts w:hint="eastAsia" w:ascii="仿宋_GB2312" w:hAnsi="仿宋_GB2312" w:eastAsia="仿宋_GB2312" w:cs="仿宋_GB2312"/>
          <w:spacing w:val="13"/>
          <w:w w:val="99"/>
          <w:sz w:val="32"/>
          <w:szCs w:val="32"/>
        </w:rPr>
        <w:t>市场监督管理部门负责本行政区域内的公平竞争</w:t>
      </w:r>
      <w:r>
        <w:rPr>
          <w:rFonts w:hint="eastAsia" w:ascii="仿宋_GB2312" w:hAnsi="仿宋_GB2312" w:eastAsia="仿宋_GB2312" w:cs="仿宋_GB2312"/>
          <w:spacing w:val="6"/>
          <w:w w:val="99"/>
          <w:sz w:val="32"/>
          <w:szCs w:val="32"/>
        </w:rPr>
        <w:t>审查抽查工作，并对下级市场监督管理部门公平竞争审查抽查工作进行监督指导。</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79"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11"/>
          <w:w w:val="99"/>
          <w:sz w:val="32"/>
          <w:szCs w:val="32"/>
        </w:rPr>
        <w:t>第三条</w:t>
      </w:r>
      <w:r>
        <w:rPr>
          <w:rFonts w:hint="eastAsia" w:ascii="仿宋_GB2312" w:hAnsi="仿宋_GB2312" w:eastAsia="仿宋_GB2312" w:cs="仿宋_GB2312"/>
          <w:b/>
          <w:spacing w:val="23"/>
          <w:sz w:val="32"/>
          <w:szCs w:val="32"/>
        </w:rPr>
        <w:t xml:space="preserve"> </w:t>
      </w:r>
      <w:r>
        <w:rPr>
          <w:rFonts w:hint="eastAsia" w:ascii="仿宋_GB2312" w:hAnsi="仿宋_GB2312" w:eastAsia="仿宋_GB2312" w:cs="仿宋_GB2312"/>
          <w:spacing w:val="13"/>
          <w:w w:val="99"/>
          <w:sz w:val="32"/>
          <w:szCs w:val="32"/>
        </w:rPr>
        <w:t>市场监督管理部门定期和不定期组织开展公平竞</w:t>
      </w:r>
      <w:r>
        <w:rPr>
          <w:rFonts w:hint="eastAsia" w:ascii="仿宋_GB2312" w:hAnsi="仿宋_GB2312" w:eastAsia="仿宋_GB2312" w:cs="仿宋_GB2312"/>
          <w:spacing w:val="6"/>
          <w:w w:val="99"/>
          <w:sz w:val="32"/>
          <w:szCs w:val="32"/>
        </w:rPr>
        <w:t>争审查抽查，可以联合多部门、委托第三方等抽查方式，采取线上抽查、实地抽查、交叉抽查、专项抽查等形式开展，每年应当至少开展一次。</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79"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11"/>
          <w:w w:val="99"/>
          <w:sz w:val="32"/>
          <w:szCs w:val="32"/>
        </w:rPr>
        <w:t>第四条</w:t>
      </w:r>
      <w:r>
        <w:rPr>
          <w:rFonts w:hint="eastAsia" w:ascii="仿宋_GB2312" w:hAnsi="仿宋_GB2312" w:eastAsia="仿宋_GB2312" w:cs="仿宋_GB2312"/>
          <w:b/>
          <w:spacing w:val="23"/>
          <w:sz w:val="32"/>
          <w:szCs w:val="32"/>
        </w:rPr>
        <w:t xml:space="preserve"> </w:t>
      </w:r>
      <w:r>
        <w:rPr>
          <w:rFonts w:hint="eastAsia" w:ascii="仿宋_GB2312" w:hAnsi="仿宋_GB2312" w:eastAsia="仿宋_GB2312" w:cs="仿宋_GB2312"/>
          <w:spacing w:val="13"/>
          <w:w w:val="99"/>
          <w:sz w:val="32"/>
          <w:szCs w:val="32"/>
        </w:rPr>
        <w:t>公平竞争审查抽查是指抽查行政机关以及法律法</w:t>
      </w:r>
      <w:r>
        <w:rPr>
          <w:rFonts w:hint="eastAsia" w:ascii="仿宋_GB2312" w:hAnsi="仿宋_GB2312" w:eastAsia="仿宋_GB2312" w:cs="仿宋_GB2312"/>
          <w:spacing w:val="2"/>
          <w:w w:val="99"/>
          <w:sz w:val="32"/>
          <w:szCs w:val="32"/>
        </w:rPr>
        <w:t>规授权的具有管理公共事务职能的组织</w:t>
      </w:r>
      <w:r>
        <w:rPr>
          <w:rFonts w:hint="eastAsia" w:ascii="仿宋_GB2312" w:hAnsi="仿宋_GB2312" w:eastAsia="仿宋_GB2312" w:cs="仿宋_GB2312"/>
          <w:spacing w:val="9"/>
          <w:w w:val="99"/>
          <w:sz w:val="32"/>
          <w:szCs w:val="32"/>
        </w:rPr>
        <w:t>（</w:t>
      </w:r>
      <w:r>
        <w:rPr>
          <w:rFonts w:hint="eastAsia" w:ascii="仿宋_GB2312" w:hAnsi="仿宋_GB2312" w:eastAsia="仿宋_GB2312" w:cs="仿宋_GB2312"/>
          <w:spacing w:val="7"/>
          <w:w w:val="99"/>
          <w:sz w:val="32"/>
          <w:szCs w:val="32"/>
        </w:rPr>
        <w:t>以下统称起草单位</w:t>
      </w:r>
      <w:r>
        <w:rPr>
          <w:rFonts w:hint="eastAsia" w:ascii="仿宋_GB2312" w:hAnsi="仿宋_GB2312" w:eastAsia="仿宋_GB2312" w:cs="仿宋_GB2312"/>
          <w:spacing w:val="-72"/>
          <w:w w:val="99"/>
          <w:sz w:val="32"/>
          <w:szCs w:val="32"/>
        </w:rPr>
        <w:t>）</w:t>
      </w:r>
      <w:r>
        <w:rPr>
          <w:rFonts w:hint="eastAsia" w:ascii="仿宋_GB2312" w:hAnsi="仿宋_GB2312" w:eastAsia="仿宋_GB2312" w:cs="仿宋_GB2312"/>
          <w:w w:val="99"/>
          <w:sz w:val="32"/>
          <w:szCs w:val="32"/>
        </w:rPr>
        <w:t>，</w:t>
      </w:r>
      <w:r>
        <w:rPr>
          <w:rFonts w:hint="eastAsia" w:ascii="仿宋_GB2312" w:hAnsi="仿宋_GB2312" w:eastAsia="仿宋_GB2312" w:cs="仿宋_GB2312"/>
          <w:spacing w:val="6"/>
          <w:w w:val="99"/>
          <w:sz w:val="32"/>
          <w:szCs w:val="32"/>
        </w:rPr>
        <w:t>落实公平竞争审查制度实施情况，以及起草涉及经营者经济活</w:t>
      </w:r>
      <w:r>
        <w:rPr>
          <w:rFonts w:hint="eastAsia" w:ascii="仿宋_GB2312" w:hAnsi="仿宋_GB2312" w:eastAsia="仿宋_GB2312" w:cs="仿宋_GB2312"/>
          <w:spacing w:val="7"/>
          <w:w w:val="99"/>
          <w:sz w:val="32"/>
          <w:szCs w:val="32"/>
        </w:rPr>
        <w:t>动的地方性法规、规章、规范性文件以及具体政策措施</w:t>
      </w:r>
      <w:r>
        <w:rPr>
          <w:rFonts w:hint="eastAsia" w:ascii="仿宋_GB2312" w:hAnsi="仿宋_GB2312" w:eastAsia="仿宋_GB2312" w:cs="仿宋_GB2312"/>
          <w:spacing w:val="9"/>
          <w:w w:val="99"/>
          <w:sz w:val="32"/>
          <w:szCs w:val="32"/>
        </w:rPr>
        <w:t>（</w:t>
      </w:r>
      <w:r>
        <w:rPr>
          <w:rFonts w:hint="eastAsia" w:ascii="仿宋_GB2312" w:hAnsi="仿宋_GB2312" w:eastAsia="仿宋_GB2312" w:cs="仿宋_GB2312"/>
          <w:spacing w:val="3"/>
          <w:w w:val="99"/>
          <w:sz w:val="32"/>
          <w:szCs w:val="32"/>
        </w:rPr>
        <w:t>以下</w:t>
      </w:r>
      <w:r>
        <w:rPr>
          <w:rFonts w:hint="eastAsia" w:ascii="仿宋_GB2312" w:hAnsi="仿宋_GB2312" w:eastAsia="仿宋_GB2312" w:cs="仿宋_GB2312"/>
          <w:spacing w:val="7"/>
          <w:w w:val="99"/>
          <w:sz w:val="32"/>
          <w:szCs w:val="32"/>
        </w:rPr>
        <w:t>统称政策措施</w:t>
      </w:r>
      <w:r>
        <w:rPr>
          <w:rFonts w:hint="eastAsia" w:ascii="仿宋_GB2312" w:hAnsi="仿宋_GB2312" w:eastAsia="仿宋_GB2312" w:cs="仿宋_GB2312"/>
          <w:spacing w:val="9"/>
          <w:w w:val="99"/>
          <w:sz w:val="32"/>
          <w:szCs w:val="32"/>
        </w:rPr>
        <w:t>）</w:t>
      </w:r>
      <w:r>
        <w:rPr>
          <w:rFonts w:hint="eastAsia" w:ascii="仿宋_GB2312" w:hAnsi="仿宋_GB2312" w:eastAsia="仿宋_GB2312" w:cs="仿宋_GB2312"/>
          <w:spacing w:val="6"/>
          <w:w w:val="99"/>
          <w:sz w:val="32"/>
          <w:szCs w:val="32"/>
        </w:rPr>
        <w:t>，包括但不限于市场准入、产业发展、招商引资、招标投标、政府采购、经营行为规范、资质标准、一事一议等具体政策措施，是否违反《公平竞争审查条例》等有关规</w:t>
      </w:r>
      <w:r>
        <w:rPr>
          <w:rFonts w:hint="eastAsia" w:ascii="仿宋_GB2312" w:hAnsi="仿宋_GB2312" w:eastAsia="仿宋_GB2312" w:cs="仿宋_GB2312"/>
          <w:w w:val="95"/>
          <w:sz w:val="32"/>
          <w:szCs w:val="32"/>
        </w:rPr>
        <w:t>定</w:t>
      </w:r>
      <w:r>
        <w:rPr>
          <w:rFonts w:hint="eastAsia" w:ascii="仿宋_GB2312" w:hAnsi="仿宋_GB2312" w:eastAsia="仿宋_GB2312" w:cs="仿宋_GB2312"/>
          <w:spacing w:val="-10"/>
          <w:sz w:val="32"/>
          <w:szCs w:val="32"/>
        </w:rPr>
        <w:t>。</w:t>
      </w:r>
    </w:p>
    <w:p>
      <w:pPr>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11" w:firstLineChars="200"/>
        <w:jc w:val="left"/>
        <w:textAlignment w:val="auto"/>
        <w:outlineLvl w:val="9"/>
        <w:rPr>
          <w:rFonts w:hint="eastAsia" w:ascii="仿宋_GB2312" w:hAnsi="仿宋_GB2312" w:eastAsia="仿宋_GB2312" w:cs="仿宋_GB2312"/>
          <w:w w:val="95"/>
          <w:sz w:val="32"/>
          <w:szCs w:val="32"/>
        </w:rPr>
      </w:pPr>
      <w:r>
        <w:rPr>
          <w:rFonts w:hint="eastAsia" w:ascii="仿宋_GB2312" w:hAnsi="仿宋_GB2312" w:eastAsia="仿宋_GB2312" w:cs="仿宋_GB2312"/>
          <w:b/>
          <w:w w:val="95"/>
          <w:sz w:val="32"/>
          <w:szCs w:val="32"/>
        </w:rPr>
        <w:t>第五条</w:t>
      </w:r>
      <w:r>
        <w:rPr>
          <w:rFonts w:hint="eastAsia" w:ascii="仿宋_GB2312" w:hAnsi="仿宋_GB2312" w:eastAsia="仿宋_GB2312" w:cs="仿宋_GB2312"/>
          <w:b/>
          <w:spacing w:val="59"/>
          <w:sz w:val="32"/>
          <w:szCs w:val="32"/>
        </w:rPr>
        <w:t xml:space="preserve"> </w:t>
      </w:r>
      <w:r>
        <w:rPr>
          <w:rFonts w:hint="eastAsia" w:ascii="仿宋_GB2312" w:hAnsi="仿宋_GB2312" w:eastAsia="仿宋_GB2312" w:cs="仿宋_GB2312"/>
          <w:w w:val="95"/>
          <w:sz w:val="32"/>
          <w:szCs w:val="32"/>
        </w:rPr>
        <w:t>前款所称违反《公平竞争审查条例》等有关规定</w:t>
      </w:r>
      <w:r>
        <w:rPr>
          <w:rFonts w:hint="eastAsia" w:ascii="仿宋_GB2312" w:hAnsi="仿宋_GB2312" w:eastAsia="仿宋_GB2312" w:cs="仿宋_GB2312"/>
          <w:spacing w:val="-10"/>
          <w:w w:val="95"/>
          <w:sz w:val="32"/>
          <w:szCs w:val="32"/>
        </w:rPr>
        <w:t>，</w:t>
      </w:r>
      <w:r>
        <w:rPr>
          <w:rFonts w:hint="eastAsia" w:ascii="仿宋_GB2312" w:hAnsi="仿宋_GB2312" w:eastAsia="仿宋_GB2312" w:cs="仿宋_GB2312"/>
          <w:w w:val="95"/>
          <w:sz w:val="32"/>
          <w:szCs w:val="32"/>
        </w:rPr>
        <w:t>包括以下情形：</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6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7"/>
          <w:w w:val="99"/>
          <w:sz w:val="32"/>
          <w:szCs w:val="32"/>
        </w:rPr>
        <w:t>（</w:t>
      </w:r>
      <w:r>
        <w:rPr>
          <w:rFonts w:hint="eastAsia" w:ascii="仿宋_GB2312" w:hAnsi="仿宋_GB2312" w:eastAsia="仿宋_GB2312" w:cs="仿宋_GB2312"/>
          <w:spacing w:val="9"/>
          <w:w w:val="99"/>
          <w:sz w:val="32"/>
          <w:szCs w:val="32"/>
        </w:rPr>
        <w:t>一</w:t>
      </w:r>
      <w:r>
        <w:rPr>
          <w:rFonts w:hint="eastAsia" w:ascii="仿宋_GB2312" w:hAnsi="仿宋_GB2312" w:eastAsia="仿宋_GB2312" w:cs="仿宋_GB2312"/>
          <w:spacing w:val="7"/>
          <w:w w:val="99"/>
          <w:sz w:val="32"/>
          <w:szCs w:val="32"/>
        </w:rPr>
        <w:t>）</w:t>
      </w:r>
      <w:r>
        <w:rPr>
          <w:rFonts w:hint="eastAsia" w:ascii="仿宋_GB2312" w:hAnsi="仿宋_GB2312" w:eastAsia="仿宋_GB2312" w:cs="仿宋_GB2312"/>
          <w:spacing w:val="6"/>
          <w:w w:val="99"/>
          <w:sz w:val="32"/>
          <w:szCs w:val="32"/>
        </w:rPr>
        <w:t>属于县级政府及本级市场监督管理部门应当落实公平竞争审查制度实施的情况：</w:t>
      </w:r>
    </w:p>
    <w:p>
      <w:pPr>
        <w:pStyle w:val="7"/>
        <w:keepNext w:val="0"/>
        <w:keepLines w:val="0"/>
        <w:pageBreakBefore w:val="0"/>
        <w:widowControl w:val="0"/>
        <w:numPr>
          <w:ilvl w:val="0"/>
          <w:numId w:val="1"/>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未建立健全公平竞争审查抽查、举报处理、会审工作机</w:t>
      </w:r>
      <w:r>
        <w:rPr>
          <w:rFonts w:hint="eastAsia" w:ascii="仿宋_GB2312" w:hAnsi="仿宋_GB2312" w:eastAsia="仿宋_GB2312" w:cs="仿宋_GB2312"/>
          <w:spacing w:val="4"/>
          <w:w w:val="99"/>
          <w:sz w:val="32"/>
          <w:szCs w:val="32"/>
        </w:rPr>
        <w:t>制的；</w:t>
      </w:r>
    </w:p>
    <w:p>
      <w:pPr>
        <w:pStyle w:val="7"/>
        <w:keepNext w:val="0"/>
        <w:keepLines w:val="0"/>
        <w:pageBreakBefore w:val="0"/>
        <w:widowControl w:val="0"/>
        <w:numPr>
          <w:ilvl w:val="0"/>
          <w:numId w:val="1"/>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未保障公平竞争审查工作力量的；</w:t>
      </w:r>
    </w:p>
    <w:p>
      <w:pPr>
        <w:pStyle w:val="7"/>
        <w:keepNext w:val="0"/>
        <w:keepLines w:val="0"/>
        <w:pageBreakBefore w:val="0"/>
        <w:widowControl w:val="0"/>
        <w:numPr>
          <w:ilvl w:val="0"/>
          <w:numId w:val="1"/>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未落实上级工作部署、宣传培训等工作情况；</w:t>
      </w:r>
    </w:p>
    <w:p>
      <w:pPr>
        <w:pStyle w:val="7"/>
        <w:keepNext w:val="0"/>
        <w:keepLines w:val="0"/>
        <w:pageBreakBefore w:val="0"/>
        <w:widowControl w:val="0"/>
        <w:numPr>
          <w:ilvl w:val="0"/>
          <w:numId w:val="1"/>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未将公平竞争审查工作经费纳入本级政府预算；</w:t>
      </w:r>
    </w:p>
    <w:p>
      <w:pPr>
        <w:pStyle w:val="7"/>
        <w:keepNext w:val="0"/>
        <w:keepLines w:val="0"/>
        <w:pageBreakBefore w:val="0"/>
        <w:widowControl w:val="0"/>
        <w:numPr>
          <w:ilvl w:val="0"/>
          <w:numId w:val="1"/>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未将公平竞争审查工作情况纳入法治政府建设、优化营商环境等考核评价内容情况；</w:t>
      </w:r>
    </w:p>
    <w:p>
      <w:pPr>
        <w:pStyle w:val="7"/>
        <w:keepNext w:val="0"/>
        <w:keepLines w:val="0"/>
        <w:pageBreakBefore w:val="0"/>
        <w:widowControl w:val="0"/>
        <w:numPr>
          <w:ilvl w:val="0"/>
          <w:numId w:val="1"/>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市场监督管理部门未向社会公开受理举报的电话、信箱或者电子邮件地址</w:t>
      </w:r>
      <w:r>
        <w:rPr>
          <w:rFonts w:hint="eastAsia" w:cs="仿宋_GB2312"/>
          <w:spacing w:val="6"/>
          <w:w w:val="99"/>
          <w:sz w:val="32"/>
          <w:szCs w:val="32"/>
          <w:lang w:eastAsia="zh-CN"/>
        </w:rPr>
        <w:t>；</w:t>
      </w:r>
    </w:p>
    <w:p>
      <w:pPr>
        <w:pStyle w:val="7"/>
        <w:keepNext w:val="0"/>
        <w:keepLines w:val="0"/>
        <w:pageBreakBefore w:val="0"/>
        <w:widowControl w:val="0"/>
        <w:numPr>
          <w:ilvl w:val="0"/>
          <w:numId w:val="1"/>
        </w:numPr>
        <w:tabs>
          <w:tab w:val="left" w:pos="1009"/>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市场监督管理部门未向本级人民政府报告抽查情况的。</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08"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w w:val="95"/>
          <w:sz w:val="32"/>
          <w:szCs w:val="32"/>
        </w:rPr>
        <w:t>（二）属于</w:t>
      </w:r>
      <w:r>
        <w:rPr>
          <w:rFonts w:hint="eastAsia" w:ascii="仿宋_GB2312" w:hAnsi="仿宋_GB2312" w:eastAsia="仿宋_GB2312" w:cs="仿宋_GB2312"/>
          <w:spacing w:val="-1"/>
          <w:w w:val="95"/>
          <w:sz w:val="32"/>
          <w:szCs w:val="32"/>
        </w:rPr>
        <w:t>起草单位应当落实公平竞争审查制度实施的情</w:t>
      </w:r>
      <w:r>
        <w:rPr>
          <w:rFonts w:hint="eastAsia" w:ascii="仿宋_GB2312" w:hAnsi="仿宋_GB2312" w:eastAsia="仿宋_GB2312" w:cs="仿宋_GB2312"/>
          <w:w w:val="95"/>
          <w:sz w:val="32"/>
          <w:szCs w:val="32"/>
        </w:rPr>
        <w:t>况</w:t>
      </w:r>
      <w:r>
        <w:rPr>
          <w:rFonts w:hint="eastAsia" w:ascii="仿宋_GB2312" w:hAnsi="仿宋_GB2312" w:eastAsia="仿宋_GB2312" w:cs="仿宋_GB2312"/>
          <w:spacing w:val="-10"/>
          <w:sz w:val="32"/>
          <w:szCs w:val="32"/>
        </w:rPr>
        <w:t>：</w:t>
      </w:r>
    </w:p>
    <w:p>
      <w:pPr>
        <w:pStyle w:val="7"/>
        <w:keepNext w:val="0"/>
        <w:keepLines w:val="0"/>
        <w:pageBreakBefore w:val="0"/>
        <w:widowControl w:val="0"/>
        <w:numPr>
          <w:ilvl w:val="0"/>
          <w:numId w:val="2"/>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未建立健全公平竞争审查工作机制，明确本部门公平竞</w:t>
      </w:r>
      <w:r>
        <w:rPr>
          <w:rFonts w:hint="eastAsia" w:ascii="仿宋_GB2312" w:hAnsi="仿宋_GB2312" w:eastAsia="仿宋_GB2312" w:cs="仿宋_GB2312"/>
          <w:spacing w:val="-2"/>
          <w:w w:val="95"/>
          <w:sz w:val="32"/>
          <w:szCs w:val="32"/>
        </w:rPr>
        <w:t>争审查程序的；</w:t>
      </w:r>
    </w:p>
    <w:p>
      <w:pPr>
        <w:pStyle w:val="7"/>
        <w:keepNext w:val="0"/>
        <w:keepLines w:val="0"/>
        <w:pageBreakBefore w:val="0"/>
        <w:widowControl w:val="0"/>
        <w:numPr>
          <w:ilvl w:val="0"/>
          <w:numId w:val="2"/>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未保障公平竞争审查工作力量的；</w:t>
      </w:r>
    </w:p>
    <w:p>
      <w:pPr>
        <w:pStyle w:val="7"/>
        <w:keepNext w:val="0"/>
        <w:keepLines w:val="0"/>
        <w:pageBreakBefore w:val="0"/>
        <w:widowControl w:val="0"/>
        <w:numPr>
          <w:ilvl w:val="0"/>
          <w:numId w:val="2"/>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未定期对存量政策措施开展自查评估、清理的；</w:t>
      </w:r>
    </w:p>
    <w:p>
      <w:pPr>
        <w:pStyle w:val="7"/>
        <w:keepNext w:val="0"/>
        <w:keepLines w:val="0"/>
        <w:pageBreakBefore w:val="0"/>
        <w:widowControl w:val="0"/>
        <w:numPr>
          <w:ilvl w:val="0"/>
          <w:numId w:val="2"/>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未落实上级部署、宣传培训等工作的；</w:t>
      </w:r>
    </w:p>
    <w:p>
      <w:pPr>
        <w:pStyle w:val="7"/>
        <w:keepNext w:val="0"/>
        <w:keepLines w:val="0"/>
        <w:pageBreakBefore w:val="0"/>
        <w:widowControl w:val="0"/>
        <w:numPr>
          <w:ilvl w:val="0"/>
          <w:numId w:val="2"/>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未落实法治政府建设、优化营商环境等关于公平竞争审查工作考核评价的；</w:t>
      </w:r>
    </w:p>
    <w:p>
      <w:pPr>
        <w:pStyle w:val="7"/>
        <w:keepNext w:val="0"/>
        <w:keepLines w:val="0"/>
        <w:pageBreakBefore w:val="0"/>
        <w:widowControl w:val="0"/>
        <w:numPr>
          <w:ilvl w:val="0"/>
          <w:numId w:val="2"/>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pacing w:val="-1"/>
          <w:w w:val="95"/>
          <w:sz w:val="32"/>
          <w:szCs w:val="32"/>
        </w:rPr>
        <w:t>未按规定及时处理公平竞争审查举报事项的。</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6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7"/>
          <w:w w:val="99"/>
          <w:sz w:val="32"/>
          <w:szCs w:val="32"/>
        </w:rPr>
        <w:t>（三）</w:t>
      </w:r>
      <w:r>
        <w:rPr>
          <w:rFonts w:hint="eastAsia" w:ascii="仿宋_GB2312" w:hAnsi="仿宋_GB2312" w:eastAsia="仿宋_GB2312" w:cs="仿宋_GB2312"/>
          <w:spacing w:val="6"/>
          <w:w w:val="99"/>
          <w:sz w:val="32"/>
          <w:szCs w:val="32"/>
        </w:rPr>
        <w:t>有关政策措施属于未履行或者不规范履行公平竞争审查程序情况：</w:t>
      </w:r>
    </w:p>
    <w:p>
      <w:pPr>
        <w:pStyle w:val="7"/>
        <w:keepNext w:val="0"/>
        <w:keepLines w:val="0"/>
        <w:pageBreakBefore w:val="0"/>
        <w:widowControl w:val="0"/>
        <w:numPr>
          <w:ilvl w:val="0"/>
          <w:numId w:val="3"/>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属于公平竞争审查范围，但未开展公平竞争审查的；</w:t>
      </w:r>
    </w:p>
    <w:p>
      <w:pPr>
        <w:pStyle w:val="7"/>
        <w:keepNext w:val="0"/>
        <w:keepLines w:val="0"/>
        <w:pageBreakBefore w:val="0"/>
        <w:widowControl w:val="0"/>
        <w:numPr>
          <w:ilvl w:val="0"/>
          <w:numId w:val="3"/>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有关单位主张已经开展公平竞争审查，但未提供佐证材</w:t>
      </w:r>
      <w:r>
        <w:rPr>
          <w:rFonts w:hint="eastAsia" w:ascii="仿宋_GB2312" w:hAnsi="仿宋_GB2312" w:eastAsia="仿宋_GB2312" w:cs="仿宋_GB2312"/>
          <w:spacing w:val="5"/>
          <w:w w:val="99"/>
          <w:sz w:val="32"/>
          <w:szCs w:val="32"/>
        </w:rPr>
        <w:t>料的；</w:t>
      </w:r>
    </w:p>
    <w:p>
      <w:pPr>
        <w:pStyle w:val="7"/>
        <w:keepNext w:val="0"/>
        <w:keepLines w:val="0"/>
        <w:pageBreakBefore w:val="0"/>
        <w:widowControl w:val="0"/>
        <w:numPr>
          <w:ilvl w:val="0"/>
          <w:numId w:val="3"/>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适用《公平竞争审查条例》第十二条规定，但未在审查结论中详细说明的；</w:t>
      </w:r>
    </w:p>
    <w:p>
      <w:pPr>
        <w:pStyle w:val="7"/>
        <w:keepNext w:val="0"/>
        <w:keepLines w:val="0"/>
        <w:pageBreakBefore w:val="0"/>
        <w:widowControl w:val="0"/>
        <w:numPr>
          <w:ilvl w:val="0"/>
          <w:numId w:val="3"/>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属于《公平竞争审查条例》第十四条规定的情形，但未送交市场监督管理部门开展公平竞争审查会审的；</w:t>
      </w:r>
    </w:p>
    <w:p>
      <w:pPr>
        <w:pStyle w:val="7"/>
        <w:keepNext w:val="0"/>
        <w:keepLines w:val="0"/>
        <w:pageBreakBefore w:val="0"/>
        <w:widowControl w:val="0"/>
        <w:numPr>
          <w:ilvl w:val="0"/>
          <w:numId w:val="3"/>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未按照《公平竞争审查条例》第十六条规定听取有关方面意见的，法律另有规定的除外；</w:t>
      </w:r>
    </w:p>
    <w:p>
      <w:pPr>
        <w:pStyle w:val="7"/>
        <w:keepNext w:val="0"/>
        <w:keepLines w:val="0"/>
        <w:pageBreakBefore w:val="0"/>
        <w:widowControl w:val="0"/>
        <w:numPr>
          <w:ilvl w:val="0"/>
          <w:numId w:val="3"/>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未作出公平竞争审查结论，或者结论不明确的；</w:t>
      </w:r>
    </w:p>
    <w:p>
      <w:pPr>
        <w:pStyle w:val="7"/>
        <w:keepNext w:val="0"/>
        <w:keepLines w:val="0"/>
        <w:pageBreakBefore w:val="0"/>
        <w:widowControl w:val="0"/>
        <w:numPr>
          <w:ilvl w:val="0"/>
          <w:numId w:val="3"/>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其他违反公平竞争审查程序的情形。</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08"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w w:val="95"/>
          <w:sz w:val="32"/>
          <w:szCs w:val="32"/>
        </w:rPr>
        <w:t>（四）</w:t>
      </w:r>
      <w:r>
        <w:rPr>
          <w:rFonts w:hint="eastAsia" w:ascii="仿宋_GB2312" w:hAnsi="仿宋_GB2312" w:eastAsia="仿宋_GB2312" w:cs="仿宋_GB2312"/>
          <w:spacing w:val="-1"/>
          <w:w w:val="95"/>
          <w:sz w:val="32"/>
          <w:szCs w:val="32"/>
        </w:rPr>
        <w:t>属于违反公平竞争审查标准情况：</w:t>
      </w:r>
    </w:p>
    <w:p>
      <w:pPr>
        <w:pStyle w:val="7"/>
        <w:keepNext w:val="0"/>
        <w:keepLines w:val="0"/>
        <w:pageBreakBefore w:val="0"/>
        <w:widowControl w:val="0"/>
        <w:numPr>
          <w:ilvl w:val="0"/>
          <w:numId w:val="4"/>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政策措施中含有《公平竞争审查条例》等有关规定审查标准的禁止性内容的；</w:t>
      </w:r>
    </w:p>
    <w:p>
      <w:pPr>
        <w:pStyle w:val="7"/>
        <w:keepNext w:val="0"/>
        <w:keepLines w:val="0"/>
        <w:pageBreakBefore w:val="0"/>
        <w:widowControl w:val="0"/>
        <w:numPr>
          <w:ilvl w:val="0"/>
          <w:numId w:val="4"/>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适用《公平竞争审查条例》第十二条规定的政策措施，</w:t>
      </w:r>
      <w:r>
        <w:rPr>
          <w:rFonts w:hint="eastAsia" w:ascii="仿宋_GB2312" w:hAnsi="仿宋_GB2312" w:eastAsia="仿宋_GB2312" w:cs="仿宋_GB2312"/>
          <w:spacing w:val="7"/>
          <w:w w:val="99"/>
          <w:sz w:val="32"/>
          <w:szCs w:val="32"/>
        </w:rPr>
        <w:t>经核查后发现不符合《公平竞争审查条例》第十二条第</w:t>
      </w:r>
      <w:r>
        <w:rPr>
          <w:rFonts w:hint="eastAsia" w:ascii="仿宋_GB2312" w:hAnsi="仿宋_GB2312" w:eastAsia="仿宋_GB2312" w:cs="仿宋_GB2312"/>
          <w:spacing w:val="9"/>
          <w:w w:val="99"/>
          <w:sz w:val="32"/>
          <w:szCs w:val="32"/>
        </w:rPr>
        <w:t>（</w:t>
      </w:r>
      <w:r>
        <w:rPr>
          <w:rFonts w:hint="eastAsia" w:ascii="仿宋_GB2312" w:hAnsi="仿宋_GB2312" w:eastAsia="仿宋_GB2312" w:cs="仿宋_GB2312"/>
          <w:spacing w:val="7"/>
          <w:w w:val="99"/>
          <w:sz w:val="32"/>
          <w:szCs w:val="32"/>
        </w:rPr>
        <w:t>一</w:t>
      </w:r>
      <w:r>
        <w:rPr>
          <w:rFonts w:hint="eastAsia" w:ascii="仿宋_GB2312" w:hAnsi="仿宋_GB2312" w:eastAsia="仿宋_GB2312" w:cs="仿宋_GB2312"/>
          <w:w w:val="99"/>
          <w:sz w:val="32"/>
          <w:szCs w:val="32"/>
        </w:rPr>
        <w:t>）</w:t>
      </w:r>
      <w:r>
        <w:rPr>
          <w:rFonts w:hint="eastAsia" w:ascii="仿宋_GB2312" w:hAnsi="仿宋_GB2312" w:eastAsia="仿宋_GB2312" w:cs="仿宋_GB2312"/>
          <w:spacing w:val="7"/>
          <w:w w:val="99"/>
          <w:sz w:val="32"/>
          <w:szCs w:val="32"/>
        </w:rPr>
        <w:t>至</w:t>
      </w:r>
      <w:r>
        <w:rPr>
          <w:rFonts w:hint="eastAsia" w:ascii="仿宋_GB2312" w:hAnsi="仿宋_GB2312" w:eastAsia="仿宋_GB2312" w:cs="仿宋_GB2312"/>
          <w:spacing w:val="9"/>
          <w:w w:val="99"/>
          <w:sz w:val="32"/>
          <w:szCs w:val="32"/>
        </w:rPr>
        <w:t>（</w:t>
      </w:r>
      <w:r>
        <w:rPr>
          <w:rFonts w:hint="eastAsia" w:ascii="仿宋_GB2312" w:hAnsi="仿宋_GB2312" w:eastAsia="仿宋_GB2312" w:cs="仿宋_GB2312"/>
          <w:spacing w:val="7"/>
          <w:w w:val="99"/>
          <w:sz w:val="32"/>
          <w:szCs w:val="32"/>
        </w:rPr>
        <w:t>四</w:t>
      </w:r>
      <w:r>
        <w:rPr>
          <w:rFonts w:hint="eastAsia" w:ascii="仿宋_GB2312" w:hAnsi="仿宋_GB2312" w:eastAsia="仿宋_GB2312" w:cs="仿宋_GB2312"/>
          <w:spacing w:val="9"/>
          <w:w w:val="99"/>
          <w:sz w:val="32"/>
          <w:szCs w:val="32"/>
        </w:rPr>
        <w:t>）</w:t>
      </w:r>
      <w:r>
        <w:rPr>
          <w:rFonts w:hint="eastAsia" w:ascii="仿宋_GB2312" w:hAnsi="仿宋_GB2312" w:eastAsia="仿宋_GB2312" w:cs="仿宋_GB2312"/>
          <w:spacing w:val="6"/>
          <w:w w:val="99"/>
          <w:sz w:val="32"/>
          <w:szCs w:val="32"/>
        </w:rPr>
        <w:t>项规定的适用情形的；</w:t>
      </w:r>
    </w:p>
    <w:p>
      <w:pPr>
        <w:pStyle w:val="7"/>
        <w:keepNext w:val="0"/>
        <w:keepLines w:val="0"/>
        <w:pageBreakBefore w:val="0"/>
        <w:widowControl w:val="0"/>
        <w:numPr>
          <w:ilvl w:val="0"/>
          <w:numId w:val="4"/>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适用《公平竞争审查条例》第十二条规定的政策措施，经核查后发现文件出台时存在其他对公平竞争影响更小的替代</w:t>
      </w:r>
      <w:r>
        <w:rPr>
          <w:rFonts w:hint="eastAsia" w:ascii="仿宋_GB2312" w:hAnsi="仿宋_GB2312" w:eastAsia="仿宋_GB2312" w:cs="仿宋_GB2312"/>
          <w:spacing w:val="5"/>
          <w:w w:val="99"/>
          <w:sz w:val="32"/>
          <w:szCs w:val="32"/>
        </w:rPr>
        <w:t>方案的；</w:t>
      </w:r>
    </w:p>
    <w:p>
      <w:pPr>
        <w:pStyle w:val="7"/>
        <w:keepNext w:val="0"/>
        <w:keepLines w:val="0"/>
        <w:pageBreakBefore w:val="0"/>
        <w:widowControl w:val="0"/>
        <w:numPr>
          <w:ilvl w:val="0"/>
          <w:numId w:val="4"/>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56"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适用《公平竞争审查条例》第十二条规定的政策措施，没有确定合理的实施期限或者终止条件，或者在实施期限到期或者满足终止条件后未及时停止实施的；</w:t>
      </w:r>
    </w:p>
    <w:p>
      <w:pPr>
        <w:pStyle w:val="7"/>
        <w:keepNext w:val="0"/>
        <w:keepLines w:val="0"/>
        <w:pageBreakBefore w:val="0"/>
        <w:widowControl w:val="0"/>
        <w:numPr>
          <w:ilvl w:val="0"/>
          <w:numId w:val="4"/>
        </w:numPr>
        <w:tabs>
          <w:tab w:val="left" w:pos="1091"/>
        </w:tabs>
        <w:kinsoku/>
        <w:wordWrap/>
        <w:overflowPunct/>
        <w:topLinePunct w:val="0"/>
        <w:autoSpaceDE w:val="0"/>
        <w:autoSpaceDN w:val="0"/>
        <w:bidi w:val="0"/>
        <w:adjustRightInd/>
        <w:snapToGrid/>
        <w:spacing w:before="0" w:after="0" w:line="560" w:lineRule="exact"/>
        <w:ind w:left="0" w:leftChars="0" w:right="0" w:rightChars="0" w:firstLine="604"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其他违反公平竞争审查标准的情形。</w:t>
      </w:r>
    </w:p>
    <w:p>
      <w:pPr>
        <w:pStyle w:val="4"/>
        <w:keepNext w:val="0"/>
        <w:keepLines w:val="0"/>
        <w:pageBreakBefore w:val="0"/>
        <w:widowControl w:val="0"/>
        <w:numPr>
          <w:ilvl w:val="0"/>
          <w:numId w:val="5"/>
        </w:numPr>
        <w:kinsoku/>
        <w:wordWrap/>
        <w:overflowPunct/>
        <w:topLinePunct w:val="0"/>
        <w:autoSpaceDE w:val="0"/>
        <w:autoSpaceDN w:val="0"/>
        <w:bidi w:val="0"/>
        <w:adjustRightInd/>
        <w:snapToGrid/>
        <w:spacing w:before="0" w:after="0" w:line="560" w:lineRule="exact"/>
        <w:ind w:left="0" w:leftChars="0" w:right="0" w:rightChars="0" w:firstLine="616" w:firstLineChars="200"/>
        <w:textAlignment w:val="auto"/>
        <w:outlineLvl w:val="9"/>
        <w:rPr>
          <w:rFonts w:hint="eastAsia" w:ascii="仿宋_GB2312" w:hAnsi="仿宋_GB2312" w:eastAsia="仿宋_GB2312" w:cs="仿宋_GB2312"/>
          <w:spacing w:val="-4"/>
          <w:w w:val="99"/>
          <w:sz w:val="32"/>
          <w:szCs w:val="32"/>
        </w:rPr>
      </w:pPr>
      <w:r>
        <w:rPr>
          <w:rFonts w:hint="eastAsia" w:ascii="仿宋_GB2312" w:hAnsi="仿宋_GB2312" w:eastAsia="仿宋_GB2312" w:cs="仿宋_GB2312"/>
          <w:spacing w:val="-4"/>
          <w:w w:val="99"/>
          <w:sz w:val="32"/>
          <w:szCs w:val="32"/>
        </w:rPr>
        <w:t>其他违反《公平竞争审查条例》等有关规定的情形。</w:t>
      </w:r>
    </w:p>
    <w:p>
      <w:pPr>
        <w:pStyle w:val="4"/>
        <w:keepNext w:val="0"/>
        <w:keepLines w:val="0"/>
        <w:pageBreakBefore w:val="0"/>
        <w:widowControl w:val="0"/>
        <w:numPr>
          <w:ilvl w:val="0"/>
          <w:numId w:val="0"/>
        </w:numPr>
        <w:kinsoku/>
        <w:wordWrap/>
        <w:overflowPunct/>
        <w:topLinePunct w:val="0"/>
        <w:autoSpaceDE w:val="0"/>
        <w:autoSpaceDN w:val="0"/>
        <w:bidi w:val="0"/>
        <w:adjustRightInd/>
        <w:snapToGrid/>
        <w:spacing w:before="0" w:after="0" w:line="560" w:lineRule="exact"/>
        <w:ind w:left="0" w:leftChars="0" w:right="0" w:rightChars="0" w:firstLine="679" w:firstLineChars="200"/>
        <w:jc w:val="left"/>
        <w:textAlignment w:val="auto"/>
        <w:outlineLvl w:val="9"/>
        <w:rPr>
          <w:rFonts w:hint="eastAsia" w:ascii="仿宋_GB2312" w:hAnsi="仿宋_GB2312" w:eastAsia="仿宋_GB2312" w:cs="仿宋_GB2312"/>
          <w:spacing w:val="6"/>
          <w:w w:val="99"/>
          <w:sz w:val="32"/>
          <w:szCs w:val="32"/>
          <w:lang w:val="en-US" w:eastAsia="zh-CN" w:bidi="ar-SA"/>
        </w:rPr>
      </w:pPr>
      <w:r>
        <w:rPr>
          <w:rFonts w:hint="eastAsia" w:ascii="仿宋_GB2312" w:hAnsi="仿宋_GB2312" w:eastAsia="仿宋_GB2312" w:cs="仿宋_GB2312"/>
          <w:b/>
          <w:spacing w:val="11"/>
          <w:w w:val="99"/>
          <w:sz w:val="32"/>
          <w:szCs w:val="32"/>
        </w:rPr>
        <w:t>第六条</w:t>
      </w:r>
      <w:r>
        <w:rPr>
          <w:rFonts w:hint="eastAsia" w:ascii="仿宋_GB2312" w:hAnsi="仿宋_GB2312" w:eastAsia="仿宋_GB2312" w:cs="仿宋_GB2312"/>
          <w:b/>
          <w:spacing w:val="23"/>
          <w:sz w:val="32"/>
          <w:szCs w:val="32"/>
        </w:rPr>
        <w:t xml:space="preserve"> </w:t>
      </w:r>
      <w:r>
        <w:rPr>
          <w:rFonts w:hint="eastAsia" w:ascii="仿宋_GB2312" w:hAnsi="仿宋_GB2312" w:eastAsia="仿宋_GB2312" w:cs="仿宋_GB2312"/>
          <w:spacing w:val="6"/>
          <w:w w:val="99"/>
          <w:sz w:val="32"/>
          <w:szCs w:val="32"/>
          <w:lang w:val="en-US" w:eastAsia="zh-CN" w:bidi="ar-SA"/>
        </w:rPr>
        <w:t>经核查发现有关单位违反《公平竞争审查条例》等规定的，市场监督管理部门可以制发《提醒敦促函》，督促有关单位整改。《提醒敦促函》主要包括抽查发现的问题、组织核查的有关情况、整改要求和书面反馈整改情况的时间要求等内容。</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56" w:firstLineChars="200"/>
        <w:jc w:val="left"/>
        <w:textAlignment w:val="auto"/>
        <w:outlineLvl w:val="9"/>
        <w:rPr>
          <w:rFonts w:hint="eastAsia" w:ascii="仿宋_GB2312" w:hAnsi="仿宋_GB2312" w:eastAsia="仿宋_GB2312" w:cs="仿宋_GB2312"/>
          <w:spacing w:val="6"/>
          <w:w w:val="99"/>
          <w:sz w:val="32"/>
          <w:szCs w:val="32"/>
          <w:lang w:val="en-US" w:eastAsia="zh-CN" w:bidi="ar-SA"/>
        </w:rPr>
      </w:pPr>
      <w:r>
        <w:rPr>
          <w:rFonts w:hint="eastAsia" w:ascii="仿宋_GB2312" w:hAnsi="仿宋_GB2312" w:eastAsia="仿宋_GB2312" w:cs="仿宋_GB2312"/>
          <w:spacing w:val="6"/>
          <w:w w:val="99"/>
          <w:sz w:val="32"/>
          <w:szCs w:val="32"/>
          <w:lang w:val="en-US" w:eastAsia="zh-CN" w:bidi="ar-SA"/>
        </w:rPr>
        <w:t>市场监督管理部门可以提出以下整改要求：</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6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7"/>
          <w:w w:val="99"/>
          <w:sz w:val="32"/>
          <w:szCs w:val="32"/>
        </w:rPr>
        <w:t>（</w:t>
      </w:r>
      <w:r>
        <w:rPr>
          <w:rFonts w:hint="eastAsia" w:ascii="仿宋_GB2312" w:hAnsi="仿宋_GB2312" w:eastAsia="仿宋_GB2312" w:cs="仿宋_GB2312"/>
          <w:spacing w:val="9"/>
          <w:w w:val="99"/>
          <w:sz w:val="32"/>
          <w:szCs w:val="32"/>
        </w:rPr>
        <w:t>一</w:t>
      </w:r>
      <w:r>
        <w:rPr>
          <w:rFonts w:hint="eastAsia" w:ascii="仿宋_GB2312" w:hAnsi="仿宋_GB2312" w:eastAsia="仿宋_GB2312" w:cs="仿宋_GB2312"/>
          <w:spacing w:val="7"/>
          <w:w w:val="99"/>
          <w:sz w:val="32"/>
          <w:szCs w:val="32"/>
        </w:rPr>
        <w:t>）</w:t>
      </w:r>
      <w:r>
        <w:rPr>
          <w:rFonts w:hint="eastAsia" w:ascii="仿宋_GB2312" w:hAnsi="仿宋_GB2312" w:eastAsia="仿宋_GB2312" w:cs="仿宋_GB2312"/>
          <w:spacing w:val="6"/>
          <w:w w:val="99"/>
          <w:sz w:val="32"/>
          <w:szCs w:val="32"/>
        </w:rPr>
        <w:t>有关单位未履行或者履行公平竞争审查程序不规范的，要求开展公平竞争审查或者补正程序等；</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08"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w w:val="95"/>
          <w:sz w:val="32"/>
          <w:szCs w:val="32"/>
        </w:rPr>
        <w:t>（二）</w:t>
      </w:r>
      <w:r>
        <w:rPr>
          <w:rFonts w:hint="eastAsia" w:ascii="仿宋_GB2312" w:hAnsi="仿宋_GB2312" w:eastAsia="仿宋_GB2312" w:cs="仿宋_GB2312"/>
          <w:spacing w:val="-1"/>
          <w:w w:val="95"/>
          <w:sz w:val="32"/>
          <w:szCs w:val="32"/>
        </w:rPr>
        <w:t>政策措施存在违反公平竞争审查标准内容的，要求按照相关程序予以修订或者废止；</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6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7"/>
          <w:w w:val="99"/>
          <w:sz w:val="32"/>
          <w:szCs w:val="32"/>
        </w:rPr>
        <w:t>（</w:t>
      </w:r>
      <w:r>
        <w:rPr>
          <w:rFonts w:hint="eastAsia" w:ascii="仿宋_GB2312" w:hAnsi="仿宋_GB2312" w:eastAsia="仿宋_GB2312" w:cs="仿宋_GB2312"/>
          <w:spacing w:val="9"/>
          <w:w w:val="99"/>
          <w:sz w:val="32"/>
          <w:szCs w:val="32"/>
        </w:rPr>
        <w:t>三</w:t>
      </w:r>
      <w:r>
        <w:rPr>
          <w:rFonts w:hint="eastAsia" w:ascii="仿宋_GB2312" w:hAnsi="仿宋_GB2312" w:eastAsia="仿宋_GB2312" w:cs="仿宋_GB2312"/>
          <w:spacing w:val="7"/>
          <w:w w:val="99"/>
          <w:sz w:val="32"/>
          <w:szCs w:val="32"/>
        </w:rPr>
        <w:t>）</w:t>
      </w:r>
      <w:r>
        <w:rPr>
          <w:rFonts w:hint="eastAsia" w:ascii="仿宋_GB2312" w:hAnsi="仿宋_GB2312" w:eastAsia="仿宋_GB2312" w:cs="仿宋_GB2312"/>
          <w:spacing w:val="6"/>
          <w:w w:val="99"/>
          <w:sz w:val="32"/>
          <w:szCs w:val="32"/>
        </w:rPr>
        <w:t>核查发现有关单位存在公平竞争审查制度和机制不完善等情形的，要求健全完善有关制度机制。</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04"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1"/>
          <w:w w:val="95"/>
          <w:sz w:val="32"/>
          <w:szCs w:val="32"/>
        </w:rPr>
        <w:t>《提醒敦促函》可以抄送有关单位的上级机关。</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59"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6"/>
          <w:w w:val="99"/>
          <w:sz w:val="32"/>
          <w:szCs w:val="32"/>
        </w:rPr>
        <w:t>第七条</w:t>
      </w:r>
      <w:r>
        <w:rPr>
          <w:rFonts w:hint="eastAsia" w:ascii="仿宋_GB2312" w:hAnsi="仿宋_GB2312" w:eastAsia="仿宋_GB2312" w:cs="仿宋_GB2312"/>
          <w:b/>
          <w:spacing w:val="11"/>
          <w:sz w:val="32"/>
          <w:szCs w:val="32"/>
        </w:rPr>
        <w:t xml:space="preserve"> </w:t>
      </w:r>
      <w:r>
        <w:rPr>
          <w:rFonts w:hint="eastAsia" w:ascii="仿宋_GB2312" w:hAnsi="仿宋_GB2312" w:eastAsia="仿宋_GB2312" w:cs="仿宋_GB2312"/>
          <w:spacing w:val="6"/>
          <w:w w:val="99"/>
          <w:sz w:val="32"/>
          <w:szCs w:val="32"/>
        </w:rPr>
        <w:t>有关单位违反《公平竞争审查条例》等有关规定，</w:t>
      </w:r>
      <w:r>
        <w:rPr>
          <w:rFonts w:hint="eastAsia" w:ascii="仿宋_GB2312" w:hAnsi="仿宋_GB2312" w:eastAsia="仿宋_GB2312" w:cs="仿宋_GB2312"/>
          <w:spacing w:val="-5"/>
          <w:w w:val="99"/>
          <w:sz w:val="32"/>
          <w:szCs w:val="32"/>
        </w:rPr>
        <w:t>经市场监督管理部门督促，逾期仍未提供核查材料或者整改的，</w:t>
      </w:r>
      <w:r>
        <w:rPr>
          <w:rFonts w:hint="eastAsia" w:ascii="仿宋_GB2312" w:hAnsi="仿宋_GB2312" w:eastAsia="仿宋_GB2312" w:cs="仿宋_GB2312"/>
          <w:spacing w:val="6"/>
          <w:w w:val="99"/>
          <w:sz w:val="32"/>
          <w:szCs w:val="32"/>
        </w:rPr>
        <w:t>上一级市场监督管理部门可以对其负责人进行约谈。</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56"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市场监督管理部门根据工作实际，可以联合有关单位的上级机关共同开展约谈。</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56"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约谈应当指出违反《公平竞争审查条例》等有关规定的问题，并提出明确整改要求。约谈情况可以向社会公开。</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711"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17"/>
          <w:sz w:val="32"/>
          <w:szCs w:val="32"/>
        </w:rPr>
        <w:t>第八</w:t>
      </w:r>
      <w:r>
        <w:rPr>
          <w:rFonts w:hint="eastAsia" w:ascii="仿宋_GB2312" w:hAnsi="仿宋_GB2312" w:eastAsia="仿宋_GB2312" w:cs="仿宋_GB2312"/>
          <w:b/>
          <w:spacing w:val="-15"/>
          <w:sz w:val="32"/>
          <w:szCs w:val="32"/>
        </w:rPr>
        <w:t xml:space="preserve">条 </w:t>
      </w:r>
      <w:r>
        <w:rPr>
          <w:rFonts w:hint="eastAsia" w:ascii="仿宋_GB2312" w:hAnsi="仿宋_GB2312" w:eastAsia="仿宋_GB2312" w:cs="仿宋_GB2312"/>
          <w:spacing w:val="15"/>
          <w:sz w:val="32"/>
          <w:szCs w:val="32"/>
        </w:rPr>
        <w:t>市场</w:t>
      </w:r>
      <w:r>
        <w:rPr>
          <w:rFonts w:hint="eastAsia" w:ascii="仿宋_GB2312" w:hAnsi="仿宋_GB2312" w:eastAsia="仿宋_GB2312" w:cs="仿宋_GB2312"/>
          <w:spacing w:val="14"/>
          <w:sz w:val="32"/>
          <w:szCs w:val="32"/>
        </w:rPr>
        <w:t>监督管</w:t>
      </w:r>
      <w:r>
        <w:rPr>
          <w:rFonts w:hint="eastAsia" w:ascii="仿宋_GB2312" w:hAnsi="仿宋_GB2312" w:eastAsia="仿宋_GB2312" w:cs="仿宋_GB2312"/>
          <w:spacing w:val="17"/>
          <w:sz w:val="32"/>
          <w:szCs w:val="32"/>
        </w:rPr>
        <w:t>理</w:t>
      </w:r>
      <w:r>
        <w:rPr>
          <w:rFonts w:hint="eastAsia" w:ascii="仿宋_GB2312" w:hAnsi="仿宋_GB2312" w:eastAsia="仿宋_GB2312" w:cs="仿宋_GB2312"/>
          <w:spacing w:val="14"/>
          <w:sz w:val="32"/>
          <w:szCs w:val="32"/>
        </w:rPr>
        <w:t>部门应</w:t>
      </w:r>
      <w:r>
        <w:rPr>
          <w:rFonts w:hint="eastAsia" w:ascii="仿宋_GB2312" w:hAnsi="仿宋_GB2312" w:eastAsia="仿宋_GB2312" w:cs="仿宋_GB2312"/>
          <w:spacing w:val="17"/>
          <w:sz w:val="32"/>
          <w:szCs w:val="32"/>
        </w:rPr>
        <w:t>当</w:t>
      </w:r>
      <w:r>
        <w:rPr>
          <w:rFonts w:hint="eastAsia" w:ascii="仿宋_GB2312" w:hAnsi="仿宋_GB2312" w:eastAsia="仿宋_GB2312" w:cs="仿宋_GB2312"/>
          <w:spacing w:val="14"/>
          <w:sz w:val="32"/>
          <w:szCs w:val="32"/>
        </w:rPr>
        <w:t>向本级</w:t>
      </w:r>
      <w:r>
        <w:rPr>
          <w:rFonts w:hint="eastAsia" w:ascii="仿宋_GB2312" w:hAnsi="仿宋_GB2312" w:eastAsia="仿宋_GB2312" w:cs="仿宋_GB2312"/>
          <w:spacing w:val="17"/>
          <w:sz w:val="32"/>
          <w:szCs w:val="32"/>
        </w:rPr>
        <w:t>人</w:t>
      </w:r>
      <w:r>
        <w:rPr>
          <w:rFonts w:hint="eastAsia" w:ascii="仿宋_GB2312" w:hAnsi="仿宋_GB2312" w:eastAsia="仿宋_GB2312" w:cs="仿宋_GB2312"/>
          <w:spacing w:val="14"/>
          <w:sz w:val="32"/>
          <w:szCs w:val="32"/>
        </w:rPr>
        <w:t>民政府</w:t>
      </w:r>
      <w:r>
        <w:rPr>
          <w:rFonts w:hint="eastAsia" w:ascii="仿宋_GB2312" w:hAnsi="仿宋_GB2312" w:eastAsia="仿宋_GB2312" w:cs="仿宋_GB2312"/>
          <w:spacing w:val="17"/>
          <w:sz w:val="32"/>
          <w:szCs w:val="32"/>
        </w:rPr>
        <w:t>报</w:t>
      </w:r>
      <w:r>
        <w:rPr>
          <w:rFonts w:hint="eastAsia" w:ascii="仿宋_GB2312" w:hAnsi="仿宋_GB2312" w:eastAsia="仿宋_GB2312" w:cs="仿宋_GB2312"/>
          <w:spacing w:val="14"/>
          <w:sz w:val="32"/>
          <w:szCs w:val="32"/>
        </w:rPr>
        <w:t>告抽</w:t>
      </w:r>
      <w:r>
        <w:rPr>
          <w:rFonts w:hint="eastAsia" w:ascii="仿宋_GB2312" w:hAnsi="仿宋_GB2312" w:eastAsia="仿宋_GB2312" w:cs="仿宋_GB2312"/>
          <w:sz w:val="32"/>
          <w:szCs w:val="32"/>
        </w:rPr>
        <w:t>查</w:t>
      </w:r>
      <w:r>
        <w:rPr>
          <w:rFonts w:hint="eastAsia" w:ascii="仿宋_GB2312" w:hAnsi="仿宋_GB2312" w:eastAsia="仿宋_GB2312" w:cs="仿宋_GB2312"/>
          <w:spacing w:val="-2"/>
          <w:sz w:val="32"/>
          <w:szCs w:val="32"/>
        </w:rPr>
        <w:t>情况，抽查结果可以向社会公开。</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79"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11"/>
          <w:w w:val="99"/>
          <w:sz w:val="32"/>
          <w:szCs w:val="32"/>
        </w:rPr>
        <w:t>第九条</w:t>
      </w:r>
      <w:r>
        <w:rPr>
          <w:rFonts w:hint="eastAsia" w:ascii="仿宋_GB2312" w:hAnsi="仿宋_GB2312" w:eastAsia="仿宋_GB2312" w:cs="仿宋_GB2312"/>
          <w:b/>
          <w:spacing w:val="23"/>
          <w:sz w:val="32"/>
          <w:szCs w:val="32"/>
        </w:rPr>
        <w:t xml:space="preserve"> </w:t>
      </w:r>
      <w:r>
        <w:rPr>
          <w:rFonts w:hint="eastAsia" w:ascii="仿宋_GB2312" w:hAnsi="仿宋_GB2312" w:eastAsia="仿宋_GB2312" w:cs="仿宋_GB2312"/>
          <w:spacing w:val="13"/>
          <w:w w:val="99"/>
          <w:sz w:val="32"/>
          <w:szCs w:val="32"/>
        </w:rPr>
        <w:t>未依照《公平竞争审查条例》等有关规定开展公</w:t>
      </w:r>
      <w:r>
        <w:rPr>
          <w:rFonts w:hint="eastAsia" w:ascii="仿宋_GB2312" w:hAnsi="仿宋_GB2312" w:eastAsia="仿宋_GB2312" w:cs="仿宋_GB2312"/>
          <w:spacing w:val="6"/>
          <w:w w:val="99"/>
          <w:sz w:val="32"/>
          <w:szCs w:val="32"/>
        </w:rPr>
        <w:t>平竞争审查，造成严重不良影响的，市场监督管理部门可以向有关上级机关提出对有关单位直接负责的主管人员和其他直接责任人员依法给予处分的建议。</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56"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pacing w:val="6"/>
          <w:w w:val="99"/>
          <w:sz w:val="32"/>
          <w:szCs w:val="32"/>
        </w:rPr>
        <w:t>市场监督管理部门在抽查中发现有关单位及其工作人员涉嫌违纪违法的，可以将有关问题线索按规定移送相应纪检监察</w:t>
      </w:r>
      <w:r>
        <w:rPr>
          <w:rFonts w:hint="eastAsia" w:ascii="仿宋_GB2312" w:hAnsi="仿宋_GB2312" w:eastAsia="仿宋_GB2312" w:cs="仿宋_GB2312"/>
          <w:spacing w:val="5"/>
          <w:w w:val="99"/>
          <w:sz w:val="32"/>
          <w:szCs w:val="32"/>
        </w:rPr>
        <w:t>机关。</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79"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17"/>
          <w:w w:val="95"/>
          <w:sz w:val="32"/>
          <w:szCs w:val="32"/>
        </w:rPr>
        <w:t>第十</w:t>
      </w:r>
      <w:r>
        <w:rPr>
          <w:rFonts w:hint="eastAsia" w:ascii="仿宋_GB2312" w:hAnsi="仿宋_GB2312" w:eastAsia="仿宋_GB2312" w:cs="仿宋_GB2312"/>
          <w:b/>
          <w:w w:val="95"/>
          <w:sz w:val="32"/>
          <w:szCs w:val="32"/>
        </w:rPr>
        <w:t>条</w:t>
      </w:r>
      <w:r>
        <w:rPr>
          <w:rFonts w:hint="eastAsia" w:ascii="仿宋_GB2312" w:hAnsi="仿宋_GB2312" w:eastAsia="仿宋_GB2312" w:cs="仿宋_GB2312"/>
          <w:b/>
          <w:spacing w:val="78"/>
          <w:sz w:val="32"/>
          <w:szCs w:val="32"/>
        </w:rPr>
        <w:t xml:space="preserve">  </w:t>
      </w:r>
      <w:r>
        <w:rPr>
          <w:rFonts w:hint="eastAsia" w:ascii="仿宋_GB2312" w:hAnsi="仿宋_GB2312" w:eastAsia="仿宋_GB2312" w:cs="仿宋_GB2312"/>
          <w:spacing w:val="15"/>
          <w:w w:val="95"/>
          <w:sz w:val="32"/>
          <w:szCs w:val="32"/>
        </w:rPr>
        <w:t>市场</w:t>
      </w:r>
      <w:r>
        <w:rPr>
          <w:rFonts w:hint="eastAsia" w:ascii="仿宋_GB2312" w:hAnsi="仿宋_GB2312" w:eastAsia="仿宋_GB2312" w:cs="仿宋_GB2312"/>
          <w:spacing w:val="14"/>
          <w:w w:val="95"/>
          <w:sz w:val="32"/>
          <w:szCs w:val="32"/>
        </w:rPr>
        <w:t>监督管</w:t>
      </w:r>
      <w:r>
        <w:rPr>
          <w:rFonts w:hint="eastAsia" w:ascii="仿宋_GB2312" w:hAnsi="仿宋_GB2312" w:eastAsia="仿宋_GB2312" w:cs="仿宋_GB2312"/>
          <w:spacing w:val="17"/>
          <w:w w:val="95"/>
          <w:sz w:val="32"/>
          <w:szCs w:val="32"/>
        </w:rPr>
        <w:t>理</w:t>
      </w:r>
      <w:r>
        <w:rPr>
          <w:rFonts w:hint="eastAsia" w:ascii="仿宋_GB2312" w:hAnsi="仿宋_GB2312" w:eastAsia="仿宋_GB2312" w:cs="仿宋_GB2312"/>
          <w:spacing w:val="14"/>
          <w:w w:val="95"/>
          <w:sz w:val="32"/>
          <w:szCs w:val="32"/>
        </w:rPr>
        <w:t>部门经</w:t>
      </w:r>
      <w:r>
        <w:rPr>
          <w:rFonts w:hint="eastAsia" w:ascii="仿宋_GB2312" w:hAnsi="仿宋_GB2312" w:eastAsia="仿宋_GB2312" w:cs="仿宋_GB2312"/>
          <w:spacing w:val="17"/>
          <w:w w:val="95"/>
          <w:sz w:val="32"/>
          <w:szCs w:val="32"/>
        </w:rPr>
        <w:t>核</w:t>
      </w:r>
      <w:r>
        <w:rPr>
          <w:rFonts w:hint="eastAsia" w:ascii="仿宋_GB2312" w:hAnsi="仿宋_GB2312" w:eastAsia="仿宋_GB2312" w:cs="仿宋_GB2312"/>
          <w:spacing w:val="14"/>
          <w:w w:val="95"/>
          <w:sz w:val="32"/>
          <w:szCs w:val="32"/>
        </w:rPr>
        <w:t>查认</w:t>
      </w:r>
      <w:r>
        <w:rPr>
          <w:rFonts w:hint="eastAsia" w:ascii="仿宋_GB2312" w:hAnsi="仿宋_GB2312" w:eastAsia="仿宋_GB2312" w:cs="仿宋_GB2312"/>
          <w:spacing w:val="17"/>
          <w:w w:val="95"/>
          <w:sz w:val="32"/>
          <w:szCs w:val="32"/>
        </w:rPr>
        <w:t>为</w:t>
      </w:r>
      <w:r>
        <w:rPr>
          <w:rFonts w:hint="eastAsia" w:ascii="仿宋_GB2312" w:hAnsi="仿宋_GB2312" w:eastAsia="仿宋_GB2312" w:cs="仿宋_GB2312"/>
          <w:spacing w:val="14"/>
          <w:w w:val="95"/>
          <w:sz w:val="32"/>
          <w:szCs w:val="32"/>
        </w:rPr>
        <w:t>有关政</w:t>
      </w:r>
      <w:r>
        <w:rPr>
          <w:rFonts w:hint="eastAsia" w:ascii="仿宋_GB2312" w:hAnsi="仿宋_GB2312" w:eastAsia="仿宋_GB2312" w:cs="仿宋_GB2312"/>
          <w:spacing w:val="17"/>
          <w:w w:val="95"/>
          <w:sz w:val="32"/>
          <w:szCs w:val="32"/>
        </w:rPr>
        <w:t>策</w:t>
      </w:r>
      <w:r>
        <w:rPr>
          <w:rFonts w:hint="eastAsia" w:ascii="仿宋_GB2312" w:hAnsi="仿宋_GB2312" w:eastAsia="仿宋_GB2312" w:cs="仿宋_GB2312"/>
          <w:spacing w:val="14"/>
          <w:w w:val="95"/>
          <w:sz w:val="32"/>
          <w:szCs w:val="32"/>
        </w:rPr>
        <w:t>措施的</w:t>
      </w:r>
      <w:r>
        <w:rPr>
          <w:rFonts w:hint="eastAsia" w:ascii="仿宋_GB2312" w:hAnsi="仿宋_GB2312" w:eastAsia="仿宋_GB2312" w:cs="仿宋_GB2312"/>
          <w:spacing w:val="-10"/>
          <w:w w:val="95"/>
          <w:sz w:val="32"/>
          <w:szCs w:val="32"/>
        </w:rPr>
        <w:t>制</w:t>
      </w:r>
      <w:r>
        <w:rPr>
          <w:rFonts w:hint="eastAsia" w:ascii="仿宋_GB2312" w:hAnsi="仿宋_GB2312" w:eastAsia="仿宋_GB2312" w:cs="仿宋_GB2312"/>
          <w:spacing w:val="6"/>
          <w:w w:val="99"/>
          <w:sz w:val="32"/>
          <w:szCs w:val="32"/>
        </w:rPr>
        <w:t>定依据涉嫌违反《公平竞争审查条例》等有关规定的，应当逐级报告有处理权限的上级市场监督管理部门，由其按照有关规</w:t>
      </w:r>
      <w:r>
        <w:rPr>
          <w:rFonts w:hint="eastAsia" w:ascii="仿宋_GB2312" w:hAnsi="仿宋_GB2312" w:eastAsia="仿宋_GB2312" w:cs="仿宋_GB2312"/>
          <w:spacing w:val="5"/>
          <w:w w:val="99"/>
          <w:sz w:val="32"/>
          <w:szCs w:val="32"/>
        </w:rPr>
        <w:t>定开展核查。</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79"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11"/>
          <w:w w:val="99"/>
          <w:sz w:val="32"/>
          <w:szCs w:val="32"/>
        </w:rPr>
        <w:t>第十一条</w:t>
      </w:r>
      <w:r>
        <w:rPr>
          <w:rFonts w:hint="eastAsia" w:ascii="仿宋_GB2312" w:hAnsi="仿宋_GB2312" w:eastAsia="仿宋_GB2312" w:cs="仿宋_GB2312"/>
          <w:b/>
          <w:spacing w:val="26"/>
          <w:sz w:val="32"/>
          <w:szCs w:val="32"/>
        </w:rPr>
        <w:t xml:space="preserve"> </w:t>
      </w:r>
      <w:r>
        <w:rPr>
          <w:rFonts w:hint="eastAsia" w:ascii="仿宋_GB2312" w:hAnsi="仿宋_GB2312" w:eastAsia="仿宋_GB2312" w:cs="仿宋_GB2312"/>
          <w:spacing w:val="13"/>
          <w:w w:val="99"/>
          <w:sz w:val="32"/>
          <w:szCs w:val="32"/>
        </w:rPr>
        <w:t>抽查发现涉嫌滥用行政权力排除、限制竞争的</w:t>
      </w:r>
      <w:r>
        <w:rPr>
          <w:rFonts w:hint="eastAsia" w:ascii="仿宋_GB2312" w:hAnsi="仿宋_GB2312" w:eastAsia="仿宋_GB2312" w:cs="仿宋_GB2312"/>
          <w:spacing w:val="6"/>
          <w:w w:val="99"/>
          <w:sz w:val="32"/>
          <w:szCs w:val="32"/>
        </w:rPr>
        <w:t>行为，及时按照《中华人民共和国反垄断法》等有关规定，移交有管辖权的反垄断执法机构调查处理。</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79"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spacing w:val="11"/>
          <w:w w:val="99"/>
          <w:sz w:val="32"/>
          <w:szCs w:val="32"/>
        </w:rPr>
        <w:t>第十二条</w:t>
      </w:r>
      <w:r>
        <w:rPr>
          <w:rFonts w:hint="eastAsia" w:ascii="仿宋_GB2312" w:hAnsi="仿宋_GB2312" w:eastAsia="仿宋_GB2312" w:cs="仿宋_GB2312"/>
          <w:b/>
          <w:spacing w:val="26"/>
          <w:sz w:val="32"/>
          <w:szCs w:val="32"/>
        </w:rPr>
        <w:t xml:space="preserve"> </w:t>
      </w:r>
      <w:r>
        <w:rPr>
          <w:rFonts w:hint="eastAsia" w:ascii="仿宋_GB2312" w:hAnsi="仿宋_GB2312" w:eastAsia="仿宋_GB2312" w:cs="仿宋_GB2312"/>
          <w:spacing w:val="13"/>
          <w:w w:val="99"/>
          <w:sz w:val="32"/>
          <w:szCs w:val="32"/>
        </w:rPr>
        <w:t>对公平竞争审查抽查工作中获悉的国家秘密、</w:t>
      </w:r>
      <w:r>
        <w:rPr>
          <w:rFonts w:hint="eastAsia" w:ascii="仿宋_GB2312" w:hAnsi="仿宋_GB2312" w:eastAsia="仿宋_GB2312" w:cs="仿宋_GB2312"/>
          <w:spacing w:val="6"/>
          <w:w w:val="99"/>
          <w:sz w:val="32"/>
          <w:szCs w:val="32"/>
        </w:rPr>
        <w:t>商业秘密和个人隐私，市场监督管理部门、有关单位、个人应当依法予以保密。</w:t>
      </w:r>
    </w:p>
    <w:p>
      <w:pPr>
        <w:pStyle w:val="4"/>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11"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w w:val="95"/>
          <w:sz w:val="32"/>
          <w:szCs w:val="32"/>
        </w:rPr>
        <w:t>第十三条</w:t>
      </w:r>
      <w:r>
        <w:rPr>
          <w:rFonts w:hint="eastAsia" w:ascii="仿宋_GB2312" w:hAnsi="仿宋_GB2312" w:eastAsia="仿宋_GB2312" w:cs="仿宋_GB2312"/>
          <w:b/>
          <w:spacing w:val="10"/>
          <w:w w:val="150"/>
          <w:sz w:val="32"/>
          <w:szCs w:val="32"/>
        </w:rPr>
        <w:t xml:space="preserve"> </w:t>
      </w:r>
      <w:r>
        <w:rPr>
          <w:rFonts w:hint="eastAsia" w:ascii="仿宋_GB2312" w:hAnsi="仿宋_GB2312" w:eastAsia="仿宋_GB2312" w:cs="仿宋_GB2312"/>
          <w:spacing w:val="-4"/>
          <w:w w:val="95"/>
          <w:sz w:val="32"/>
          <w:szCs w:val="32"/>
        </w:rPr>
        <w:t xml:space="preserve">本规则自 </w:t>
      </w:r>
      <w:r>
        <w:rPr>
          <w:rFonts w:hint="eastAsia" w:ascii="仿宋_GB2312" w:hAnsi="仿宋_GB2312" w:eastAsia="仿宋_GB2312" w:cs="仿宋_GB2312"/>
          <w:w w:val="95"/>
          <w:sz w:val="32"/>
          <w:szCs w:val="32"/>
        </w:rPr>
        <w:t>2024</w:t>
      </w:r>
      <w:r>
        <w:rPr>
          <w:rFonts w:hint="eastAsia" w:ascii="仿宋_GB2312" w:hAnsi="仿宋_GB2312" w:eastAsia="仿宋_GB2312" w:cs="仿宋_GB2312"/>
          <w:spacing w:val="-16"/>
          <w:w w:val="95"/>
          <w:sz w:val="32"/>
          <w:szCs w:val="32"/>
        </w:rPr>
        <w:t xml:space="preserve"> 年 </w:t>
      </w:r>
      <w:r>
        <w:rPr>
          <w:rFonts w:hint="eastAsia" w:ascii="仿宋_GB2312" w:hAnsi="仿宋_GB2312" w:eastAsia="仿宋_GB2312" w:cs="仿宋_GB2312"/>
          <w:w w:val="95"/>
          <w:sz w:val="32"/>
          <w:szCs w:val="32"/>
        </w:rPr>
        <w:t>11</w:t>
      </w:r>
      <w:r>
        <w:rPr>
          <w:rFonts w:hint="eastAsia" w:ascii="仿宋_GB2312" w:hAnsi="仿宋_GB2312" w:eastAsia="仿宋_GB2312" w:cs="仿宋_GB2312"/>
          <w:spacing w:val="-16"/>
          <w:w w:val="95"/>
          <w:sz w:val="32"/>
          <w:szCs w:val="32"/>
        </w:rPr>
        <w:t xml:space="preserve"> 月 </w:t>
      </w:r>
      <w:r>
        <w:rPr>
          <w:rFonts w:hint="eastAsia" w:ascii="仿宋_GB2312" w:hAnsi="仿宋_GB2312" w:eastAsia="仿宋_GB2312" w:cs="仿宋_GB2312"/>
          <w:w w:val="95"/>
          <w:sz w:val="32"/>
          <w:szCs w:val="32"/>
        </w:rPr>
        <w:t>12</w:t>
      </w:r>
      <w:r>
        <w:rPr>
          <w:rFonts w:hint="eastAsia" w:ascii="仿宋_GB2312" w:hAnsi="仿宋_GB2312" w:eastAsia="仿宋_GB2312" w:cs="仿宋_GB2312"/>
          <w:spacing w:val="-7"/>
          <w:w w:val="95"/>
          <w:sz w:val="32"/>
          <w:szCs w:val="32"/>
        </w:rPr>
        <w:t xml:space="preserve"> 日起实施。</w:t>
      </w:r>
    </w:p>
    <w:p>
      <w:pPr>
        <w:keepNext w:val="0"/>
        <w:keepLines w:val="0"/>
        <w:pageBreakBefore w:val="0"/>
        <w:widowControl w:val="0"/>
        <w:kinsoku/>
        <w:wordWrap/>
        <w:overflowPunct/>
        <w:topLinePunct w:val="0"/>
        <w:autoSpaceDE w:val="0"/>
        <w:autoSpaceDN w:val="0"/>
        <w:bidi w:val="0"/>
        <w:adjustRightInd/>
        <w:snapToGrid/>
        <w:spacing w:before="0" w:after="0" w:line="560" w:lineRule="exact"/>
        <w:ind w:left="0" w:leftChars="0" w:right="0" w:rightChars="0" w:firstLine="640" w:firstLineChars="200"/>
        <w:textAlignment w:val="auto"/>
        <w:outlineLvl w:val="9"/>
        <w:rPr>
          <w:rFonts w:hint="eastAsia" w:ascii="仿宋_GB2312" w:hAnsi="仿宋_GB2312" w:eastAsia="仿宋_GB2312" w:cs="仿宋_GB2312"/>
          <w:sz w:val="32"/>
          <w:szCs w:val="32"/>
        </w:rPr>
      </w:pPr>
    </w:p>
    <w:sectPr>
      <w:footerReference r:id="rId3" w:type="default"/>
      <w:pgSz w:w="11910" w:h="16840"/>
      <w:pgMar w:top="2041" w:right="1587" w:bottom="2041" w:left="1587" w:header="0" w:footer="1379"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ind w:left="0"/>
      <w:rPr>
        <w:sz w:val="20"/>
      </w:rPr>
    </w:pPr>
    <w:r>
      <mc:AlternateContent>
        <mc:Choice Requires="wps">
          <w:drawing>
            <wp:anchor distT="0" distB="0" distL="114300" distR="114300" simplePos="0" relativeHeight="487405568" behindDoc="1" locked="0" layoutInCell="1" allowOverlap="1">
              <wp:simplePos x="0" y="0"/>
              <wp:positionH relativeFrom="page">
                <wp:posOffset>6075045</wp:posOffset>
              </wp:positionH>
              <wp:positionV relativeFrom="page">
                <wp:posOffset>9676130</wp:posOffset>
              </wp:positionV>
              <wp:extent cx="558165" cy="203835"/>
              <wp:effectExtent l="0" t="0" r="0" b="0"/>
              <wp:wrapNone/>
              <wp:docPr id="3" name="文本框 3"/>
              <wp:cNvGraphicFramePr/>
              <a:graphic xmlns:a="http://schemas.openxmlformats.org/drawingml/2006/main">
                <a:graphicData uri="http://schemas.microsoft.com/office/word/2010/wordprocessingShape">
                  <wps:wsp>
                    <wps:cNvSpPr txBox="1"/>
                    <wps:spPr>
                      <a:xfrm>
                        <a:off x="0" y="0"/>
                        <a:ext cx="558165" cy="203835"/>
                      </a:xfrm>
                      <a:prstGeom prst="rect">
                        <a:avLst/>
                      </a:prstGeom>
                      <a:noFill/>
                      <a:ln w="9525">
                        <a:noFill/>
                      </a:ln>
                    </wps:spPr>
                    <wps:txbx>
                      <w:txbxContent>
                        <w:p>
                          <w:pPr>
                            <w:spacing w:before="0" w:line="321" w:lineRule="exact"/>
                            <w:ind w:left="20" w:right="0" w:firstLine="0"/>
                            <w:jc w:val="left"/>
                            <w:rPr>
                              <w:rFonts w:ascii="宋体"/>
                              <w:sz w:val="28"/>
                            </w:rPr>
                          </w:pPr>
                          <w:r>
                            <w:rPr>
                              <w:rFonts w:ascii="宋体"/>
                              <w:sz w:val="28"/>
                            </w:rPr>
                            <w:t>-</w:t>
                          </w:r>
                          <w:r>
                            <w:rPr>
                              <w:rFonts w:ascii="宋体"/>
                              <w:spacing w:val="-3"/>
                              <w:sz w:val="28"/>
                            </w:rPr>
                            <w:t xml:space="preserve"> </w:t>
                          </w:r>
                          <w:r>
                            <w:rPr>
                              <w:rFonts w:ascii="宋体"/>
                              <w:sz w:val="28"/>
                            </w:rPr>
                            <w:fldChar w:fldCharType="begin"/>
                          </w:r>
                          <w:r>
                            <w:rPr>
                              <w:rFonts w:ascii="宋体"/>
                              <w:sz w:val="28"/>
                            </w:rPr>
                            <w:instrText xml:space="preserve"> PAGE </w:instrText>
                          </w:r>
                          <w:r>
                            <w:rPr>
                              <w:rFonts w:ascii="宋体"/>
                              <w:sz w:val="28"/>
                            </w:rPr>
                            <w:fldChar w:fldCharType="separate"/>
                          </w:r>
                          <w:r>
                            <w:rPr>
                              <w:rFonts w:ascii="宋体"/>
                              <w:sz w:val="28"/>
                            </w:rPr>
                            <w:t>11</w:t>
                          </w:r>
                          <w:r>
                            <w:rPr>
                              <w:rFonts w:ascii="宋体"/>
                              <w:sz w:val="28"/>
                            </w:rPr>
                            <w:fldChar w:fldCharType="end"/>
                          </w:r>
                          <w:r>
                            <w:rPr>
                              <w:rFonts w:ascii="宋体"/>
                              <w:spacing w:val="-3"/>
                              <w:sz w:val="28"/>
                            </w:rPr>
                            <w:t xml:space="preserve"> </w:t>
                          </w:r>
                          <w:r>
                            <w:rPr>
                              <w:rFonts w:ascii="宋体"/>
                              <w:spacing w:val="-10"/>
                              <w:sz w:val="28"/>
                            </w:rPr>
                            <w:t>-</w:t>
                          </w:r>
                        </w:p>
                      </w:txbxContent>
                    </wps:txbx>
                    <wps:bodyPr lIns="0" tIns="0" rIns="0" bIns="0" upright="1"/>
                  </wps:wsp>
                </a:graphicData>
              </a:graphic>
            </wp:anchor>
          </w:drawing>
        </mc:Choice>
        <mc:Fallback>
          <w:pict>
            <v:shape id="_x0000_s1026" o:spid="_x0000_s1026" o:spt="202" type="#_x0000_t202" style="position:absolute;left:0pt;margin-left:478.35pt;margin-top:761.9pt;height:16.05pt;width:43.95pt;mso-position-horizontal-relative:page;mso-position-vertical-relative:page;z-index:-15910912;mso-width-relative:page;mso-height-relative:page;" filled="f" stroked="f" coordsize="21600,21600" o:gfxdata="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tt8i9sAAAAO&#10;AQAADwAAAAAAAAABACAAAAAiAAAAZHJzL2Rvd25yZXYueG1sUEsBAhQAFAAAAAgAh07iQMlYm6en&#10;AQAALAMAAA4AAAAAAAAAAQAgAAAAKgEAAGRycy9lMm9Eb2MueG1sUEsFBgAAAAAGAAYAWQEAAEMF&#10;AAAAAA==&#10;">
              <v:fill on="f" focussize="0,0"/>
              <v:stroke on="f"/>
              <v:imagedata o:title=""/>
              <o:lock v:ext="edit" aspectratio="f"/>
              <v:textbox inset="0mm,0mm,0mm,0mm">
                <w:txbxContent>
                  <w:p>
                    <w:pPr>
                      <w:spacing w:before="0" w:line="321" w:lineRule="exact"/>
                      <w:ind w:left="20" w:right="0" w:firstLine="0"/>
                      <w:jc w:val="left"/>
                      <w:rPr>
                        <w:rFonts w:ascii="宋体"/>
                        <w:sz w:val="28"/>
                      </w:rPr>
                    </w:pPr>
                    <w:r>
                      <w:rPr>
                        <w:rFonts w:ascii="宋体"/>
                        <w:sz w:val="28"/>
                      </w:rPr>
                      <w:t>-</w:t>
                    </w:r>
                    <w:r>
                      <w:rPr>
                        <w:rFonts w:ascii="宋体"/>
                        <w:spacing w:val="-3"/>
                        <w:sz w:val="28"/>
                      </w:rPr>
                      <w:t xml:space="preserve"> </w:t>
                    </w:r>
                    <w:r>
                      <w:rPr>
                        <w:rFonts w:ascii="宋体"/>
                        <w:sz w:val="28"/>
                      </w:rPr>
                      <w:fldChar w:fldCharType="begin"/>
                    </w:r>
                    <w:r>
                      <w:rPr>
                        <w:rFonts w:ascii="宋体"/>
                        <w:sz w:val="28"/>
                      </w:rPr>
                      <w:instrText xml:space="preserve"> PAGE </w:instrText>
                    </w:r>
                    <w:r>
                      <w:rPr>
                        <w:rFonts w:ascii="宋体"/>
                        <w:sz w:val="28"/>
                      </w:rPr>
                      <w:fldChar w:fldCharType="separate"/>
                    </w:r>
                    <w:r>
                      <w:rPr>
                        <w:rFonts w:ascii="宋体"/>
                        <w:sz w:val="28"/>
                      </w:rPr>
                      <w:t>11</w:t>
                    </w:r>
                    <w:r>
                      <w:rPr>
                        <w:rFonts w:ascii="宋体"/>
                        <w:sz w:val="28"/>
                      </w:rPr>
                      <w:fldChar w:fldCharType="end"/>
                    </w:r>
                    <w:r>
                      <w:rPr>
                        <w:rFonts w:ascii="宋体"/>
                        <w:spacing w:val="-3"/>
                        <w:sz w:val="28"/>
                      </w:rPr>
                      <w:t xml:space="preserve"> </w:t>
                    </w:r>
                    <w:r>
                      <w:rPr>
                        <w:rFonts w:ascii="宋体"/>
                        <w:spacing w:val="-10"/>
                        <w:sz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34136A"/>
    <w:multiLevelType w:val="multilevel"/>
    <w:tmpl w:val="6734136A"/>
    <w:lvl w:ilvl="0" w:tentative="0">
      <w:start w:val="1"/>
      <w:numFmt w:val="decimal"/>
      <w:lvlText w:val="%1."/>
      <w:lvlJc w:val="left"/>
      <w:pPr>
        <w:ind w:left="106" w:hanging="327"/>
        <w:jc w:val="left"/>
      </w:pPr>
      <w:rPr>
        <w:rFonts w:hint="default"/>
        <w:spacing w:val="1"/>
        <w:w w:val="99"/>
        <w:lang w:val="en-US" w:eastAsia="zh-CN" w:bidi="ar-SA"/>
      </w:rPr>
    </w:lvl>
    <w:lvl w:ilvl="1" w:tentative="0">
      <w:start w:val="0"/>
      <w:numFmt w:val="bullet"/>
      <w:lvlText w:val="•"/>
      <w:lvlJc w:val="left"/>
      <w:pPr>
        <w:ind w:left="1012" w:hanging="327"/>
      </w:pPr>
      <w:rPr>
        <w:rFonts w:hint="default"/>
        <w:lang w:val="en-US" w:eastAsia="zh-CN" w:bidi="ar-SA"/>
      </w:rPr>
    </w:lvl>
    <w:lvl w:ilvl="2" w:tentative="0">
      <w:start w:val="0"/>
      <w:numFmt w:val="bullet"/>
      <w:lvlText w:val="•"/>
      <w:lvlJc w:val="left"/>
      <w:pPr>
        <w:ind w:left="1925" w:hanging="327"/>
      </w:pPr>
      <w:rPr>
        <w:rFonts w:hint="default"/>
        <w:lang w:val="en-US" w:eastAsia="zh-CN" w:bidi="ar-SA"/>
      </w:rPr>
    </w:lvl>
    <w:lvl w:ilvl="3" w:tentative="0">
      <w:start w:val="0"/>
      <w:numFmt w:val="bullet"/>
      <w:lvlText w:val="•"/>
      <w:lvlJc w:val="left"/>
      <w:pPr>
        <w:ind w:left="2837" w:hanging="327"/>
      </w:pPr>
      <w:rPr>
        <w:rFonts w:hint="default"/>
        <w:lang w:val="en-US" w:eastAsia="zh-CN" w:bidi="ar-SA"/>
      </w:rPr>
    </w:lvl>
    <w:lvl w:ilvl="4" w:tentative="0">
      <w:start w:val="0"/>
      <w:numFmt w:val="bullet"/>
      <w:lvlText w:val="•"/>
      <w:lvlJc w:val="left"/>
      <w:pPr>
        <w:ind w:left="3750" w:hanging="327"/>
      </w:pPr>
      <w:rPr>
        <w:rFonts w:hint="default"/>
        <w:lang w:val="en-US" w:eastAsia="zh-CN" w:bidi="ar-SA"/>
      </w:rPr>
    </w:lvl>
    <w:lvl w:ilvl="5" w:tentative="0">
      <w:start w:val="0"/>
      <w:numFmt w:val="bullet"/>
      <w:lvlText w:val="•"/>
      <w:lvlJc w:val="left"/>
      <w:pPr>
        <w:ind w:left="4663" w:hanging="327"/>
      </w:pPr>
      <w:rPr>
        <w:rFonts w:hint="default"/>
        <w:lang w:val="en-US" w:eastAsia="zh-CN" w:bidi="ar-SA"/>
      </w:rPr>
    </w:lvl>
    <w:lvl w:ilvl="6" w:tentative="0">
      <w:start w:val="0"/>
      <w:numFmt w:val="bullet"/>
      <w:lvlText w:val="•"/>
      <w:lvlJc w:val="left"/>
      <w:pPr>
        <w:ind w:left="5575" w:hanging="327"/>
      </w:pPr>
      <w:rPr>
        <w:rFonts w:hint="default"/>
        <w:lang w:val="en-US" w:eastAsia="zh-CN" w:bidi="ar-SA"/>
      </w:rPr>
    </w:lvl>
    <w:lvl w:ilvl="7" w:tentative="0">
      <w:start w:val="0"/>
      <w:numFmt w:val="bullet"/>
      <w:lvlText w:val="•"/>
      <w:lvlJc w:val="left"/>
      <w:pPr>
        <w:ind w:left="6488" w:hanging="327"/>
      </w:pPr>
      <w:rPr>
        <w:rFonts w:hint="default"/>
        <w:lang w:val="en-US" w:eastAsia="zh-CN" w:bidi="ar-SA"/>
      </w:rPr>
    </w:lvl>
    <w:lvl w:ilvl="8" w:tentative="0">
      <w:start w:val="0"/>
      <w:numFmt w:val="bullet"/>
      <w:lvlText w:val="•"/>
      <w:lvlJc w:val="left"/>
      <w:pPr>
        <w:ind w:left="7400" w:hanging="327"/>
      </w:pPr>
      <w:rPr>
        <w:rFonts w:hint="default"/>
        <w:lang w:val="en-US" w:eastAsia="zh-CN" w:bidi="ar-SA"/>
      </w:rPr>
    </w:lvl>
  </w:abstractNum>
  <w:abstractNum w:abstractNumId="1">
    <w:nsid w:val="67341375"/>
    <w:multiLevelType w:val="multilevel"/>
    <w:tmpl w:val="67341375"/>
    <w:lvl w:ilvl="0" w:tentative="0">
      <w:start w:val="1"/>
      <w:numFmt w:val="decimal"/>
      <w:lvlText w:val="%1."/>
      <w:lvlJc w:val="left"/>
      <w:pPr>
        <w:ind w:left="1090" w:hanging="327"/>
        <w:jc w:val="left"/>
      </w:pPr>
      <w:rPr>
        <w:rFonts w:hint="default" w:ascii="仿宋_GB2312" w:hAnsi="仿宋_GB2312" w:eastAsia="仿宋_GB2312" w:cs="仿宋_GB2312"/>
        <w:b w:val="0"/>
        <w:bCs w:val="0"/>
        <w:i w:val="0"/>
        <w:iCs w:val="0"/>
        <w:spacing w:val="1"/>
        <w:w w:val="99"/>
        <w:sz w:val="30"/>
        <w:szCs w:val="30"/>
        <w:lang w:val="en-US" w:eastAsia="zh-CN" w:bidi="ar-SA"/>
      </w:rPr>
    </w:lvl>
    <w:lvl w:ilvl="1" w:tentative="0">
      <w:start w:val="0"/>
      <w:numFmt w:val="bullet"/>
      <w:lvlText w:val="•"/>
      <w:lvlJc w:val="left"/>
      <w:pPr>
        <w:ind w:left="1912" w:hanging="327"/>
      </w:pPr>
      <w:rPr>
        <w:rFonts w:hint="default"/>
        <w:lang w:val="en-US" w:eastAsia="zh-CN" w:bidi="ar-SA"/>
      </w:rPr>
    </w:lvl>
    <w:lvl w:ilvl="2" w:tentative="0">
      <w:start w:val="0"/>
      <w:numFmt w:val="bullet"/>
      <w:lvlText w:val="•"/>
      <w:lvlJc w:val="left"/>
      <w:pPr>
        <w:ind w:left="2725" w:hanging="327"/>
      </w:pPr>
      <w:rPr>
        <w:rFonts w:hint="default"/>
        <w:lang w:val="en-US" w:eastAsia="zh-CN" w:bidi="ar-SA"/>
      </w:rPr>
    </w:lvl>
    <w:lvl w:ilvl="3" w:tentative="0">
      <w:start w:val="0"/>
      <w:numFmt w:val="bullet"/>
      <w:lvlText w:val="•"/>
      <w:lvlJc w:val="left"/>
      <w:pPr>
        <w:ind w:left="3537" w:hanging="327"/>
      </w:pPr>
      <w:rPr>
        <w:rFonts w:hint="default"/>
        <w:lang w:val="en-US" w:eastAsia="zh-CN" w:bidi="ar-SA"/>
      </w:rPr>
    </w:lvl>
    <w:lvl w:ilvl="4" w:tentative="0">
      <w:start w:val="0"/>
      <w:numFmt w:val="bullet"/>
      <w:lvlText w:val="•"/>
      <w:lvlJc w:val="left"/>
      <w:pPr>
        <w:ind w:left="4350" w:hanging="327"/>
      </w:pPr>
      <w:rPr>
        <w:rFonts w:hint="default"/>
        <w:lang w:val="en-US" w:eastAsia="zh-CN" w:bidi="ar-SA"/>
      </w:rPr>
    </w:lvl>
    <w:lvl w:ilvl="5" w:tentative="0">
      <w:start w:val="0"/>
      <w:numFmt w:val="bullet"/>
      <w:lvlText w:val="•"/>
      <w:lvlJc w:val="left"/>
      <w:pPr>
        <w:ind w:left="5163" w:hanging="327"/>
      </w:pPr>
      <w:rPr>
        <w:rFonts w:hint="default"/>
        <w:lang w:val="en-US" w:eastAsia="zh-CN" w:bidi="ar-SA"/>
      </w:rPr>
    </w:lvl>
    <w:lvl w:ilvl="6" w:tentative="0">
      <w:start w:val="0"/>
      <w:numFmt w:val="bullet"/>
      <w:lvlText w:val="•"/>
      <w:lvlJc w:val="left"/>
      <w:pPr>
        <w:ind w:left="5975" w:hanging="327"/>
      </w:pPr>
      <w:rPr>
        <w:rFonts w:hint="default"/>
        <w:lang w:val="en-US" w:eastAsia="zh-CN" w:bidi="ar-SA"/>
      </w:rPr>
    </w:lvl>
    <w:lvl w:ilvl="7" w:tentative="0">
      <w:start w:val="0"/>
      <w:numFmt w:val="bullet"/>
      <w:lvlText w:val="•"/>
      <w:lvlJc w:val="left"/>
      <w:pPr>
        <w:ind w:left="6788" w:hanging="327"/>
      </w:pPr>
      <w:rPr>
        <w:rFonts w:hint="default"/>
        <w:lang w:val="en-US" w:eastAsia="zh-CN" w:bidi="ar-SA"/>
      </w:rPr>
    </w:lvl>
    <w:lvl w:ilvl="8" w:tentative="0">
      <w:start w:val="0"/>
      <w:numFmt w:val="bullet"/>
      <w:lvlText w:val="•"/>
      <w:lvlJc w:val="left"/>
      <w:pPr>
        <w:ind w:left="7600" w:hanging="327"/>
      </w:pPr>
      <w:rPr>
        <w:rFonts w:hint="default"/>
        <w:lang w:val="en-US" w:eastAsia="zh-CN" w:bidi="ar-SA"/>
      </w:rPr>
    </w:lvl>
  </w:abstractNum>
  <w:abstractNum w:abstractNumId="2">
    <w:nsid w:val="67341380"/>
    <w:multiLevelType w:val="multilevel"/>
    <w:tmpl w:val="67341380"/>
    <w:lvl w:ilvl="0" w:tentative="0">
      <w:start w:val="1"/>
      <w:numFmt w:val="decimal"/>
      <w:lvlText w:val="%1."/>
      <w:lvlJc w:val="left"/>
      <w:pPr>
        <w:ind w:left="1090" w:hanging="327"/>
        <w:jc w:val="left"/>
      </w:pPr>
      <w:rPr>
        <w:rFonts w:hint="default" w:ascii="仿宋_GB2312" w:hAnsi="仿宋_GB2312" w:eastAsia="仿宋_GB2312" w:cs="仿宋_GB2312"/>
        <w:b w:val="0"/>
        <w:bCs w:val="0"/>
        <w:i w:val="0"/>
        <w:iCs w:val="0"/>
        <w:spacing w:val="1"/>
        <w:w w:val="99"/>
        <w:sz w:val="30"/>
        <w:szCs w:val="30"/>
        <w:lang w:val="en-US" w:eastAsia="zh-CN" w:bidi="ar-SA"/>
      </w:rPr>
    </w:lvl>
    <w:lvl w:ilvl="1" w:tentative="0">
      <w:start w:val="0"/>
      <w:numFmt w:val="bullet"/>
      <w:lvlText w:val="•"/>
      <w:lvlJc w:val="left"/>
      <w:pPr>
        <w:ind w:left="1912" w:hanging="327"/>
      </w:pPr>
      <w:rPr>
        <w:rFonts w:hint="default"/>
        <w:lang w:val="en-US" w:eastAsia="zh-CN" w:bidi="ar-SA"/>
      </w:rPr>
    </w:lvl>
    <w:lvl w:ilvl="2" w:tentative="0">
      <w:start w:val="0"/>
      <w:numFmt w:val="bullet"/>
      <w:lvlText w:val="•"/>
      <w:lvlJc w:val="left"/>
      <w:pPr>
        <w:ind w:left="2725" w:hanging="327"/>
      </w:pPr>
      <w:rPr>
        <w:rFonts w:hint="default"/>
        <w:lang w:val="en-US" w:eastAsia="zh-CN" w:bidi="ar-SA"/>
      </w:rPr>
    </w:lvl>
    <w:lvl w:ilvl="3" w:tentative="0">
      <w:start w:val="0"/>
      <w:numFmt w:val="bullet"/>
      <w:lvlText w:val="•"/>
      <w:lvlJc w:val="left"/>
      <w:pPr>
        <w:ind w:left="3537" w:hanging="327"/>
      </w:pPr>
      <w:rPr>
        <w:rFonts w:hint="default"/>
        <w:lang w:val="en-US" w:eastAsia="zh-CN" w:bidi="ar-SA"/>
      </w:rPr>
    </w:lvl>
    <w:lvl w:ilvl="4" w:tentative="0">
      <w:start w:val="0"/>
      <w:numFmt w:val="bullet"/>
      <w:lvlText w:val="•"/>
      <w:lvlJc w:val="left"/>
      <w:pPr>
        <w:ind w:left="4350" w:hanging="327"/>
      </w:pPr>
      <w:rPr>
        <w:rFonts w:hint="default"/>
        <w:lang w:val="en-US" w:eastAsia="zh-CN" w:bidi="ar-SA"/>
      </w:rPr>
    </w:lvl>
    <w:lvl w:ilvl="5" w:tentative="0">
      <w:start w:val="0"/>
      <w:numFmt w:val="bullet"/>
      <w:lvlText w:val="•"/>
      <w:lvlJc w:val="left"/>
      <w:pPr>
        <w:ind w:left="5163" w:hanging="327"/>
      </w:pPr>
      <w:rPr>
        <w:rFonts w:hint="default"/>
        <w:lang w:val="en-US" w:eastAsia="zh-CN" w:bidi="ar-SA"/>
      </w:rPr>
    </w:lvl>
    <w:lvl w:ilvl="6" w:tentative="0">
      <w:start w:val="0"/>
      <w:numFmt w:val="bullet"/>
      <w:lvlText w:val="•"/>
      <w:lvlJc w:val="left"/>
      <w:pPr>
        <w:ind w:left="5975" w:hanging="327"/>
      </w:pPr>
      <w:rPr>
        <w:rFonts w:hint="default"/>
        <w:lang w:val="en-US" w:eastAsia="zh-CN" w:bidi="ar-SA"/>
      </w:rPr>
    </w:lvl>
    <w:lvl w:ilvl="7" w:tentative="0">
      <w:start w:val="0"/>
      <w:numFmt w:val="bullet"/>
      <w:lvlText w:val="•"/>
      <w:lvlJc w:val="left"/>
      <w:pPr>
        <w:ind w:left="6788" w:hanging="327"/>
      </w:pPr>
      <w:rPr>
        <w:rFonts w:hint="default"/>
        <w:lang w:val="en-US" w:eastAsia="zh-CN" w:bidi="ar-SA"/>
      </w:rPr>
    </w:lvl>
    <w:lvl w:ilvl="8" w:tentative="0">
      <w:start w:val="0"/>
      <w:numFmt w:val="bullet"/>
      <w:lvlText w:val="•"/>
      <w:lvlJc w:val="left"/>
      <w:pPr>
        <w:ind w:left="7600" w:hanging="327"/>
      </w:pPr>
      <w:rPr>
        <w:rFonts w:hint="default"/>
        <w:lang w:val="en-US" w:eastAsia="zh-CN" w:bidi="ar-SA"/>
      </w:rPr>
    </w:lvl>
  </w:abstractNum>
  <w:abstractNum w:abstractNumId="3">
    <w:nsid w:val="6734138B"/>
    <w:multiLevelType w:val="multilevel"/>
    <w:tmpl w:val="6734138B"/>
    <w:lvl w:ilvl="0" w:tentative="0">
      <w:start w:val="1"/>
      <w:numFmt w:val="decimal"/>
      <w:lvlText w:val="%1."/>
      <w:lvlJc w:val="left"/>
      <w:pPr>
        <w:ind w:left="1090" w:hanging="327"/>
        <w:jc w:val="left"/>
      </w:pPr>
      <w:rPr>
        <w:rFonts w:hint="default" w:ascii="仿宋_GB2312" w:hAnsi="仿宋_GB2312" w:eastAsia="仿宋_GB2312" w:cs="仿宋_GB2312"/>
        <w:b w:val="0"/>
        <w:bCs w:val="0"/>
        <w:i w:val="0"/>
        <w:iCs w:val="0"/>
        <w:spacing w:val="1"/>
        <w:w w:val="99"/>
        <w:sz w:val="30"/>
        <w:szCs w:val="30"/>
        <w:lang w:val="en-US" w:eastAsia="zh-CN" w:bidi="ar-SA"/>
      </w:rPr>
    </w:lvl>
    <w:lvl w:ilvl="1" w:tentative="0">
      <w:start w:val="0"/>
      <w:numFmt w:val="bullet"/>
      <w:lvlText w:val="•"/>
      <w:lvlJc w:val="left"/>
      <w:pPr>
        <w:ind w:left="1912" w:hanging="327"/>
      </w:pPr>
      <w:rPr>
        <w:rFonts w:hint="default"/>
        <w:lang w:val="en-US" w:eastAsia="zh-CN" w:bidi="ar-SA"/>
      </w:rPr>
    </w:lvl>
    <w:lvl w:ilvl="2" w:tentative="0">
      <w:start w:val="0"/>
      <w:numFmt w:val="bullet"/>
      <w:lvlText w:val="•"/>
      <w:lvlJc w:val="left"/>
      <w:pPr>
        <w:ind w:left="2725" w:hanging="327"/>
      </w:pPr>
      <w:rPr>
        <w:rFonts w:hint="default"/>
        <w:lang w:val="en-US" w:eastAsia="zh-CN" w:bidi="ar-SA"/>
      </w:rPr>
    </w:lvl>
    <w:lvl w:ilvl="3" w:tentative="0">
      <w:start w:val="0"/>
      <w:numFmt w:val="bullet"/>
      <w:lvlText w:val="•"/>
      <w:lvlJc w:val="left"/>
      <w:pPr>
        <w:ind w:left="3537" w:hanging="327"/>
      </w:pPr>
      <w:rPr>
        <w:rFonts w:hint="default"/>
        <w:lang w:val="en-US" w:eastAsia="zh-CN" w:bidi="ar-SA"/>
      </w:rPr>
    </w:lvl>
    <w:lvl w:ilvl="4" w:tentative="0">
      <w:start w:val="0"/>
      <w:numFmt w:val="bullet"/>
      <w:lvlText w:val="•"/>
      <w:lvlJc w:val="left"/>
      <w:pPr>
        <w:ind w:left="4350" w:hanging="327"/>
      </w:pPr>
      <w:rPr>
        <w:rFonts w:hint="default"/>
        <w:lang w:val="en-US" w:eastAsia="zh-CN" w:bidi="ar-SA"/>
      </w:rPr>
    </w:lvl>
    <w:lvl w:ilvl="5" w:tentative="0">
      <w:start w:val="0"/>
      <w:numFmt w:val="bullet"/>
      <w:lvlText w:val="•"/>
      <w:lvlJc w:val="left"/>
      <w:pPr>
        <w:ind w:left="5163" w:hanging="327"/>
      </w:pPr>
      <w:rPr>
        <w:rFonts w:hint="default"/>
        <w:lang w:val="en-US" w:eastAsia="zh-CN" w:bidi="ar-SA"/>
      </w:rPr>
    </w:lvl>
    <w:lvl w:ilvl="6" w:tentative="0">
      <w:start w:val="0"/>
      <w:numFmt w:val="bullet"/>
      <w:lvlText w:val="•"/>
      <w:lvlJc w:val="left"/>
      <w:pPr>
        <w:ind w:left="5975" w:hanging="327"/>
      </w:pPr>
      <w:rPr>
        <w:rFonts w:hint="default"/>
        <w:lang w:val="en-US" w:eastAsia="zh-CN" w:bidi="ar-SA"/>
      </w:rPr>
    </w:lvl>
    <w:lvl w:ilvl="7" w:tentative="0">
      <w:start w:val="0"/>
      <w:numFmt w:val="bullet"/>
      <w:lvlText w:val="•"/>
      <w:lvlJc w:val="left"/>
      <w:pPr>
        <w:ind w:left="6788" w:hanging="327"/>
      </w:pPr>
      <w:rPr>
        <w:rFonts w:hint="default"/>
        <w:lang w:val="en-US" w:eastAsia="zh-CN" w:bidi="ar-SA"/>
      </w:rPr>
    </w:lvl>
    <w:lvl w:ilvl="8" w:tentative="0">
      <w:start w:val="0"/>
      <w:numFmt w:val="bullet"/>
      <w:lvlText w:val="•"/>
      <w:lvlJc w:val="left"/>
      <w:pPr>
        <w:ind w:left="7600" w:hanging="327"/>
      </w:pPr>
      <w:rPr>
        <w:rFonts w:hint="default"/>
        <w:lang w:val="en-US" w:eastAsia="zh-CN" w:bidi="ar-SA"/>
      </w:rPr>
    </w:lvl>
  </w:abstractNum>
  <w:abstractNum w:abstractNumId="4">
    <w:nsid w:val="6734196B"/>
    <w:multiLevelType w:val="singleLevel"/>
    <w:tmpl w:val="6734196B"/>
    <w:lvl w:ilvl="0" w:tentative="0">
      <w:start w:val="5"/>
      <w:numFmt w:val="chineseCounting"/>
      <w:suff w:val="nothing"/>
      <w:lvlText w:val="（%1）"/>
      <w:lvlJc w:val="left"/>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837559"/>
    <w:rsid w:val="0AF164CF"/>
    <w:rsid w:val="33580814"/>
    <w:rsid w:val="536462AD"/>
    <w:rsid w:val="5F5550AC"/>
    <w:rsid w:val="68905410"/>
    <w:rsid w:val="6A837559"/>
    <w:rsid w:val="6C143426"/>
    <w:rsid w:val="746B19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pacing w:before="0" w:after="0" w:line="240" w:lineRule="auto"/>
      <w:ind w:left="0" w:right="0"/>
      <w:jc w:val="left"/>
    </w:pPr>
    <w:rPr>
      <w:rFonts w:ascii="仿宋_GB2312" w:hAnsi="仿宋_GB2312" w:eastAsia="仿宋_GB2312" w:cs="仿宋_GB2312"/>
      <w:sz w:val="22"/>
      <w:szCs w:val="22"/>
      <w:lang w:val="en-US" w:eastAsia="zh-CN" w:bidi="ar-SA"/>
    </w:rPr>
  </w:style>
  <w:style w:type="paragraph" w:styleId="2">
    <w:name w:val="heading 1"/>
    <w:basedOn w:val="1"/>
    <w:next w:val="1"/>
    <w:qFormat/>
    <w:uiPriority w:val="0"/>
    <w:pPr>
      <w:ind w:left="500"/>
      <w:outlineLvl w:val="1"/>
    </w:pPr>
    <w:rPr>
      <w:rFonts w:ascii="方正小标宋简体" w:hAnsi="方正小标宋简体" w:eastAsia="方正小标宋简体" w:cs="方正小标宋简体"/>
      <w:sz w:val="44"/>
      <w:szCs w:val="4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4">
    <w:name w:val="Body Text"/>
    <w:basedOn w:val="1"/>
    <w:qFormat/>
    <w:uiPriority w:val="0"/>
    <w:pPr>
      <w:ind w:left="106"/>
    </w:pPr>
    <w:rPr>
      <w:rFonts w:ascii="仿宋_GB2312" w:hAnsi="仿宋_GB2312" w:eastAsia="仿宋_GB2312" w:cs="仿宋_GB2312"/>
      <w:sz w:val="32"/>
      <w:szCs w:val="32"/>
      <w:lang w:val="en-US" w:eastAsia="zh-CN" w:bidi="ar-SA"/>
    </w:rPr>
  </w:style>
  <w:style w:type="paragraph" w:customStyle="1" w:styleId="7">
    <w:name w:val="List Paragraph"/>
    <w:basedOn w:val="1"/>
    <w:qFormat/>
    <w:uiPriority w:val="1"/>
    <w:pPr>
      <w:ind w:left="106" w:hanging="327"/>
    </w:pPr>
    <w:rPr>
      <w:rFonts w:ascii="仿宋_GB2312" w:hAnsi="仿宋_GB2312" w:eastAsia="仿宋_GB2312" w:cs="仿宋_GB231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2024-11-13T02:46:00Z</dcterms:created>
  <dc:creator>Administrator</dc:creator>
  <cp:lastModifiedBy>Administrator</cp:lastModifiedBy>
  <dcterms:modified xsi:type="dcterms:W3CDTF">2024-11-18T06:39:52Z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