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中国人民政治协商会议河北省晋州市委员会</w:t>
                  </w: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131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BAC159C"/>
    <w:rsid w:val="2DB759F2"/>
    <w:rsid w:val="31F36233"/>
    <w:rsid w:val="3AB02799"/>
    <w:rsid w:val="45F13468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E943ADE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uiPriority w:val="0"/>
    <w:pPr>
      <w:ind w:firstLine="420" w:firstLineChars="100"/>
    </w:pPr>
  </w:style>
  <w:style w:type="paragraph" w:styleId="4">
    <w:name w:val="Body Text"/>
    <w:basedOn w:val="1"/>
    <w:link w:val="23"/>
    <w:uiPriority w:val="0"/>
    <w:pPr>
      <w:spacing w:after="120"/>
    </w:pPr>
  </w:style>
  <w:style w:type="paragraph" w:styleId="5">
    <w:name w:val="Balloon Text"/>
    <w:basedOn w:val="1"/>
    <w:link w:val="15"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uiPriority w:val="99"/>
  </w:style>
  <w:style w:type="character" w:customStyle="1" w:styleId="24">
    <w:name w:val="正文首行缩进 Char"/>
    <w:basedOn w:val="23"/>
    <w:link w:val="3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TotalTime>0</TotalTime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2025-09-11T03:33:35Z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