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pageBreakBefore w:val="0"/>
        <w:kinsoku/>
        <w:wordWrap/>
        <w:overflowPunct/>
        <w:topLinePunct w:val="0"/>
        <w:bidi w:val="0"/>
        <w:spacing w:before="0" w:after="0" w:line="560" w:lineRule="exact"/>
        <w:ind w:left="0" w:leftChars="0"/>
        <w:jc w:val="center"/>
        <w:textAlignment w:val="auto"/>
        <w:rPr>
          <w:rFonts w:hint="eastAsia" w:ascii="仿宋_GB2312" w:hAnsi="仿宋_GB2312" w:eastAsia="仿宋_GB2312" w:cs="仿宋_GB2312"/>
          <w:b w:val="0"/>
          <w:bCs w:val="0"/>
          <w:color w:val="auto"/>
          <w:spacing w:val="0"/>
          <w:position w:val="0"/>
          <w:sz w:val="32"/>
          <w:szCs w:val="32"/>
          <w:shd w:val="clear" w:fill="auto"/>
          <w:lang w:val="en-US" w:eastAsia="zh-CN"/>
        </w:rPr>
      </w:pPr>
      <w:r>
        <w:rPr>
          <w:rFonts w:hint="eastAsia" w:ascii="仿宋_GB2312" w:hAnsi="仿宋_GB2312" w:eastAsia="仿宋_GB2312" w:cs="仿宋_GB2312"/>
          <w:b w:val="0"/>
          <w:bCs w:val="0"/>
          <w:color w:val="auto"/>
          <w:spacing w:val="0"/>
          <w:position w:val="0"/>
          <w:sz w:val="32"/>
          <w:szCs w:val="32"/>
          <w:shd w:val="clear" w:fill="auto"/>
          <w:lang w:val="en-US" w:eastAsia="zh-CN"/>
        </w:rPr>
        <w:t xml:space="preserve">                </w:t>
      </w:r>
    </w:p>
    <w:p>
      <w:pPr>
        <w:pStyle w:val="4"/>
        <w:pageBreakBefore w:val="0"/>
        <w:kinsoku/>
        <w:wordWrap/>
        <w:overflowPunct/>
        <w:topLinePunct w:val="0"/>
        <w:bidi w:val="0"/>
        <w:spacing w:before="0" w:after="0" w:line="560" w:lineRule="exact"/>
        <w:ind w:left="0" w:leftChars="0"/>
        <w:jc w:val="center"/>
        <w:textAlignment w:val="auto"/>
        <w:rPr>
          <w:rFonts w:hint="eastAsia" w:ascii="仿宋_GB2312" w:hAnsi="仿宋_GB2312" w:eastAsia="仿宋_GB2312" w:cs="仿宋_GB2312"/>
          <w:b w:val="0"/>
          <w:bCs w:val="0"/>
          <w:color w:val="auto"/>
          <w:spacing w:val="0"/>
          <w:position w:val="0"/>
          <w:sz w:val="32"/>
          <w:szCs w:val="32"/>
          <w:shd w:val="clear" w:fill="auto"/>
          <w:lang w:val="en-US" w:eastAsia="zh-CN"/>
        </w:rPr>
      </w:pPr>
    </w:p>
    <w:p>
      <w:pPr>
        <w:pStyle w:val="4"/>
        <w:pageBreakBefore w:val="0"/>
        <w:kinsoku/>
        <w:wordWrap/>
        <w:overflowPunct/>
        <w:topLinePunct w:val="0"/>
        <w:bidi w:val="0"/>
        <w:spacing w:before="0" w:after="0" w:line="560" w:lineRule="exact"/>
        <w:ind w:left="0" w:leftChars="0"/>
        <w:jc w:val="center"/>
        <w:textAlignment w:val="auto"/>
        <w:rPr>
          <w:rFonts w:hint="eastAsia" w:ascii="仿宋_GB2312" w:hAnsi="仿宋_GB2312" w:eastAsia="仿宋_GB2312" w:cs="仿宋_GB2312"/>
          <w:b w:val="0"/>
          <w:bCs w:val="0"/>
          <w:color w:val="auto"/>
          <w:spacing w:val="0"/>
          <w:position w:val="0"/>
          <w:sz w:val="32"/>
          <w:szCs w:val="32"/>
          <w:shd w:val="clear" w:fill="auto"/>
          <w:lang w:val="en-US" w:eastAsia="zh-CN"/>
        </w:rPr>
      </w:pPr>
    </w:p>
    <w:p>
      <w:pPr>
        <w:pStyle w:val="4"/>
        <w:pageBreakBefore w:val="0"/>
        <w:kinsoku/>
        <w:wordWrap/>
        <w:overflowPunct/>
        <w:topLinePunct w:val="0"/>
        <w:bidi w:val="0"/>
        <w:spacing w:before="0" w:after="0" w:line="560" w:lineRule="exact"/>
        <w:ind w:left="0" w:leftChars="0"/>
        <w:jc w:val="both"/>
        <w:textAlignment w:val="auto"/>
        <w:rPr>
          <w:rFonts w:hint="eastAsia" w:ascii="方正小标宋简体" w:hAnsi="方正小标宋简体" w:eastAsia="方正小标宋简体" w:cs="方正小标宋简体"/>
          <w:b w:val="0"/>
          <w:bCs w:val="0"/>
          <w:sz w:val="44"/>
          <w:szCs w:val="44"/>
          <w:lang w:eastAsia="zh-CN"/>
        </w:rPr>
      </w:pPr>
      <w:r>
        <w:rPr>
          <w:rFonts w:hint="eastAsia" w:ascii="仿宋_GB2312" w:hAnsi="仿宋_GB2312" w:eastAsia="仿宋_GB2312" w:cs="仿宋_GB2312"/>
          <w:b w:val="0"/>
          <w:bCs w:val="0"/>
          <w:color w:val="auto"/>
          <w:spacing w:val="0"/>
          <w:position w:val="0"/>
          <w:sz w:val="32"/>
          <w:szCs w:val="32"/>
          <w:shd w:val="clear" w:fill="auto"/>
          <w:lang w:val="en-US" w:eastAsia="zh-CN"/>
        </w:rPr>
        <w:t xml:space="preserve">                                           〔2025〕-76</w:t>
      </w:r>
    </w:p>
    <w:p>
      <w:pPr>
        <w:pStyle w:val="3"/>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方正小标宋简体" w:hAnsi="方正小标宋简体" w:eastAsia="方正小标宋简体" w:cs="方正小标宋简体"/>
          <w:b w:val="0"/>
          <w:bCs/>
          <w:lang w:eastAsia="zh-CN"/>
        </w:rPr>
      </w:pPr>
    </w:p>
    <w:p>
      <w:pPr>
        <w:pStyle w:val="3"/>
        <w:keepNext w:val="0"/>
        <w:keepLines w:val="0"/>
        <w:pageBreakBefore w:val="0"/>
        <w:widowControl w:val="0"/>
        <w:kinsoku/>
        <w:wordWrap/>
        <w:overflowPunct/>
        <w:topLinePunct w:val="0"/>
        <w:autoSpaceDE/>
        <w:autoSpaceDN/>
        <w:bidi w:val="0"/>
        <w:adjustRightInd/>
        <w:snapToGrid/>
        <w:spacing w:line="640" w:lineRule="exact"/>
        <w:ind w:left="0" w:leftChars="0" w:right="0" w:rightChars="0" w:firstLine="0" w:firstLineChars="0"/>
        <w:jc w:val="center"/>
        <w:textAlignment w:val="auto"/>
        <w:rPr>
          <w:rFonts w:hint="eastAsia" w:ascii="方正小标宋简体" w:hAnsi="方正小标宋简体" w:eastAsia="方正小标宋简体" w:cs="方正小标宋简体"/>
          <w:b w:val="0"/>
          <w:bCs/>
          <w:lang w:eastAsia="zh-CN"/>
        </w:rPr>
      </w:pPr>
      <w:r>
        <w:rPr>
          <w:rFonts w:hint="eastAsia" w:ascii="方正小标宋简体" w:hAnsi="方正小标宋简体" w:cs="方正小标宋简体"/>
          <w:b w:val="0"/>
          <w:bCs/>
          <w:lang w:eastAsia="zh-CN"/>
        </w:rPr>
        <w:t>晋州市</w:t>
      </w:r>
      <w:r>
        <w:rPr>
          <w:rFonts w:hint="eastAsia" w:ascii="方正小标宋简体" w:hAnsi="方正小标宋简体" w:eastAsia="方正小标宋简体" w:cs="方正小标宋简体"/>
          <w:b w:val="0"/>
          <w:bCs/>
          <w:lang w:eastAsia="zh-CN"/>
        </w:rPr>
        <w:t>农业农村局</w:t>
      </w:r>
    </w:p>
    <w:p>
      <w:pPr>
        <w:keepNext w:val="0"/>
        <w:keepLines w:val="0"/>
        <w:pageBreakBefore w:val="0"/>
        <w:widowControl w:val="0"/>
        <w:kinsoku/>
        <w:wordWrap/>
        <w:overflowPunct/>
        <w:topLinePunct w:val="0"/>
        <w:autoSpaceDE/>
        <w:autoSpaceDN/>
        <w:bidi w:val="0"/>
        <w:adjustRightInd/>
        <w:snapToGrid/>
        <w:spacing w:line="640" w:lineRule="exact"/>
        <w:ind w:left="0" w:leftChars="0" w:right="0" w:rightChars="0" w:firstLine="0" w:firstLineChars="0"/>
        <w:jc w:val="center"/>
        <w:textAlignment w:val="auto"/>
        <w:rPr>
          <w:rFonts w:hint="eastAsia" w:ascii="方正小标宋简体" w:hAnsi="方正小标宋简体" w:eastAsia="方正小标宋简体" w:cs="方正小标宋简体"/>
          <w:b w:val="0"/>
          <w:bCs/>
          <w:sz w:val="44"/>
          <w:szCs w:val="44"/>
          <w:lang w:val="en-US" w:eastAsia="zh-CN"/>
        </w:rPr>
      </w:pPr>
      <w:r>
        <w:rPr>
          <w:rFonts w:hint="eastAsia" w:ascii="方正小标宋简体" w:hAnsi="方正小标宋简体" w:eastAsia="方正小标宋简体" w:cs="方正小标宋简体"/>
          <w:b w:val="0"/>
          <w:bCs/>
          <w:sz w:val="44"/>
          <w:szCs w:val="44"/>
          <w:lang w:val="en-US" w:eastAsia="zh-CN"/>
        </w:rPr>
        <w:t>关于印发《晋州市2025年农业机械报废更新补贴实施方案》的通知</w:t>
      </w: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imes New Roman" w:hAnsi="Times New Roman" w:eastAsia="仿宋" w:cs="仿宋"/>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各相关单位</w:t>
      </w:r>
      <w:r>
        <w:rPr>
          <w:rFonts w:hint="eastAsia" w:ascii="仿宋_GB2312" w:hAnsi="仿宋_GB2312" w:eastAsia="仿宋_GB2312" w:cs="仿宋_GB2312"/>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为落实党中央和国务院关于“两新”工作的决策部署，根据河北省农业农村厅</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河北省发展和改革委员会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河北省财政厅</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河北省粮食和物资储备局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关于做好2025年农业机械报废更新补贴工作的通知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冀农财发〔2025〕4号</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相关文件要求，</w:t>
      </w:r>
      <w:r>
        <w:rPr>
          <w:rFonts w:hint="eastAsia" w:ascii="仿宋_GB2312" w:hAnsi="仿宋_GB2312" w:eastAsia="仿宋_GB2312" w:cs="仿宋_GB2312"/>
          <w:sz w:val="32"/>
          <w:szCs w:val="32"/>
          <w:lang w:val="en-US" w:eastAsia="zh-CN"/>
        </w:rPr>
        <w:t>制定了《晋州市2025年农业机械报废更新补贴实施方案》，现予印发，请遵照执行。</w:t>
      </w:r>
    </w:p>
    <w:p>
      <w:pPr>
        <w:pStyle w:val="12"/>
        <w:keepNext w:val="0"/>
        <w:keepLines w:val="0"/>
        <w:pageBreakBefore w:val="0"/>
        <w:widowControl w:val="0"/>
        <w:kinsoku/>
        <w:overflowPunct/>
        <w:topLinePunct w:val="0"/>
        <w:bidi w:val="0"/>
        <w:snapToGrid/>
        <w:spacing w:line="560" w:lineRule="exact"/>
        <w:ind w:left="0" w:leftChars="0" w:right="0" w:rightChars="0" w:firstLine="0" w:firstLineChars="0"/>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kinsoku/>
        <w:wordWrap w:val="0"/>
        <w:overflowPunct/>
        <w:topLinePunct w:val="0"/>
        <w:autoSpaceDE/>
        <w:autoSpaceDN/>
        <w:bidi w:val="0"/>
        <w:adjustRightInd/>
        <w:snapToGrid/>
        <w:spacing w:line="560" w:lineRule="exact"/>
        <w:ind w:left="0" w:leftChars="0" w:right="0" w:rightChars="0" w:firstLine="0" w:firstLineChars="0"/>
        <w:jc w:val="center"/>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p>
    <w:p>
      <w:pPr>
        <w:keepNext w:val="0"/>
        <w:keepLines w:val="0"/>
        <w:pageBreakBefore w:val="0"/>
        <w:widowControl w:val="0"/>
        <w:kinsoku/>
        <w:wordWrap w:val="0"/>
        <w:overflowPunct/>
        <w:topLinePunct w:val="0"/>
        <w:autoSpaceDE/>
        <w:autoSpaceDN/>
        <w:bidi w:val="0"/>
        <w:adjustRightInd/>
        <w:snapToGrid/>
        <w:spacing w:line="560" w:lineRule="exact"/>
        <w:ind w:left="0" w:leftChars="0" w:right="0" w:rightChars="0" w:firstLine="0" w:firstLineChars="0"/>
        <w:jc w:val="center"/>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晋州市农业农村局    </w:t>
      </w:r>
    </w:p>
    <w:p>
      <w:pPr>
        <w:keepNext w:val="0"/>
        <w:keepLines w:val="0"/>
        <w:pageBreakBefore w:val="0"/>
        <w:widowControl w:val="0"/>
        <w:kinsoku/>
        <w:wordWrap w:val="0"/>
        <w:overflowPunct/>
        <w:topLinePunct w:val="0"/>
        <w:autoSpaceDE/>
        <w:autoSpaceDN/>
        <w:bidi w:val="0"/>
        <w:adjustRightInd/>
        <w:snapToGrid/>
        <w:spacing w:line="560" w:lineRule="exact"/>
        <w:ind w:left="0" w:leftChars="0" w:right="0" w:rightChars="0" w:firstLine="0" w:firstLineChars="0"/>
        <w:jc w:val="center"/>
        <w:textAlignment w:val="auto"/>
        <w:rPr>
          <w:rFonts w:hint="eastAsia" w:ascii="Times New Roman" w:hAnsi="Times New Roman"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2025年9月24日</w:t>
      </w:r>
      <w:r>
        <w:rPr>
          <w:rFonts w:hint="eastAsia" w:ascii="Times New Roman" w:hAnsi="Times New Roman" w:eastAsia="仿宋_GB2312" w:cs="仿宋_GB2312"/>
          <w:sz w:val="32"/>
          <w:szCs w:val="32"/>
          <w:lang w:val="en-US" w:eastAsia="zh-CN"/>
        </w:rPr>
        <w:t xml:space="preserve">    </w:t>
      </w:r>
    </w:p>
    <w:p>
      <w:pPr>
        <w:pStyle w:val="12"/>
        <w:keepNext w:val="0"/>
        <w:keepLines w:val="0"/>
        <w:pageBreakBefore w:val="0"/>
        <w:widowControl w:val="0"/>
        <w:kinsoku/>
        <w:overflowPunct/>
        <w:topLinePunct w:val="0"/>
        <w:bidi w:val="0"/>
        <w:snapToGrid/>
        <w:spacing w:line="560" w:lineRule="exact"/>
        <w:ind w:left="0" w:leftChars="0" w:right="0" w:rightChars="0" w:firstLine="0" w:firstLineChars="0"/>
        <w:jc w:val="both"/>
        <w:textAlignment w:val="auto"/>
        <w:rPr>
          <w:rFonts w:hint="eastAsia" w:ascii="Times New Roman" w:hAnsi="Times New Roman"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640" w:lineRule="exact"/>
        <w:ind w:right="0" w:rightChars="0"/>
        <w:jc w:val="both"/>
        <w:textAlignment w:val="auto"/>
        <w:outlineLvl w:val="9"/>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640" w:lineRule="exact"/>
        <w:ind w:right="0" w:rightChars="0"/>
        <w:jc w:val="both"/>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val="en-US" w:eastAsia="zh-CN"/>
        </w:rPr>
        <w:t xml:space="preserve">   </w:t>
      </w:r>
      <w:r>
        <w:rPr>
          <w:rFonts w:hint="eastAsia" w:ascii="方正小标宋简体" w:hAnsi="方正小标宋简体" w:eastAsia="方正小标宋简体" w:cs="方正小标宋简体"/>
          <w:b w:val="0"/>
          <w:bCs w:val="0"/>
          <w:sz w:val="44"/>
          <w:szCs w:val="44"/>
        </w:rPr>
        <w:t>晋州市2025年农业机械报废更新补贴</w:t>
      </w:r>
    </w:p>
    <w:p>
      <w:pPr>
        <w:keepNext w:val="0"/>
        <w:keepLines w:val="0"/>
        <w:pageBreakBefore w:val="0"/>
        <w:widowControl w:val="0"/>
        <w:kinsoku/>
        <w:wordWrap/>
        <w:overflowPunct/>
        <w:topLinePunct w:val="0"/>
        <w:autoSpaceDE/>
        <w:autoSpaceDN/>
        <w:bidi w:val="0"/>
        <w:adjustRightInd/>
        <w:snapToGrid/>
        <w:spacing w:line="640" w:lineRule="exact"/>
        <w:ind w:left="0" w:leftChars="0" w:right="0" w:rightChars="0" w:firstLine="880" w:firstLineChars="200"/>
        <w:jc w:val="both"/>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val="en-US" w:eastAsia="zh-CN"/>
        </w:rPr>
        <w:t xml:space="preserve">            </w:t>
      </w:r>
      <w:r>
        <w:rPr>
          <w:rFonts w:hint="eastAsia" w:ascii="方正小标宋简体" w:hAnsi="方正小标宋简体" w:eastAsia="方正小标宋简体" w:cs="方正小标宋简体"/>
          <w:b w:val="0"/>
          <w:bCs w:val="0"/>
          <w:sz w:val="44"/>
          <w:szCs w:val="44"/>
        </w:rPr>
        <w:t>实施方案</w:t>
      </w:r>
    </w:p>
    <w:p>
      <w:pPr>
        <w:keepNext w:val="0"/>
        <w:keepLines w:val="0"/>
        <w:pageBreakBefore w:val="0"/>
        <w:widowControl w:val="0"/>
        <w:kinsoku/>
        <w:overflowPunct/>
        <w:topLinePunct w:val="0"/>
        <w:autoSpaceDE/>
        <w:autoSpaceDN/>
        <w:bidi w:val="0"/>
        <w:adjustRightInd/>
        <w:snapToGrid/>
        <w:spacing w:line="560" w:lineRule="exact"/>
        <w:jc w:val="both"/>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为</w:t>
      </w:r>
      <w:r>
        <w:rPr>
          <w:rFonts w:hint="eastAsia" w:ascii="仿宋_GB2312" w:hAnsi="仿宋_GB2312" w:eastAsia="仿宋_GB2312" w:cs="仿宋_GB2312"/>
          <w:sz w:val="32"/>
          <w:szCs w:val="32"/>
          <w:lang w:eastAsia="zh-CN"/>
        </w:rPr>
        <w:t>持续实施好</w:t>
      </w:r>
      <w:r>
        <w:rPr>
          <w:rFonts w:hint="eastAsia" w:ascii="仿宋_GB2312" w:hAnsi="仿宋_GB2312" w:eastAsia="仿宋_GB2312" w:cs="仿宋_GB2312"/>
          <w:sz w:val="32"/>
          <w:szCs w:val="32"/>
          <w:lang w:val="en-US" w:eastAsia="zh-CN"/>
        </w:rPr>
        <w:t>农业机械报废更新补贴政策，加力推进老旧农业机械报废更新，</w:t>
      </w:r>
      <w:r>
        <w:rPr>
          <w:rFonts w:hint="eastAsia" w:ascii="仿宋_GB2312" w:hAnsi="仿宋_GB2312" w:eastAsia="仿宋_GB2312" w:cs="仿宋_GB2312"/>
          <w:sz w:val="32"/>
          <w:szCs w:val="32"/>
        </w:rPr>
        <w:t>加快农业机械结构调整</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根据河北省农业农村厅</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河北省发展和改革委员会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河北省财政厅</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河北省粮食和物资储备局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关于做好2025年农业机械报废更新补贴工作的通知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冀农财发〔2025〕4号</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相关文件要求，结合我</w:t>
      </w:r>
      <w:r>
        <w:rPr>
          <w:rFonts w:hint="eastAsia" w:ascii="仿宋_GB2312" w:hAnsi="仿宋_GB2312" w:eastAsia="仿宋_GB2312" w:cs="仿宋_GB2312"/>
          <w:sz w:val="32"/>
          <w:szCs w:val="32"/>
          <w:lang w:eastAsia="zh-CN"/>
        </w:rPr>
        <w:t>市</w:t>
      </w:r>
      <w:r>
        <w:rPr>
          <w:rFonts w:hint="eastAsia" w:ascii="仿宋_GB2312" w:hAnsi="仿宋_GB2312" w:eastAsia="仿宋_GB2312" w:cs="仿宋_GB2312"/>
          <w:sz w:val="32"/>
          <w:szCs w:val="32"/>
        </w:rPr>
        <w:t>实际，制定本方案。</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Times New Roman" w:hAnsi="Times New Roman" w:eastAsia="仿宋" w:cs="仿宋"/>
          <w:b/>
          <w:bCs/>
          <w:sz w:val="32"/>
          <w:szCs w:val="32"/>
          <w:lang w:val="en-US" w:eastAsia="zh-CN"/>
        </w:rPr>
      </w:pPr>
      <w:r>
        <w:rPr>
          <w:rFonts w:hint="eastAsia" w:ascii="Times New Roman" w:hAnsi="Times New Roman" w:eastAsia="黑体" w:cs="黑体"/>
          <w:b w:val="0"/>
          <w:bCs w:val="0"/>
          <w:sz w:val="32"/>
          <w:szCs w:val="32"/>
        </w:rPr>
        <w:t>一、</w:t>
      </w:r>
      <w:r>
        <w:rPr>
          <w:rFonts w:hint="eastAsia" w:ascii="Times New Roman" w:hAnsi="Times New Roman" w:eastAsia="黑体" w:cs="黑体"/>
          <w:b w:val="0"/>
          <w:bCs w:val="0"/>
          <w:sz w:val="32"/>
          <w:szCs w:val="32"/>
          <w:lang w:val="en-US" w:eastAsia="zh-CN"/>
        </w:rPr>
        <w:t>绩效任务目标</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落实2025年超长期特别国债及省级配套资金支持消费品以旧换新（用于农业机械报废更新）共二批13.32万元（其中第一批11.1万元、第二批2.22万元）。报废补贴机具8台以上。</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Times New Roman" w:hAnsi="Times New Roman" w:eastAsia="仿宋" w:cs="仿宋"/>
          <w:b/>
          <w:bCs/>
          <w:sz w:val="32"/>
          <w:szCs w:val="32"/>
        </w:rPr>
      </w:pPr>
      <w:r>
        <w:rPr>
          <w:rFonts w:hint="eastAsia" w:ascii="Times New Roman" w:hAnsi="Times New Roman" w:eastAsia="黑体" w:cs="黑体"/>
          <w:b w:val="0"/>
          <w:bCs w:val="0"/>
          <w:sz w:val="32"/>
          <w:szCs w:val="32"/>
          <w:lang w:val="en-US" w:eastAsia="zh-CN"/>
        </w:rPr>
        <w:t>二、</w:t>
      </w:r>
      <w:r>
        <w:rPr>
          <w:rFonts w:hint="eastAsia" w:ascii="Times New Roman" w:hAnsi="Times New Roman" w:eastAsia="黑体" w:cs="黑体"/>
          <w:b w:val="0"/>
          <w:bCs w:val="0"/>
          <w:sz w:val="32"/>
          <w:szCs w:val="32"/>
        </w:rPr>
        <w:t>报废补贴范围</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国家2024年规定的拖拉机、播种机、联合收割机（含粮棉油糖等作物联合收割所用机械）、水稻插秧机、农用北斗辅助驾驶系统、机动喷雾（粉）机、机动脱粒机、饲料（草）粉碎机、侧草机9个农机种类基础上，按要求新增水稻抛秧机、田间作业监测终端、植保无人机、粮食干燥机（烘干机）、色选机、磨粉机6个农机种类。并结合我省实际，聚焦粮食和重要农产品稳产保供，坚持“优机优补”、“有进有出”，在我省2024年规定的青（黄）饲料收获机、自走式花生（联合、捡拾）收获机、挤奶机、旋耕机、秸秆粉碎还田机基础上，新增深松机、平地机、微耕机、喷灌机、薯类收获机、犁、打（压）捆机7个农机种类。</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Times New Roman" w:hAnsi="Times New Roman" w:eastAsia="仿宋" w:cs="仿宋"/>
          <w:b/>
          <w:bCs/>
          <w:sz w:val="32"/>
          <w:szCs w:val="32"/>
        </w:rPr>
      </w:pPr>
      <w:r>
        <w:rPr>
          <w:rFonts w:hint="eastAsia" w:ascii="Times New Roman" w:hAnsi="Times New Roman" w:eastAsia="黑体" w:cs="黑体"/>
          <w:b w:val="0"/>
          <w:bCs w:val="0"/>
          <w:sz w:val="32"/>
          <w:szCs w:val="32"/>
          <w:lang w:val="en-US" w:eastAsia="zh-CN"/>
        </w:rPr>
        <w:t>三</w:t>
      </w:r>
      <w:r>
        <w:rPr>
          <w:rFonts w:hint="eastAsia" w:ascii="Times New Roman" w:hAnsi="Times New Roman" w:eastAsia="黑体" w:cs="黑体"/>
          <w:b w:val="0"/>
          <w:bCs w:val="0"/>
          <w:sz w:val="32"/>
          <w:szCs w:val="32"/>
        </w:rPr>
        <w:t>、报废补贴标准</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继续实施《河北省农业农村厅、河北省发展和改革委员会、河北省财政厅关于加大工作力度持续实施好农业机械报废更新补贴政策的补充通知》（冀农财发〔2024〕12号）中规定的提高报废补贴标准相关政策</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部分机型单报废未新购置同类机具的，继续实施河北省农业农村厅、河北省财政厅关于印发《河北省农业机械报废更新补贴实施方案》的通知（冀农财发〔2024〕11号）。</w:t>
      </w:r>
      <w:r>
        <w:rPr>
          <w:rFonts w:hint="eastAsia" w:ascii="仿宋_GB2312" w:hAnsi="仿宋_GB2312" w:eastAsia="仿宋_GB2312" w:cs="仿宋_GB2312"/>
          <w:sz w:val="32"/>
          <w:szCs w:val="32"/>
        </w:rPr>
        <w:t>农用北斗辅助驾驶系统、田间作业监测终端、植保无人机报废补贴申领要以购置同种类新机具设备为前提。对于新增纳入农机报废补贴范围的其他机具种类，具体补贴额详见《河北省扩围提标后农业机械报废补贴额一览表》（附件）。</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Times New Roman" w:hAnsi="Times New Roman" w:eastAsia="仿宋" w:cs="仿宋"/>
          <w:b/>
          <w:bCs/>
          <w:sz w:val="32"/>
          <w:szCs w:val="32"/>
        </w:rPr>
      </w:pPr>
      <w:r>
        <w:rPr>
          <w:rFonts w:hint="eastAsia" w:ascii="Times New Roman" w:hAnsi="Times New Roman" w:eastAsia="黑体" w:cs="黑体"/>
          <w:b w:val="0"/>
          <w:bCs w:val="0"/>
          <w:sz w:val="32"/>
          <w:szCs w:val="32"/>
          <w:lang w:val="en-US" w:eastAsia="zh-CN"/>
        </w:rPr>
        <w:t>四</w:t>
      </w:r>
      <w:r>
        <w:rPr>
          <w:rFonts w:hint="eastAsia" w:ascii="Times New Roman" w:hAnsi="Times New Roman" w:eastAsia="黑体" w:cs="黑体"/>
          <w:b w:val="0"/>
          <w:bCs w:val="0"/>
          <w:sz w:val="32"/>
          <w:szCs w:val="32"/>
        </w:rPr>
        <w:t>、加强资金监管</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要管好用好支持农业机械报废更新的超长期特别国债资金，支持老旧农业机械报废补贴和报废并购置同种类机具更新补贴兑付，以及田间作业监测终端、农用北斗辅助驾驶系统、植保无人机新购置补贴兑付。要进一步优化补贴申请和资金兑付流程，增加结算批次，加快补贴兑付，年底前将符合条件的补贴申请及时完成录入和兑付。</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Times New Roman" w:hAnsi="Times New Roman" w:eastAsia="仿宋" w:cs="仿宋"/>
          <w:b/>
          <w:bCs/>
          <w:sz w:val="32"/>
          <w:szCs w:val="32"/>
        </w:rPr>
      </w:pPr>
      <w:r>
        <w:rPr>
          <w:rFonts w:hint="eastAsia" w:ascii="Times New Roman" w:hAnsi="Times New Roman" w:eastAsia="黑体" w:cs="黑体"/>
          <w:b w:val="0"/>
          <w:bCs w:val="0"/>
          <w:sz w:val="32"/>
          <w:szCs w:val="32"/>
          <w:lang w:val="en-US" w:eastAsia="zh-CN"/>
        </w:rPr>
        <w:t>五</w:t>
      </w:r>
      <w:r>
        <w:rPr>
          <w:rFonts w:hint="eastAsia" w:ascii="Times New Roman" w:hAnsi="Times New Roman" w:eastAsia="黑体" w:cs="黑体"/>
          <w:b w:val="0"/>
          <w:bCs w:val="0"/>
          <w:sz w:val="32"/>
          <w:szCs w:val="32"/>
        </w:rPr>
        <w:t>、强化组织保障</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继续按照晋州市农业农村局、晋州市财政局关于印发《晋州市农业机械报废更新补贴实施方案》（</w:t>
      </w:r>
      <w:r>
        <w:rPr>
          <w:rFonts w:hint="eastAsia" w:ascii="仿宋_GB2312" w:hAnsi="仿宋_GB2312" w:eastAsia="仿宋_GB2312" w:cs="仿宋_GB2312"/>
          <w:color w:val="auto"/>
          <w:spacing w:val="0"/>
          <w:position w:val="0"/>
          <w:sz w:val="32"/>
          <w:szCs w:val="32"/>
          <w:shd w:val="clear" w:fill="auto"/>
          <w:lang w:val="en-US" w:eastAsia="zh-CN"/>
        </w:rPr>
        <w:t>〔2024〕-</w:t>
      </w:r>
      <w:r>
        <w:rPr>
          <w:rFonts w:hint="eastAsia" w:ascii="仿宋_GB2312" w:hAnsi="仿宋_GB2312" w:eastAsia="仿宋_GB2312" w:cs="仿宋_GB2312"/>
          <w:b w:val="0"/>
          <w:i w:val="0"/>
          <w:strike w:val="0"/>
          <w:color w:val="000000"/>
          <w:sz w:val="32"/>
          <w:szCs w:val="32"/>
          <w:lang w:val="en-US" w:eastAsia="zh-CN"/>
        </w:rPr>
        <w:t>102</w:t>
      </w:r>
      <w:r>
        <w:rPr>
          <w:rFonts w:hint="eastAsia" w:ascii="仿宋_GB2312" w:hAnsi="仿宋_GB2312" w:eastAsia="仿宋_GB2312" w:cs="仿宋_GB2312"/>
          <w:sz w:val="32"/>
          <w:szCs w:val="32"/>
          <w:lang w:val="en-US" w:eastAsia="zh-CN"/>
        </w:rPr>
        <w:t>）通知要求，</w:t>
      </w:r>
      <w:r>
        <w:rPr>
          <w:rFonts w:hint="eastAsia" w:ascii="仿宋_GB2312" w:hAnsi="仿宋_GB2312" w:eastAsia="仿宋_GB2312" w:cs="仿宋_GB2312"/>
          <w:sz w:val="32"/>
          <w:szCs w:val="32"/>
        </w:rPr>
        <w:t>农业农村局、财政局要切实加强农机报废更新补贴工作的组织领导，明确职责分工，密切配合，形成工作合力。补贴对象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报废条件、</w:t>
      </w:r>
      <w:r>
        <w:rPr>
          <w:rFonts w:hint="eastAsia" w:ascii="仿宋_GB2312" w:hAnsi="仿宋_GB2312" w:eastAsia="仿宋_GB2312" w:cs="仿宋_GB2312"/>
          <w:sz w:val="32"/>
          <w:szCs w:val="32"/>
        </w:rPr>
        <w:t>回收</w:t>
      </w:r>
      <w:r>
        <w:rPr>
          <w:rFonts w:hint="eastAsia" w:ascii="仿宋_GB2312" w:hAnsi="仿宋_GB2312" w:eastAsia="仿宋_GB2312" w:cs="仿宋_GB2312"/>
          <w:sz w:val="32"/>
          <w:szCs w:val="32"/>
          <w:lang w:val="en-US" w:eastAsia="zh-CN"/>
        </w:rPr>
        <w:t>和拆解</w:t>
      </w:r>
      <w:r>
        <w:rPr>
          <w:rFonts w:hint="eastAsia" w:ascii="仿宋_GB2312" w:hAnsi="仿宋_GB2312" w:eastAsia="仿宋_GB2312" w:cs="仿宋_GB2312"/>
          <w:sz w:val="32"/>
          <w:szCs w:val="32"/>
        </w:rPr>
        <w:t>企业确定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操作程序等工作要求继续执行《晋州市农业机械报废更新补贴实施方案》要求。</w:t>
      </w:r>
      <w:r>
        <w:rPr>
          <w:rFonts w:hint="eastAsia" w:ascii="仿宋_GB2312" w:hAnsi="仿宋_GB2312" w:eastAsia="仿宋_GB2312" w:cs="仿宋_GB2312"/>
          <w:sz w:val="32"/>
          <w:szCs w:val="32"/>
        </w:rPr>
        <w:t>要立足便民利民和提高效率，进一步优化农机报废回收拆解流程措施，加强对农机回收拆解企业的培训指导，提升补贴资金兑付效率。要强化政策实施监管和风险防范，紧盯机具回收、机具核验、报废拆解、资金兑付等关键环节，严厉打击信息造假、以小充大报废、一机多地报废、单机多次报废、废件拼机报废等骗补套补行为。要加大政策宣传和解读，切实提升政策知晓度和实施透明度。要加强跟踪评估，加大监督检查力度，发现问题及时反馈及时处理。</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w:t>
      </w:r>
      <w:r>
        <w:rPr>
          <w:rFonts w:hint="eastAsia" w:ascii="仿宋_GB2312" w:hAnsi="仿宋_GB2312" w:eastAsia="仿宋_GB2312" w:cs="仿宋_GB2312"/>
          <w:sz w:val="32"/>
          <w:szCs w:val="32"/>
          <w:lang w:val="en-US" w:eastAsia="zh-CN"/>
        </w:rPr>
        <w:t>方案</w:t>
      </w:r>
      <w:r>
        <w:rPr>
          <w:rFonts w:hint="eastAsia" w:ascii="仿宋_GB2312" w:hAnsi="仿宋_GB2312" w:eastAsia="仿宋_GB2312" w:cs="仿宋_GB2312"/>
          <w:sz w:val="32"/>
          <w:szCs w:val="32"/>
        </w:rPr>
        <w:t>明确的扩大报废补贴范围、提高报废补贴标准政策实施期限为2025年1月1日至12月31日，如有变动</w:t>
      </w:r>
      <w:r>
        <w:rPr>
          <w:rFonts w:hint="eastAsia" w:ascii="仿宋_GB2312" w:hAnsi="仿宋_GB2312" w:eastAsia="仿宋_GB2312" w:cs="仿宋_GB2312"/>
          <w:sz w:val="32"/>
          <w:szCs w:val="32"/>
          <w:lang w:val="en-US" w:eastAsia="zh-CN"/>
        </w:rPr>
        <w:t>以上级通知为准</w:t>
      </w:r>
      <w:r>
        <w:rPr>
          <w:rFonts w:hint="eastAsia" w:ascii="仿宋_GB2312" w:hAnsi="仿宋_GB2312" w:eastAsia="仿宋_GB2312" w:cs="仿宋_GB2312"/>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附件：河北省扩围提标后农业机械报废补贴额一览表</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rPr>
          <w:rFonts w:hint="eastAsia" w:ascii="Times New Roman" w:hAnsi="Times New Roman" w:eastAsia="仿宋" w:cs="仿宋"/>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rPr>
          <w:rFonts w:hint="eastAsia" w:ascii="仿宋" w:hAnsi="仿宋" w:eastAsia="仿宋" w:cs="仿宋"/>
          <w:sz w:val="32"/>
          <w:szCs w:val="32"/>
        </w:rPr>
      </w:pPr>
    </w:p>
    <w:p>
      <w:pPr>
        <w:rPr>
          <w:rFonts w:hint="eastAsia" w:ascii="仿宋" w:hAnsi="仿宋" w:eastAsia="仿宋" w:cs="仿宋"/>
          <w:sz w:val="32"/>
          <w:szCs w:val="32"/>
        </w:rPr>
      </w:pPr>
    </w:p>
    <w:p>
      <w:pPr>
        <w:rPr>
          <w:rFonts w:hint="eastAsia" w:ascii="仿宋" w:hAnsi="仿宋" w:eastAsia="仿宋" w:cs="仿宋"/>
          <w:sz w:val="32"/>
          <w:szCs w:val="32"/>
        </w:rPr>
      </w:pPr>
    </w:p>
    <w:p>
      <w:pPr>
        <w:rPr>
          <w:rFonts w:hint="eastAsia" w:ascii="仿宋" w:hAnsi="仿宋" w:eastAsia="仿宋" w:cs="仿宋"/>
          <w:sz w:val="32"/>
          <w:szCs w:val="32"/>
        </w:rPr>
      </w:pPr>
    </w:p>
    <w:p>
      <w:pPr>
        <w:rPr>
          <w:rFonts w:hint="eastAsia" w:ascii="仿宋" w:hAnsi="仿宋" w:eastAsia="仿宋" w:cs="仿宋"/>
          <w:sz w:val="32"/>
          <w:szCs w:val="32"/>
        </w:rPr>
      </w:pPr>
    </w:p>
    <w:p>
      <w:pPr>
        <w:rPr>
          <w:rFonts w:hint="eastAsia" w:ascii="仿宋" w:hAnsi="仿宋" w:eastAsia="仿宋" w:cs="仿宋"/>
          <w:sz w:val="32"/>
          <w:szCs w:val="32"/>
        </w:rPr>
      </w:pPr>
    </w:p>
    <w:p>
      <w:pPr>
        <w:rPr>
          <w:rFonts w:hint="eastAsia" w:ascii="仿宋" w:hAnsi="仿宋" w:eastAsia="仿宋" w:cs="仿宋"/>
          <w:sz w:val="32"/>
          <w:szCs w:val="32"/>
        </w:rPr>
      </w:pPr>
    </w:p>
    <w:p>
      <w:pPr>
        <w:rPr>
          <w:rFonts w:hint="eastAsia" w:ascii="仿宋" w:hAnsi="仿宋" w:eastAsia="仿宋" w:cs="仿宋"/>
          <w:sz w:val="32"/>
          <w:szCs w:val="32"/>
        </w:rPr>
      </w:pPr>
      <w:r>
        <w:rPr>
          <w:rFonts w:hint="eastAsia" w:ascii="黑体" w:hAnsi="黑体" w:eastAsia="黑体" w:cs="黑体"/>
          <w:sz w:val="32"/>
          <w:szCs w:val="32"/>
        </w:rPr>
        <w:t>附件</w:t>
      </w:r>
    </w:p>
    <w:p>
      <w:pPr>
        <w:jc w:val="center"/>
        <w:rPr>
          <w:rFonts w:hint="eastAsia" w:ascii="方正小标宋简体" w:hAnsi="方正小标宋简体" w:eastAsia="方正小标宋简体" w:cs="方正小标宋简体"/>
          <w:b w:val="0"/>
          <w:bCs w:val="0"/>
          <w:sz w:val="36"/>
          <w:szCs w:val="36"/>
          <w:lang w:val="en-US" w:eastAsia="zh-CN"/>
        </w:rPr>
      </w:pPr>
      <w:r>
        <w:rPr>
          <w:rFonts w:hint="eastAsia" w:ascii="方正小标宋简体" w:hAnsi="方正小标宋简体" w:eastAsia="方正小标宋简体" w:cs="方正小标宋简体"/>
          <w:b w:val="0"/>
          <w:bCs w:val="0"/>
          <w:sz w:val="36"/>
          <w:szCs w:val="36"/>
          <w:lang w:val="en-US" w:eastAsia="zh-CN"/>
        </w:rPr>
        <w:t>河北省扩围提标后农业机械报废补贴额一览表</w:t>
      </w:r>
    </w:p>
    <w:p>
      <w:pPr>
        <w:jc w:val="center"/>
        <w:rPr>
          <w:rFonts w:hint="eastAsia" w:ascii="宋体" w:hAnsi="宋体" w:eastAsia="宋体" w:cs="宋体"/>
          <w:b/>
          <w:bCs/>
          <w:sz w:val="36"/>
          <w:szCs w:val="36"/>
          <w:lang w:val="en-US" w:eastAsia="zh-CN"/>
        </w:rPr>
      </w:pPr>
      <w:r>
        <w:rPr>
          <w:rFonts w:hint="eastAsia" w:ascii="方正小标宋简体" w:hAnsi="方正小标宋简体" w:eastAsia="方正小标宋简体" w:cs="方正小标宋简体"/>
          <w:b w:val="0"/>
          <w:bCs w:val="0"/>
          <w:sz w:val="36"/>
          <w:szCs w:val="36"/>
          <w:lang w:val="en-US" w:eastAsia="zh-CN"/>
        </w:rPr>
        <w:t>（2025年12月31日截止）</w:t>
      </w:r>
    </w:p>
    <w:tbl>
      <w:tblPr>
        <w:tblStyle w:val="11"/>
        <w:tblW w:w="852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1"/>
        <w:gridCol w:w="1116"/>
        <w:gridCol w:w="2832"/>
        <w:gridCol w:w="1104"/>
        <w:gridCol w:w="1222"/>
        <w:gridCol w:w="1"/>
        <w:gridCol w:w="17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序号</w:t>
            </w:r>
          </w:p>
        </w:tc>
        <w:tc>
          <w:tcPr>
            <w:tcW w:w="1116"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机型</w:t>
            </w: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类别</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报废补贴额（元）</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报废并新增置同种类机具（元）</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w:t>
            </w:r>
          </w:p>
        </w:tc>
        <w:tc>
          <w:tcPr>
            <w:tcW w:w="1116"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拖拉机</w:t>
            </w: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 xml:space="preserve">功率&lt;20马力 </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1500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1500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20马力≤功率≤50马力</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3850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3850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50马力&lt;功率≤80马力</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7860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7860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80马力&lt;功率≤100马力</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10840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10840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100马力&lt;功率≤160马力</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13140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13140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 xml:space="preserve">160马力&lt;功率≤200马力 </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18000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18000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功率&gt;200马力</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20000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20000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2</w:t>
            </w:r>
          </w:p>
        </w:tc>
        <w:tc>
          <w:tcPr>
            <w:tcW w:w="1116"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rPr>
            </w:pPr>
            <w:r>
              <w:rPr>
                <w:rFonts w:hint="eastAsia" w:ascii="仿宋" w:hAnsi="仿宋" w:eastAsia="仿宋" w:cs="仿宋"/>
                <w:sz w:val="21"/>
                <w:szCs w:val="21"/>
                <w:vertAlign w:val="baseline"/>
                <w:lang w:val="en-US" w:eastAsia="zh-CN"/>
              </w:rPr>
              <w:t>播种机</w:t>
            </w: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6行以下</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600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900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6-11行</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1200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1800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12-18行</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1600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2400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18行以上</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2000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3000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3</w:t>
            </w:r>
          </w:p>
        </w:tc>
        <w:tc>
          <w:tcPr>
            <w:tcW w:w="1116"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rPr>
            </w:pPr>
            <w:r>
              <w:rPr>
                <w:rFonts w:hint="eastAsia" w:ascii="仿宋" w:hAnsi="仿宋" w:eastAsia="仿宋" w:cs="仿宋"/>
                <w:sz w:val="21"/>
                <w:szCs w:val="21"/>
              </w:rPr>
              <w:t>自走式全喂入稻麦联合收割机</w:t>
            </w: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喂入量0.5-1kg/s（含）</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3000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4500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喂入量1-3kg/s（含）</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5500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8250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喂入量3-4kg/s（含）</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7300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10950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喂入量4kg/s以上</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11000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16500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自走式半喂入稻麦联合收割机</w:t>
            </w: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3行，功率≥35马力</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7200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10800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pacing w:val="-20"/>
                <w:sz w:val="21"/>
                <w:szCs w:val="21"/>
                <w:vertAlign w:val="baseline"/>
                <w:lang w:val="en-US" w:eastAsia="zh-CN"/>
              </w:rPr>
              <w:t>4行（含）以上，</w:t>
            </w:r>
            <w:r>
              <w:rPr>
                <w:rFonts w:hint="eastAsia" w:ascii="仿宋" w:hAnsi="仿宋" w:eastAsia="仿宋" w:cs="仿宋"/>
                <w:sz w:val="21"/>
                <w:szCs w:val="21"/>
                <w:vertAlign w:val="baseline"/>
                <w:lang w:val="en-US" w:eastAsia="zh-CN"/>
              </w:rPr>
              <w:t>功率≥35马力</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17500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26250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自走式玉米联合收割机</w:t>
            </w: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2行</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7200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10800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3行</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12500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18750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4行及以上</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20000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30000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4</w:t>
            </w:r>
          </w:p>
        </w:tc>
        <w:tc>
          <w:tcPr>
            <w:tcW w:w="1116"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水稻插秧机</w:t>
            </w: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2行手扶步进式</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1110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4行手扶步进式</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2610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6行及以上手扶步进式</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3255</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6行及以上独轮乘坐式</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2580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4-5行四轮乘坐式</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8100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6-7行四轮乘坐式</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8850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14895</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 xml:space="preserve">8行及以上四轮乘坐式  </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18750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34" w:hRule="atLeast"/>
        </w:trPr>
        <w:tc>
          <w:tcPr>
            <w:tcW w:w="451"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5</w:t>
            </w:r>
          </w:p>
        </w:tc>
        <w:tc>
          <w:tcPr>
            <w:tcW w:w="1116"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pacing w:val="-20"/>
                <w:sz w:val="21"/>
                <w:szCs w:val="21"/>
                <w:vertAlign w:val="baseline"/>
                <w:lang w:val="en-US" w:eastAsia="zh-CN"/>
              </w:rPr>
              <w:t>农用北斗辅助驾驶系统</w:t>
            </w: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w:t>
            </w:r>
          </w:p>
        </w:tc>
        <w:tc>
          <w:tcPr>
            <w:tcW w:w="122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1200</w:t>
            </w:r>
          </w:p>
        </w:tc>
        <w:tc>
          <w:tcPr>
            <w:tcW w:w="1796"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报废补贴申领要以购置同种类新机具设备为前提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6</w:t>
            </w:r>
          </w:p>
        </w:tc>
        <w:tc>
          <w:tcPr>
            <w:tcW w:w="1116"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机动喷雾（粉）机</w:t>
            </w: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喷杆长度≥18m，悬挂式喷杆</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1020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1020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喷杆长度≥18m，牵引式喷杆</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1320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1320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18马力≤功率&lt;50马力，自走式四轮转向喷杆</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2220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2220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50马力≤功率&lt;100马力，自走式四轮转向喷杆</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2700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2700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功率≥100马力，自走式四轮转向喷杆</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4200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4200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自走式大豆玉米复合种植喷杆</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3600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3600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7</w:t>
            </w:r>
          </w:p>
        </w:tc>
        <w:tc>
          <w:tcPr>
            <w:tcW w:w="1116"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机动脱粒机</w:t>
            </w: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稻麦脱粒机，生产率0.3t/h及以上</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玉米脱粒机，生产率0.4t/h及以上</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8</w:t>
            </w:r>
          </w:p>
        </w:tc>
        <w:tc>
          <w:tcPr>
            <w:tcW w:w="1116"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饲料（草）粉碎机</w:t>
            </w: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400mm≤转子直径＜550mm</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130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130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转子直径≥550mm</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170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170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9</w:t>
            </w:r>
          </w:p>
        </w:tc>
        <w:tc>
          <w:tcPr>
            <w:tcW w:w="1116"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铡草机</w:t>
            </w: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6T/H≤生产率＜9T/H</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330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330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9T/H≤生产率＜15T/H</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470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470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10</w:t>
            </w:r>
          </w:p>
        </w:tc>
        <w:tc>
          <w:tcPr>
            <w:tcW w:w="1116"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采棉机</w:t>
            </w: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80000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11</w:t>
            </w:r>
          </w:p>
        </w:tc>
        <w:tc>
          <w:tcPr>
            <w:tcW w:w="1116"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水稻抛秧机</w:t>
            </w: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 xml:space="preserve"> 6-7行四轮乘坐式</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14895</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7" w:hRule="atLeast"/>
        </w:trPr>
        <w:tc>
          <w:tcPr>
            <w:tcW w:w="451"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12</w:t>
            </w:r>
          </w:p>
        </w:tc>
        <w:tc>
          <w:tcPr>
            <w:tcW w:w="1116" w:type="dxa"/>
            <w:vAlign w:val="center"/>
          </w:tcPr>
          <w:p>
            <w:pPr>
              <w:keepNext w:val="0"/>
              <w:keepLines w:val="0"/>
              <w:pageBreakBefore w:val="0"/>
              <w:widowControl w:val="0"/>
              <w:tabs>
                <w:tab w:val="left" w:pos="310"/>
              </w:tabs>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田间作业监测终端</w:t>
            </w: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660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报废补贴申领要以购置同种类新机具设备为前提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7" w:hRule="atLeast"/>
        </w:trPr>
        <w:tc>
          <w:tcPr>
            <w:tcW w:w="451"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13</w:t>
            </w:r>
          </w:p>
        </w:tc>
        <w:tc>
          <w:tcPr>
            <w:tcW w:w="1116"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植保无人机</w:t>
            </w: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10L≤药液箱额定容量&lt;20L多旋翼</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2700</w:t>
            </w:r>
          </w:p>
        </w:tc>
        <w:tc>
          <w:tcPr>
            <w:tcW w:w="1795"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报废补贴申领要以购置同种类新机具设备为前提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20L≤药液箱额定容量&lt;30L多旋翼</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4050</w:t>
            </w:r>
          </w:p>
        </w:tc>
        <w:tc>
          <w:tcPr>
            <w:tcW w:w="1795"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30L≤药液箱额定容量&lt;50L多旋翼</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5400</w:t>
            </w:r>
          </w:p>
        </w:tc>
        <w:tc>
          <w:tcPr>
            <w:tcW w:w="1795"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药液箱额定容量≥50L多旋翼</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6480</w:t>
            </w:r>
          </w:p>
        </w:tc>
        <w:tc>
          <w:tcPr>
            <w:tcW w:w="1795"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15L≤药液箱额定容量&lt;25L单旋翼</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4050</w:t>
            </w:r>
          </w:p>
        </w:tc>
        <w:tc>
          <w:tcPr>
            <w:tcW w:w="1795"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药液箱额定容量≥25L单旋翼</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5400</w:t>
            </w:r>
          </w:p>
        </w:tc>
        <w:tc>
          <w:tcPr>
            <w:tcW w:w="1795"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7" w:hRule="atLeast"/>
        </w:trPr>
        <w:tc>
          <w:tcPr>
            <w:tcW w:w="451"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14</w:t>
            </w:r>
          </w:p>
        </w:tc>
        <w:tc>
          <w:tcPr>
            <w:tcW w:w="1116"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粮食干燥机（烘干机）</w:t>
            </w: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1t≤批处理量&lt;4t，移动式</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1800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1800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批处理量≥4t，移动式</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3780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3780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1t≤批处理量&lt;4t，循环式</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1920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1920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4t≤批处理量&lt;10t，循环式</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5040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5040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10t≤批处理量&lt;20t，循环式</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7590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7590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20t≤批处理量&lt;30t，循环式</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9180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9180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批处理量≥30t，循环式</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14520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14520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20t/d≤处理量&lt;50t/d，连续式</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4500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4500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50t/d≤处理量&lt;100t/d，连续式</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9300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9300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 xml:space="preserve">100t/d≤处理量&lt;300t/d，连续式 </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20000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20000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处理量≥300t/d，连续式</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20000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20000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3t≤装载量&lt;5t，批式静态</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1620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1620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装载量≥5t，批式静态</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2970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2970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7" w:hRule="atLeast"/>
        </w:trPr>
        <w:tc>
          <w:tcPr>
            <w:tcW w:w="451"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15</w:t>
            </w:r>
          </w:p>
        </w:tc>
        <w:tc>
          <w:tcPr>
            <w:tcW w:w="1116"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色选机</w:t>
            </w: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总执行单元数 &lt; 60 个</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980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980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60 个&lt;总执行单元数 &lt; 300 个</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3320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3320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总执行单元数 ≥ 300 个</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7490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7490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7" w:hRule="atLeast"/>
        </w:trPr>
        <w:tc>
          <w:tcPr>
            <w:tcW w:w="451"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16</w:t>
            </w:r>
          </w:p>
        </w:tc>
        <w:tc>
          <w:tcPr>
            <w:tcW w:w="1116"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磨粉机</w:t>
            </w: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30cm≤磨辊长度&lt;40cm</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1400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1400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40cm≤磨辊长度&lt;60cm</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1750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1750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磨辊长度≥60cm</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2100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2100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7" w:hRule="atLeast"/>
        </w:trPr>
        <w:tc>
          <w:tcPr>
            <w:tcW w:w="451"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17</w:t>
            </w:r>
          </w:p>
        </w:tc>
        <w:tc>
          <w:tcPr>
            <w:tcW w:w="1116"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青（黄）饲料收获机</w:t>
            </w: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2m割≤幅&lt;2.6m 自走圆盘式青铜料收获机</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13000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13000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2m≤割幅&lt;2.6m自走圆盘式青铜料收获机，带对辊式籽粒破碎机构</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18700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18700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割幅≥2.6m自走圆盘式</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20000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20000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 xml:space="preserve"> 割幅 ≥ 2.6m自走圆盘式，带对辊式籽粒破碎机构</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20000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20000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2.2m≤割幅&lt;2.6m 自走其他式青铜料收获机</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11400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11400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2.2m≤割幅&lt;2.6m自走其他式青铜料收获机，带对辊式籽粒破碎机构</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13200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13200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2.6m≤割幅&lt;2.9m 自走其他式青铜料收获机</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12000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12000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2.6m≤割幅&lt;2.9m自走其他式青铜料收获机，带对辊式籽粒破碎机构</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13800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13800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割幅 ≥2.9m自走其他式青铜料收获机</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20000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20000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割幅≥ 2.9m自走其他式青铜料收获机，带对辊式籽粒破碎机构</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20000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20000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07" w:hRule="atLeast"/>
        </w:trPr>
        <w:tc>
          <w:tcPr>
            <w:tcW w:w="451"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18</w:t>
            </w:r>
          </w:p>
        </w:tc>
        <w:tc>
          <w:tcPr>
            <w:tcW w:w="1116"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自走式花生联合、捡拾收获机</w:t>
            </w: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工作幅度≥0.5m</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5490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5490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捡拾幅度≥2.5m；配套发动机功率≥88kw</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9600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9600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19</w:t>
            </w:r>
          </w:p>
        </w:tc>
        <w:tc>
          <w:tcPr>
            <w:tcW w:w="1116"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挤奶机</w:t>
            </w: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24-40杯组鱼骨式</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19470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19470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20杯组及以上并列（转盘）式</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20000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20000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管径85mm及以上卷盘式</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3000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3000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20</w:t>
            </w:r>
          </w:p>
        </w:tc>
        <w:tc>
          <w:tcPr>
            <w:tcW w:w="1116"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旋耕机</w:t>
            </w: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 xml:space="preserve"> 单轴，2m≤工作幅宽&lt;2.5m</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480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480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 xml:space="preserve"> 单轴，工作幅宽≥2.5m</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630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630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双轴，2m≤工作幅宽&lt;2.5m</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870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870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双轴，工作幅宽≥2.5m</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1020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1020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7" w:hRule="atLeast"/>
        </w:trPr>
        <w:tc>
          <w:tcPr>
            <w:tcW w:w="451"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21</w:t>
            </w:r>
          </w:p>
        </w:tc>
        <w:tc>
          <w:tcPr>
            <w:tcW w:w="1116"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秸秆粉碎还田机</w:t>
            </w: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1.5m≤作业幅度&lt;2m</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480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480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2m≤作业幅度&lt;2.5m</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560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560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作业幅宽≥2.5m</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630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630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22</w:t>
            </w:r>
          </w:p>
        </w:tc>
        <w:tc>
          <w:tcPr>
            <w:tcW w:w="1116"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深松机</w:t>
            </w: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4-5铲凿铲式</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390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390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6铲及以上凿铲式</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480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480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4-5铲偏柱式、全方位式</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630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630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6铲及以上偏柱式、全方位式</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990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990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07" w:hRule="atLeast"/>
        </w:trPr>
        <w:tc>
          <w:tcPr>
            <w:tcW w:w="451"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23</w:t>
            </w:r>
          </w:p>
        </w:tc>
        <w:tc>
          <w:tcPr>
            <w:tcW w:w="1116"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平地机</w:t>
            </w: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幅宽2-3m</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1530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1530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幅宽3m及以上</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2400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2400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7" w:hRule="atLeast"/>
        </w:trPr>
        <w:tc>
          <w:tcPr>
            <w:tcW w:w="451"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24</w:t>
            </w:r>
          </w:p>
        </w:tc>
        <w:tc>
          <w:tcPr>
            <w:tcW w:w="1116"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微耕机</w:t>
            </w: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功率4kW及以上汽油机微型耕耘机</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功率4kW及以上柴油机微型耕耘机</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270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270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7" w:hRule="atLeast"/>
        </w:trPr>
        <w:tc>
          <w:tcPr>
            <w:tcW w:w="451"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25</w:t>
            </w:r>
          </w:p>
        </w:tc>
        <w:tc>
          <w:tcPr>
            <w:tcW w:w="1116"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喷灌机</w:t>
            </w: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65mm≤管径&lt;85mm，卷盘式</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2070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2070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管径≥85mm，卷盘式</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2910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2910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大型喷灌机，中心支轴式喷灌机或平移式喷灌机(每跨≥50m)</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1350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1350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7" w:hRule="atLeast"/>
        </w:trPr>
        <w:tc>
          <w:tcPr>
            <w:tcW w:w="451"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26</w:t>
            </w:r>
          </w:p>
        </w:tc>
        <w:tc>
          <w:tcPr>
            <w:tcW w:w="1116"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薯类收获机</w:t>
            </w: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700≤工作幅度&lt;1000mm牵引式</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4890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4890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1000mm≤工作幅度&lt;1500mm牵引式</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4890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4890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 xml:space="preserve">工作幅度≥1500mm牵引式                                                </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10560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10560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700mm≤工作幅度&lt;1000mm自走式</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5760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5760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1000mm≤工作幅度&lt;1500mm自走式</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12000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12000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工作幅度≥1500mm自走式</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14400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14400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7" w:hRule="atLeast"/>
        </w:trPr>
        <w:tc>
          <w:tcPr>
            <w:tcW w:w="451"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27</w:t>
            </w:r>
          </w:p>
        </w:tc>
        <w:tc>
          <w:tcPr>
            <w:tcW w:w="1116"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犁</w:t>
            </w: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 xml:space="preserve"> 犁体幅宽35cm以下，3-4铧翻转犁</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360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360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犁体幅宽35cm以下，5铧及以上翻转犁</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540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540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犁体幅宽35cm及以上，3-4铧翻转犁</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1110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1110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犁体幅宽35-45cm，5铧及以上翻转犁</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1650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1650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犁体幅宽45cm及以上，5铧及以上翻转犁</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1920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1920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7" w:hRule="atLeast"/>
        </w:trPr>
        <w:tc>
          <w:tcPr>
            <w:tcW w:w="451"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28</w:t>
            </w:r>
          </w:p>
        </w:tc>
        <w:tc>
          <w:tcPr>
            <w:tcW w:w="1116"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打（压）捆机</w:t>
            </w: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压缩室截面积（宽×高）0.1344㎡及以上方捆捡拾压捆机</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2760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2760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压缩室截面积（宽×高）0.154㎡及以上方捆捡拾压捆机</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3840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3840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压缩室截面积（宽×高）0.162㎡及以上方捆捡拾压捆机</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4230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4230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压缩室截面积（宽×高）0.1998㎡及以上方捆捡拾压捆机（3个及以上打结器）</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4590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4590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压缩室直径0.8m及以上圆捆捡拾压捆机</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2070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2070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压缩室直径1m及以上圆捆捡拾压捆机</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3480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3480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压缩室直径1.2m及以上圆捆捡拾压捆机</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4290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4290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压缩室直径0.52m及以上圆捆压捆机</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1080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1080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压缩室截面积（宽×高）0.105㎡及以上方捆压捆机</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900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900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压缩室截面积（宽×高）0.0936㎡及以上无打结器自动套袋方捆捡拾压捆机</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4140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4140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7" w:hRule="atLeast"/>
        </w:trPr>
        <w:tc>
          <w:tcPr>
            <w:tcW w:w="45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1116"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c>
          <w:tcPr>
            <w:tcW w:w="2832"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压缩室截面积（宽×高）0.1344㎡及以上无打结器自动套袋方捆捡拾压捆机</w:t>
            </w:r>
          </w:p>
        </w:tc>
        <w:tc>
          <w:tcPr>
            <w:tcW w:w="110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5490</w:t>
            </w:r>
          </w:p>
        </w:tc>
        <w:tc>
          <w:tcPr>
            <w:tcW w:w="1223" w:type="dxa"/>
            <w:gridSpan w:val="2"/>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5490</w:t>
            </w:r>
          </w:p>
        </w:tc>
        <w:tc>
          <w:tcPr>
            <w:tcW w:w="179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 w:hAnsi="仿宋" w:eastAsia="仿宋" w:cs="仿宋"/>
                <w:sz w:val="21"/>
                <w:szCs w:val="21"/>
                <w:vertAlign w:val="baseline"/>
                <w:lang w:val="en-US" w:eastAsia="zh-CN"/>
              </w:rPr>
            </w:pPr>
          </w:p>
        </w:tc>
      </w:tr>
    </w:tbl>
    <w:p>
      <w:pPr>
        <w:rPr>
          <w:rFonts w:hint="eastAsia"/>
        </w:rPr>
      </w:pPr>
    </w:p>
    <w:sectPr>
      <w:footerReference r:id="rId3" w:type="default"/>
      <w:pgSz w:w="11906" w:h="16838"/>
      <w:pgMar w:top="2098" w:right="1474" w:bottom="1417" w:left="158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28"/>
    <w:family w:val="decorative"/>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Tempus Sans ITC">
    <w:altName w:val="Gabriola"/>
    <w:panose1 w:val="04020404030D07020202"/>
    <w:charset w:val="00"/>
    <w:family w:val="auto"/>
    <w:pitch w:val="default"/>
    <w:sig w:usb0="00000000" w:usb1="00000000" w:usb2="00000000" w:usb3="00000000" w:csb0="20000001" w:csb1="00000000"/>
  </w:font>
  <w:font w:name="Gabriola">
    <w:panose1 w:val="04040605051002020D02"/>
    <w:charset w:val="00"/>
    <w:family w:val="auto"/>
    <w:pitch w:val="default"/>
    <w:sig w:usb0="E00002EF" w:usb1="5000204B" w:usb2="00000000" w:usb3="00000000" w:csb0="2000009F" w:csb1="00000000"/>
  </w:font>
  <w:font w:name="等线">
    <w:altName w:val="宋体"/>
    <w:panose1 w:val="02010600030101010101"/>
    <w:charset w:val="86"/>
    <w:family w:val="auto"/>
    <w:pitch w:val="default"/>
    <w:sig w:usb0="00000000" w:usb1="00000000" w:usb2="00000016" w:usb3="00000000" w:csb0="0004000F" w:csb1="00000000"/>
  </w:font>
  <w:font w:name="方正仿宋简体">
    <w:altName w:val="微软雅黑"/>
    <w:panose1 w:val="02000000000000000000"/>
    <w:charset w:val="00"/>
    <w:family w:val="auto"/>
    <w:pitch w:val="default"/>
    <w:sig w:usb0="00000000" w:usb1="00000000" w:usb2="00000012" w:usb3="00000000" w:csb0="00040001" w:csb1="00000000"/>
  </w:font>
  <w:font w:name="方正舒体">
    <w:altName w:val="宋体"/>
    <w:panose1 w:val="02010601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等线">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rPr>
                              <w:rFonts w:hint="eastAsia" w:eastAsiaTheme="minorEastAsia"/>
                              <w:sz w:val="24"/>
                              <w:szCs w:val="24"/>
                              <w:lang w:eastAsia="zh-CN"/>
                            </w:rPr>
                          </w:pPr>
                          <w:r>
                            <w:rPr>
                              <w:rFonts w:hint="eastAsia"/>
                              <w:sz w:val="24"/>
                              <w:szCs w:val="24"/>
                              <w:lang w:eastAsia="zh-CN"/>
                            </w:rPr>
                            <w:fldChar w:fldCharType="begin"/>
                          </w:r>
                          <w:r>
                            <w:rPr>
                              <w:rFonts w:hint="eastAsia"/>
                              <w:sz w:val="24"/>
                              <w:szCs w:val="24"/>
                              <w:lang w:eastAsia="zh-CN"/>
                            </w:rPr>
                            <w:instrText xml:space="preserve"> PAGE  \* MERGEFORMAT </w:instrText>
                          </w:r>
                          <w:r>
                            <w:rPr>
                              <w:rFonts w:hint="eastAsia"/>
                              <w:sz w:val="24"/>
                              <w:szCs w:val="24"/>
                              <w:lang w:eastAsia="zh-CN"/>
                            </w:rPr>
                            <w:fldChar w:fldCharType="separate"/>
                          </w:r>
                          <w:r>
                            <w:rPr>
                              <w:rFonts w:hint="eastAsia"/>
                              <w:sz w:val="24"/>
                              <w:szCs w:val="24"/>
                              <w:lang w:eastAsia="zh-CN"/>
                            </w:rPr>
                            <w:t>1</w:t>
                          </w:r>
                          <w:r>
                            <w:rPr>
                              <w:rFonts w:hint="eastAsia"/>
                              <w:sz w:val="24"/>
                              <w:szCs w:val="24"/>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7"/>
                      <w:rPr>
                        <w:rFonts w:hint="eastAsia" w:eastAsiaTheme="minorEastAsia"/>
                        <w:sz w:val="24"/>
                        <w:szCs w:val="24"/>
                        <w:lang w:eastAsia="zh-CN"/>
                      </w:rPr>
                    </w:pPr>
                    <w:r>
                      <w:rPr>
                        <w:rFonts w:hint="eastAsia"/>
                        <w:sz w:val="24"/>
                        <w:szCs w:val="24"/>
                        <w:lang w:eastAsia="zh-CN"/>
                      </w:rPr>
                      <w:fldChar w:fldCharType="begin"/>
                    </w:r>
                    <w:r>
                      <w:rPr>
                        <w:rFonts w:hint="eastAsia"/>
                        <w:sz w:val="24"/>
                        <w:szCs w:val="24"/>
                        <w:lang w:eastAsia="zh-CN"/>
                      </w:rPr>
                      <w:instrText xml:space="preserve"> PAGE  \* MERGEFORMAT </w:instrText>
                    </w:r>
                    <w:r>
                      <w:rPr>
                        <w:rFonts w:hint="eastAsia"/>
                        <w:sz w:val="24"/>
                        <w:szCs w:val="24"/>
                        <w:lang w:eastAsia="zh-CN"/>
                      </w:rPr>
                      <w:fldChar w:fldCharType="separate"/>
                    </w:r>
                    <w:r>
                      <w:rPr>
                        <w:rFonts w:hint="eastAsia"/>
                        <w:sz w:val="24"/>
                        <w:szCs w:val="24"/>
                        <w:lang w:eastAsia="zh-CN"/>
                      </w:rPr>
                      <w:t>1</w:t>
                    </w:r>
                    <w:r>
                      <w:rPr>
                        <w:rFonts w:hint="eastAsia"/>
                        <w:sz w:val="24"/>
                        <w:szCs w:val="24"/>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C923EFD"/>
    <w:rsid w:val="00D24CD2"/>
    <w:rsid w:val="03EC3124"/>
    <w:rsid w:val="058D2E76"/>
    <w:rsid w:val="06C64090"/>
    <w:rsid w:val="074C2662"/>
    <w:rsid w:val="079363B9"/>
    <w:rsid w:val="094D0085"/>
    <w:rsid w:val="0A523BD3"/>
    <w:rsid w:val="0D6F34DC"/>
    <w:rsid w:val="0DDB1723"/>
    <w:rsid w:val="0E0743EE"/>
    <w:rsid w:val="14F15853"/>
    <w:rsid w:val="1753324C"/>
    <w:rsid w:val="189248DD"/>
    <w:rsid w:val="1C217F13"/>
    <w:rsid w:val="1D4008D5"/>
    <w:rsid w:val="1EFA7562"/>
    <w:rsid w:val="202469DA"/>
    <w:rsid w:val="207D67A9"/>
    <w:rsid w:val="209D41EF"/>
    <w:rsid w:val="23CB36AD"/>
    <w:rsid w:val="26486ECC"/>
    <w:rsid w:val="26C00F01"/>
    <w:rsid w:val="27261C34"/>
    <w:rsid w:val="282C0F2A"/>
    <w:rsid w:val="28886728"/>
    <w:rsid w:val="2A4D7718"/>
    <w:rsid w:val="2AEF4AA7"/>
    <w:rsid w:val="2C55201E"/>
    <w:rsid w:val="2FE07441"/>
    <w:rsid w:val="32A9455D"/>
    <w:rsid w:val="344B7CE3"/>
    <w:rsid w:val="385257A7"/>
    <w:rsid w:val="389A0B3F"/>
    <w:rsid w:val="393C336E"/>
    <w:rsid w:val="3A050D81"/>
    <w:rsid w:val="3B326A05"/>
    <w:rsid w:val="3B62045F"/>
    <w:rsid w:val="3B7233AD"/>
    <w:rsid w:val="3CE164C1"/>
    <w:rsid w:val="3EDA2286"/>
    <w:rsid w:val="3F0A2D36"/>
    <w:rsid w:val="413B5E92"/>
    <w:rsid w:val="46927E7F"/>
    <w:rsid w:val="4A494A0F"/>
    <w:rsid w:val="4F596D5F"/>
    <w:rsid w:val="56B96119"/>
    <w:rsid w:val="578C2A36"/>
    <w:rsid w:val="5DDF38FC"/>
    <w:rsid w:val="61924D7B"/>
    <w:rsid w:val="62636B7D"/>
    <w:rsid w:val="628C2121"/>
    <w:rsid w:val="63352844"/>
    <w:rsid w:val="63627521"/>
    <w:rsid w:val="6978141B"/>
    <w:rsid w:val="6C923EFD"/>
    <w:rsid w:val="6E2E7628"/>
    <w:rsid w:val="70E72567"/>
    <w:rsid w:val="71153B89"/>
    <w:rsid w:val="72CD1E6F"/>
    <w:rsid w:val="78562BE1"/>
    <w:rsid w:val="7B9E6AC1"/>
    <w:rsid w:val="7E8746A1"/>
  </w:rsids>
  <m:mathPr>
    <m:lMargin m:val="0"/>
    <m:mathFont m:val="Cambria Math"/>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spacing w:beforeAutospacing="0" w:afterAutospacing="0" w:line="560" w:lineRule="exact"/>
      <w:jc w:val="center"/>
      <w:outlineLvl w:val="0"/>
    </w:pPr>
    <w:rPr>
      <w:rFonts w:hint="eastAsia" w:ascii="Times New Roman" w:hAnsi="Times New Roman" w:eastAsia="方正小标宋简体" w:cs="宋体"/>
      <w:bCs/>
      <w:color w:val="000000"/>
      <w:kern w:val="44"/>
      <w:sz w:val="44"/>
      <w:szCs w:val="48"/>
      <w:lang w:bidi="ar"/>
    </w:rPr>
  </w:style>
  <w:style w:type="paragraph" w:styleId="4">
    <w:name w:val="heading 2"/>
    <w:basedOn w:val="1"/>
    <w:next w:val="1"/>
    <w:unhideWhenUsed/>
    <w:qFormat/>
    <w:uiPriority w:val="9"/>
    <w:pPr>
      <w:keepNext/>
      <w:keepLines/>
      <w:spacing w:before="260" w:after="260" w:line="416" w:lineRule="auto"/>
      <w:outlineLvl w:val="1"/>
    </w:pPr>
    <w:rPr>
      <w:rFonts w:ascii="Cambria" w:hAnsi="Cambria" w:eastAsia="宋体" w:cs="Times New Roman"/>
      <w:b/>
      <w:bCs/>
      <w:sz w:val="32"/>
      <w:szCs w:val="32"/>
    </w:rPr>
  </w:style>
  <w:style w:type="paragraph" w:styleId="2">
    <w:name w:val="heading 3"/>
    <w:basedOn w:val="1"/>
    <w:next w:val="1"/>
    <w:unhideWhenUsed/>
    <w:qFormat/>
    <w:uiPriority w:val="0"/>
    <w:pPr>
      <w:keepNext/>
      <w:keepLines/>
      <w:spacing w:before="260" w:beforeLines="0" w:beforeAutospacing="0" w:after="260" w:afterLines="0" w:afterAutospacing="0" w:line="413" w:lineRule="auto"/>
      <w:outlineLvl w:val="2"/>
    </w:pPr>
    <w:rPr>
      <w:b/>
      <w:sz w:val="32"/>
    </w:rPr>
  </w:style>
  <w:style w:type="character" w:default="1" w:styleId="9">
    <w:name w:val="Default Paragraph Font"/>
    <w:semiHidden/>
    <w:qFormat/>
    <w:uiPriority w:val="0"/>
  </w:style>
  <w:style w:type="table" w:default="1" w:styleId="10">
    <w:name w:val="Normal Table"/>
    <w:semiHidden/>
    <w:qFormat/>
    <w:uiPriority w:val="0"/>
    <w:tblPr>
      <w:tblLayout w:type="fixed"/>
      <w:tblCellMar>
        <w:top w:w="0" w:type="dxa"/>
        <w:left w:w="108" w:type="dxa"/>
        <w:bottom w:w="0" w:type="dxa"/>
        <w:right w:w="108" w:type="dxa"/>
      </w:tblCellMar>
    </w:tblPr>
  </w:style>
  <w:style w:type="paragraph" w:styleId="5">
    <w:name w:val="Normal Indent"/>
    <w:basedOn w:val="1"/>
    <w:qFormat/>
    <w:uiPriority w:val="0"/>
    <w:pPr>
      <w:ind w:firstLine="420"/>
    </w:pPr>
  </w:style>
  <w:style w:type="paragraph" w:styleId="6">
    <w:name w:val="Body Text"/>
    <w:basedOn w:val="1"/>
    <w:qFormat/>
    <w:uiPriority w:val="1"/>
    <w:rPr>
      <w:rFonts w:ascii="宋体" w:hAnsi="宋体" w:eastAsia="宋体" w:cs="宋体"/>
      <w:sz w:val="32"/>
      <w:szCs w:val="32"/>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12">
    <w:name w:val="Default"/>
    <w:qFormat/>
    <w:uiPriority w:val="0"/>
    <w:pPr>
      <w:widowControl w:val="0"/>
      <w:autoSpaceDE w:val="0"/>
      <w:autoSpaceDN w:val="0"/>
      <w:adjustRightInd w:val="0"/>
      <w:spacing w:line="240" w:lineRule="atLeast"/>
      <w:jc w:val="center"/>
    </w:pPr>
    <w:rPr>
      <w:rFonts w:ascii="宋体" w:hAnsi="Times New Roman" w:eastAsia="宋体" w:cs="Times New Roman"/>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Office_10.8.0.5838_F1E327BC-269C-435d-A152-05C5408002CA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2025-09-14T01:19:00Z</dcterms:created>
  <dc:creator>Wang</dc:creator>
  <cp:lastModifiedBy>Administrator</cp:lastModifiedBy>
  <cp:lastPrinted>2025-09-29T06:05:39Z</cp:lastPrinted>
  <dcterms:modified xsi:type="dcterms:W3CDTF">2025-09-29T06:09:01Z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2052-10.8.0.5838</vt:lpwstr>
  </property>
</Properties>
</file>