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6" w:line="240" w:lineRule="auto"/>
        <w:rPr>
          <w:rFonts w:ascii="仿宋_GB2312" w:hAnsi="仿宋_GB2312" w:eastAsia="仿宋_GB2312" w:cs="仿宋_GB2312"/>
          <w:sz w:val="25"/>
          <w:szCs w:val="25"/>
        </w:rPr>
      </w:pPr>
    </w:p>
    <w:p>
      <w:pPr>
        <w:pStyle w:val="2"/>
        <w:spacing w:line="1036" w:lineRule="exact"/>
        <w:ind w:left="0" w:leftChars="0" w:right="0" w:firstLine="0" w:firstLineChars="0"/>
        <w:jc w:val="center"/>
      </w:pPr>
      <w:r>
        <w:rPr>
          <w:rFonts w:hint="eastAsia"/>
          <w:color w:val="FF0000"/>
          <w:spacing w:val="12"/>
          <w:w w:val="95"/>
          <w:lang w:eastAsia="zh-CN"/>
        </w:rPr>
        <w:t>晋州</w:t>
      </w:r>
      <w:r>
        <w:rPr>
          <w:color w:val="FF0000"/>
          <w:spacing w:val="12"/>
          <w:w w:val="95"/>
        </w:rPr>
        <w:t>市</w:t>
      </w:r>
      <w:r>
        <w:rPr>
          <w:rFonts w:hint="eastAsia"/>
          <w:color w:val="FF0000"/>
          <w:spacing w:val="9"/>
          <w:w w:val="95"/>
          <w:lang w:eastAsia="zh-CN"/>
        </w:rPr>
        <w:t>农业农村</w:t>
      </w:r>
      <w:r>
        <w:rPr>
          <w:color w:val="FF0000"/>
          <w:spacing w:val="11"/>
          <w:w w:val="95"/>
        </w:rPr>
        <w:t>局</w:t>
      </w:r>
    </w:p>
    <w:p>
      <w:pPr>
        <w:spacing w:before="0" w:line="240" w:lineRule="auto"/>
        <w:rPr>
          <w:rFonts w:ascii="方正小标宋简体" w:hAnsi="方正小标宋简体" w:eastAsia="方正小标宋简体" w:cs="方正小标宋简体"/>
          <w:sz w:val="20"/>
          <w:szCs w:val="20"/>
        </w:rPr>
      </w:pPr>
    </w:p>
    <w:p>
      <w:pPr>
        <w:spacing w:before="1" w:line="240" w:lineRule="auto"/>
        <w:rPr>
          <w:rFonts w:ascii="方正小标宋简体" w:hAnsi="方正小标宋简体" w:eastAsia="方正小标宋简体" w:cs="方正小标宋简体"/>
          <w:sz w:val="15"/>
          <w:szCs w:val="15"/>
        </w:rPr>
      </w:pPr>
    </w:p>
    <w:p>
      <w:pPr>
        <w:spacing w:before="7" w:line="240" w:lineRule="auto"/>
        <w:rPr>
          <w:rFonts w:ascii="仿宋" w:hAnsi="仿宋" w:eastAsia="仿宋" w:cs="仿宋"/>
          <w:sz w:val="10"/>
          <w:szCs w:val="10"/>
        </w:rPr>
      </w:pPr>
    </w:p>
    <w:p>
      <w:pPr>
        <w:spacing w:line="45" w:lineRule="exact"/>
        <w:ind w:left="114" w:right="0" w:firstLine="0"/>
        <w:rPr>
          <w:rFonts w:ascii="仿宋" w:hAnsi="仿宋" w:eastAsia="仿宋" w:cs="仿宋"/>
          <w:sz w:val="4"/>
          <w:szCs w:val="4"/>
        </w:rPr>
      </w:pPr>
      <w:r>
        <w:rPr>
          <w:rFonts w:ascii="仿宋" w:hAnsi="仿宋" w:eastAsia="仿宋" w:cs="仿宋"/>
          <w:position w:val="0"/>
          <w:sz w:val="4"/>
          <w:szCs w:val="4"/>
        </w:rPr>
        <w:pict>
          <v:group id="_x0000_s1099" o:spid="_x0000_s1099" o:spt="203" style="height:2.25pt;width:444.45pt;" coordsize="8889,45">
            <o:lock v:ext="edit"/>
            <v:group id="_x0000_s1100" o:spid="_x0000_s1100" o:spt="203" style="position:absolute;left:23;top:23;height:2;width:8844;" coordorigin="23,23" coordsize="8844,2">
              <o:lock v:ext="edit"/>
              <v:shape id="_x0000_s1101" o:spid="_x0000_s1101" style="position:absolute;left:23;top:23;height:2;width:8844;" filled="f" stroked="t" coordorigin="23,23" coordsize="8844,0" path="m23,23l8866,23e">
                <v:path arrowok="t"/>
                <v:fill on="f" focussize="0,0"/>
                <v:stroke weight="2.25pt" color="#FF0000"/>
                <v:imagedata o:title=""/>
                <o:lock v:ext="edit"/>
              </v:shape>
            </v:group>
            <w10:wrap type="none"/>
            <w10:anchorlock/>
          </v:group>
        </w:pict>
      </w:r>
    </w:p>
    <w:p>
      <w:pPr>
        <w:keepNext w:val="0"/>
        <w:keepLines w:val="0"/>
        <w:pageBreakBefore w:val="0"/>
        <w:widowControl w:val="0"/>
        <w:kinsoku/>
        <w:wordWrap/>
        <w:overflowPunct/>
        <w:topLinePunct w:val="0"/>
        <w:autoSpaceDE/>
        <w:autoSpaceDN/>
        <w:bidi w:val="0"/>
        <w:adjustRightInd/>
        <w:snapToGrid/>
        <w:spacing w:after="0" w:line="640" w:lineRule="exact"/>
        <w:ind w:left="0" w:leftChars="0" w:right="0" w:rightChars="0" w:firstLine="0" w:firstLineChars="0"/>
        <w:textAlignment w:val="auto"/>
        <w:outlineLvl w:val="9"/>
        <w:rPr>
          <w:rFonts w:ascii="仿宋" w:hAnsi="仿宋" w:eastAsia="仿宋" w:cs="仿宋"/>
          <w:sz w:val="41"/>
          <w:szCs w:val="41"/>
        </w:rPr>
      </w:pPr>
    </w:p>
    <w:p>
      <w:pPr>
        <w:keepNext w:val="0"/>
        <w:keepLines w:val="0"/>
        <w:pageBreakBefore w:val="0"/>
        <w:widowControl w:val="0"/>
        <w:kinsoku/>
        <w:wordWrap/>
        <w:overflowPunct/>
        <w:topLinePunct w:val="0"/>
        <w:autoSpaceDE/>
        <w:autoSpaceDN/>
        <w:bidi w:val="0"/>
        <w:adjustRightInd/>
        <w:snapToGrid/>
        <w:spacing w:after="0" w:line="640" w:lineRule="exact"/>
        <w:ind w:left="0" w:leftChars="0" w:right="0" w:rightChars="0" w:firstLine="0" w:firstLineChars="0"/>
        <w:jc w:val="center"/>
        <w:textAlignment w:val="auto"/>
        <w:outlineLvl w:val="9"/>
        <w:rPr>
          <w:rFonts w:ascii="方正小标宋简体" w:hAnsi="方正小标宋简体" w:eastAsia="方正小标宋简体" w:cs="方正小标宋简体"/>
          <w:sz w:val="44"/>
          <w:szCs w:val="44"/>
        </w:rPr>
      </w:pPr>
      <w:r>
        <w:rPr>
          <w:rFonts w:ascii="方正小标宋简体" w:hAnsi="方正小标宋简体" w:eastAsia="方正小标宋简体" w:cs="方正小标宋简体"/>
          <w:sz w:val="44"/>
          <w:szCs w:val="44"/>
        </w:rPr>
        <w:t>2025</w:t>
      </w:r>
      <w:r>
        <w:rPr>
          <w:rFonts w:ascii="方正小标宋简体" w:hAnsi="方正小标宋简体" w:eastAsia="方正小标宋简体" w:cs="方正小标宋简体"/>
          <w:spacing w:val="-6"/>
          <w:sz w:val="44"/>
          <w:szCs w:val="44"/>
        </w:rPr>
        <w:t xml:space="preserve"> </w:t>
      </w:r>
      <w:r>
        <w:rPr>
          <w:rFonts w:ascii="方正小标宋简体" w:hAnsi="方正小标宋简体" w:eastAsia="方正小标宋简体" w:cs="方正小标宋简体"/>
          <w:sz w:val="44"/>
          <w:szCs w:val="44"/>
        </w:rPr>
        <w:t>年度法治政府建设情</w:t>
      </w:r>
      <w:r>
        <w:rPr>
          <w:rFonts w:hint="eastAsia" w:ascii="方正小标宋简体" w:hAnsi="方正小标宋简体" w:eastAsia="方正小标宋简体" w:cs="方正小标宋简体"/>
          <w:sz w:val="44"/>
          <w:szCs w:val="44"/>
          <w:lang w:eastAsia="zh-CN"/>
        </w:rPr>
        <w:t>况报</w:t>
      </w:r>
      <w:r>
        <w:rPr>
          <w:rFonts w:ascii="方正小标宋简体" w:hAnsi="方正小标宋简体" w:eastAsia="方正小标宋简体" w:cs="方正小标宋简体"/>
          <w:sz w:val="44"/>
          <w:szCs w:val="44"/>
        </w:rPr>
        <w:t>告</w:t>
      </w:r>
    </w:p>
    <w:p>
      <w:pPr>
        <w:keepNext w:val="0"/>
        <w:keepLines w:val="0"/>
        <w:pageBreakBefore w:val="0"/>
        <w:widowControl w:val="0"/>
        <w:kinsoku/>
        <w:wordWrap/>
        <w:overflowPunct/>
        <w:topLinePunct w:val="0"/>
        <w:autoSpaceDE/>
        <w:autoSpaceDN/>
        <w:bidi w:val="0"/>
        <w:adjustRightInd/>
        <w:snapToGrid/>
        <w:spacing w:after="0" w:line="640" w:lineRule="exact"/>
        <w:ind w:left="0" w:leftChars="0" w:right="0" w:rightChars="0" w:firstLine="0" w:firstLineChars="0"/>
        <w:jc w:val="left"/>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after="0" w:line="560" w:lineRule="exact"/>
        <w:ind w:left="0" w:leftChars="0" w:right="1659" w:rightChars="0" w:firstLine="0" w:firstLineChars="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市政府：</w:t>
      </w:r>
    </w:p>
    <w:p>
      <w:pPr>
        <w:keepNext w:val="0"/>
        <w:keepLines w:val="0"/>
        <w:pageBreakBefore w:val="0"/>
        <w:widowControl w:val="0"/>
        <w:kinsoku/>
        <w:wordWrap/>
        <w:overflowPunct/>
        <w:topLinePunct w:val="0"/>
        <w:autoSpaceDE/>
        <w:autoSpaceDN/>
        <w:bidi w:val="0"/>
        <w:adjustRightInd/>
        <w:snapToGrid/>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晋州市</w:t>
      </w:r>
      <w:r>
        <w:rPr>
          <w:rFonts w:hint="eastAsia" w:ascii="仿宋_GB2312" w:hAnsi="仿宋_GB2312" w:eastAsia="仿宋_GB2312" w:cs="仿宋_GB2312"/>
          <w:sz w:val="32"/>
          <w:szCs w:val="32"/>
        </w:rPr>
        <w:t>农业农村局坚持以习近平法治思想为指导，全面贯彻落实中央、省、市</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关于法治政府建设的决策部署，紧扣乡村振兴战略实施和农业农村高质量发展主线，扎实推进学法用法、依法行政、执法监督等重点工作，为全县农业农村</w:t>
      </w:r>
      <w:r>
        <w:rPr>
          <w:rFonts w:hint="eastAsia" w:ascii="仿宋_GB2312" w:hAnsi="仿宋_GB2312" w:eastAsia="仿宋_GB2312" w:cs="仿宋_GB2312"/>
          <w:sz w:val="32"/>
          <w:szCs w:val="32"/>
          <w:lang w:eastAsia="zh-CN"/>
        </w:rPr>
        <w:t>工作</w:t>
      </w:r>
      <w:r>
        <w:rPr>
          <w:rFonts w:hint="eastAsia" w:ascii="仿宋_GB2312" w:hAnsi="仿宋_GB2312" w:eastAsia="仿宋_GB2312" w:cs="仿宋_GB2312"/>
          <w:sz w:val="32"/>
          <w:szCs w:val="32"/>
        </w:rPr>
        <w:t>提供坚实的法治保障。现将本年度法治政府建设工作情况报告如下</w:t>
      </w:r>
      <w:r>
        <w:rPr>
          <w:rFonts w:hint="eastAsia" w:ascii="仿宋_GB2312" w:hAnsi="仿宋_GB2312" w:eastAsia="仿宋_GB2312" w:cs="仿宋_GB2312"/>
          <w:sz w:val="32"/>
          <w:szCs w:val="32"/>
          <w:lang w:eastAsia="zh-CN"/>
        </w:rPr>
        <w:t>：</w:t>
      </w:r>
    </w:p>
    <w:p>
      <w:pPr>
        <w:keepNext w:val="0"/>
        <w:keepLines w:val="0"/>
        <w:pageBreakBefore w:val="0"/>
        <w:widowControl w:val="0"/>
        <w:numPr>
          <w:ilvl w:val="0"/>
          <w:numId w:val="1"/>
        </w:numPr>
        <w:kinsoku/>
        <w:wordWrap/>
        <w:overflowPunct/>
        <w:topLinePunct w:val="0"/>
        <w:autoSpaceDE/>
        <w:autoSpaceDN/>
        <w:bidi w:val="0"/>
        <w:adjustRightInd/>
        <w:snapToGrid/>
        <w:spacing w:after="0" w:line="560" w:lineRule="exact"/>
        <w:ind w:left="0" w:leftChars="0" w:right="0" w:rightChars="0" w:firstLine="640" w:firstLineChars="200"/>
        <w:jc w:val="left"/>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深化学法用法，持续开展普法</w:t>
      </w:r>
    </w:p>
    <w:p>
      <w:pPr>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健全学法制度。晋州市农业农村局党组高度重视法治政府建设工作，将法治学习纳入党组理论学习中心组学习计划和干部职工教育培训体系，制定《晋州市农业农村局202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年度学法工作计划》，严格落实领导干部带头学，党组书记履行推进法治建设第一责任人职责，明确学习内容、学习方式和责任分工。</w:t>
      </w:r>
    </w:p>
    <w:p>
      <w:pPr>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持续开展普法。围绕“三农”工作重点和群众法治需求，深入开展法律普法宣传活动。结合“3·15”消费者权益日、“民法典宣传月”等重要节点，组织执法人员、农技专家深入田间地头、农资市场、农业企业，通过发放宣传手册、现场宣传、以案释法等方式，向群众普及农资打假、农产品质量安全、农机安全等方面的法律知识。本年度累计发放宣传资料</w:t>
      </w:r>
      <w:r>
        <w:rPr>
          <w:rFonts w:hint="eastAsia" w:ascii="仿宋_GB2312" w:hAnsi="仿宋_GB2312" w:eastAsia="仿宋_GB2312" w:cs="仿宋_GB2312"/>
          <w:b w:val="0"/>
          <w:bCs w:val="0"/>
          <w:sz w:val="32"/>
          <w:szCs w:val="32"/>
          <w:lang w:val="en-US" w:eastAsia="zh-CN"/>
        </w:rPr>
        <w:t>3000</w:t>
      </w:r>
      <w:r>
        <w:rPr>
          <w:rFonts w:hint="eastAsia" w:ascii="仿宋_GB2312" w:hAnsi="仿宋_GB2312" w:eastAsia="仿宋_GB2312" w:cs="仿宋_GB2312"/>
          <w:b w:val="0"/>
          <w:bCs w:val="0"/>
          <w:sz w:val="32"/>
          <w:szCs w:val="32"/>
          <w:lang w:eastAsia="zh-CN"/>
        </w:rPr>
        <w:t>余份，开展现场咨询活动</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lang w:eastAsia="zh-CN"/>
        </w:rPr>
        <w:t>次，解答群众法律咨询</w:t>
      </w:r>
      <w:r>
        <w:rPr>
          <w:rFonts w:hint="eastAsia" w:ascii="仿宋_GB2312" w:hAnsi="仿宋_GB2312" w:eastAsia="仿宋_GB2312" w:cs="仿宋_GB2312"/>
          <w:b w:val="0"/>
          <w:bCs w:val="0"/>
          <w:sz w:val="32"/>
          <w:szCs w:val="32"/>
          <w:lang w:val="en-US" w:eastAsia="zh-CN"/>
        </w:rPr>
        <w:t>200</w:t>
      </w:r>
      <w:r>
        <w:rPr>
          <w:rFonts w:hint="eastAsia" w:ascii="仿宋_GB2312" w:hAnsi="仿宋_GB2312" w:eastAsia="仿宋_GB2312" w:cs="仿宋_GB2312"/>
          <w:b w:val="0"/>
          <w:bCs w:val="0"/>
          <w:sz w:val="32"/>
          <w:szCs w:val="32"/>
          <w:lang w:eastAsia="zh-CN"/>
        </w:rPr>
        <w:t>余人次。</w:t>
      </w:r>
    </w:p>
    <w:p>
      <w:pPr>
        <w:keepNext w:val="0"/>
        <w:keepLines w:val="0"/>
        <w:pageBreakBefore w:val="0"/>
        <w:widowControl w:val="0"/>
        <w:numPr>
          <w:ilvl w:val="0"/>
          <w:numId w:val="1"/>
        </w:numPr>
        <w:kinsoku/>
        <w:wordWrap/>
        <w:overflowPunct/>
        <w:topLinePunct w:val="0"/>
        <w:autoSpaceDE/>
        <w:autoSpaceDN/>
        <w:bidi w:val="0"/>
        <w:adjustRightInd/>
        <w:snapToGrid/>
        <w:spacing w:after="0" w:line="560" w:lineRule="exact"/>
        <w:ind w:left="0" w:leftChars="0" w:right="0" w:rightChars="0" w:firstLine="640" w:firstLineChars="200"/>
        <w:jc w:val="left"/>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完善制度体系，坚持依法行政</w:t>
      </w:r>
    </w:p>
    <w:p>
      <w:pPr>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结合我市农业农村工作实际，梳理完善各项规章制度，构建权责清晰、程序规范、运行高效的制度体系。修订《晋州市农业农村局事项清单》，明确办理流程、办理时限等内容，实现行政事项办理工作标准化、规范化。制定《晋州市农业农村局重大行政决策工作程序》，严格落实公众参与、专家论证、风险评估、合法性审查、集体讨论决定等法定程序，确保重大决策科学民主合法。本年度规范性文件全部完成合法性审查，加强规范性文件管理，严格执行规范性文件起草、审核、备案、公布等程序，均按要求报政府备案。</w:t>
      </w:r>
    </w:p>
    <w:p>
      <w:pPr>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加强政务服务窗口建设，配备工作人员，为群众提供优质高效的服务。加强对行政许可、行政处罚等事项的事中、事后监管，建立健全“双随机、一公开”监管机制，制定年度抽查计划，对农资经营企业、畜禽养殖场等开展联合随机抽查</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次，抽查结果全部向社会公开，实现监管“无事不扰、无处不在”。</w:t>
      </w:r>
    </w:p>
    <w:p>
      <w:pPr>
        <w:keepNext w:val="0"/>
        <w:keepLines w:val="0"/>
        <w:pageBreakBefore w:val="0"/>
        <w:widowControl w:val="0"/>
        <w:numPr>
          <w:ilvl w:val="0"/>
          <w:numId w:val="1"/>
        </w:numPr>
        <w:kinsoku/>
        <w:wordWrap/>
        <w:overflowPunct/>
        <w:topLinePunct w:val="0"/>
        <w:autoSpaceDE/>
        <w:autoSpaceDN/>
        <w:bidi w:val="0"/>
        <w:adjustRightInd/>
        <w:snapToGrid/>
        <w:spacing w:after="0" w:line="560" w:lineRule="exact"/>
        <w:ind w:left="0" w:leftChars="0" w:right="0" w:rightChars="0" w:firstLine="640" w:firstLineChars="200"/>
        <w:jc w:val="left"/>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强化法治思维，提升履职能力</w:t>
      </w:r>
    </w:p>
    <w:p>
      <w:pPr>
        <w:keepNext w:val="0"/>
        <w:keepLines w:val="0"/>
        <w:pageBreakBefore w:val="0"/>
        <w:widowControl w:val="0"/>
        <w:kinsoku/>
        <w:wordWrap/>
        <w:overflowPunct/>
        <w:topLinePunct w:val="0"/>
        <w:autoSpaceDE/>
        <w:autoSpaceDN/>
        <w:bidi w:val="0"/>
        <w:adjustRightInd/>
        <w:snapToGrid/>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严格落实三项制度工作，做到开展工作有章可循，晋州市农业农村局制定了《行政执法公示具体办法》、《行政执法手册》、《执法全过程记录制度》等，与此同时，我局编制了《行政执法事项清单》、《随机抽查事项清单》、《行政执法人员清单》等规章制度，严格落实依法办事制度，完善法制建设工作。</w:t>
      </w:r>
    </w:p>
    <w:p>
      <w:pPr>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强化法治思维，坚持学用结合、学以致用，引导干部职工将法治思维和法治方式贯穿农业农村工作全过程。在制定农业政策、推进项目建设等工作中，严格遵循法定权限和程序，确保各项决策合法合规。组织开展行政执法资格培训和考试，全局执法人员全部取得行政执法证件，实现持证上岗。</w:t>
      </w:r>
    </w:p>
    <w:p>
      <w:pPr>
        <w:keepNext w:val="0"/>
        <w:keepLines w:val="0"/>
        <w:pageBreakBefore w:val="0"/>
        <w:widowControl w:val="0"/>
        <w:numPr>
          <w:ilvl w:val="0"/>
          <w:numId w:val="1"/>
        </w:numPr>
        <w:kinsoku/>
        <w:wordWrap/>
        <w:overflowPunct/>
        <w:topLinePunct w:val="0"/>
        <w:autoSpaceDE/>
        <w:autoSpaceDN/>
        <w:bidi w:val="0"/>
        <w:adjustRightInd/>
        <w:snapToGrid/>
        <w:spacing w:after="0" w:line="560" w:lineRule="exact"/>
        <w:ind w:left="0" w:leftChars="0" w:right="0" w:rightChars="0" w:firstLine="640" w:firstLineChars="200"/>
        <w:jc w:val="left"/>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下一步工作计划</w:t>
      </w:r>
    </w:p>
    <w:p>
      <w:pPr>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在开展工作的过程中，我们也清醒地认识到，法治政府建设工作还存在一些薄弱环节，下一步我局将坚持问题导向，补齐短板弱项，以更高标准、更实举措推进法治政府建设：一是完善学法制度，将</w:t>
      </w:r>
      <w:bookmarkStart w:id="0" w:name="_GoBack"/>
      <w:bookmarkEnd w:id="0"/>
      <w:r>
        <w:rPr>
          <w:rFonts w:hint="eastAsia" w:ascii="仿宋_GB2312" w:hAnsi="仿宋_GB2312" w:eastAsia="仿宋_GB2312" w:cs="仿宋_GB2312"/>
          <w:b w:val="0"/>
          <w:bCs w:val="0"/>
          <w:sz w:val="32"/>
          <w:szCs w:val="32"/>
          <w:lang w:eastAsia="zh-CN"/>
        </w:rPr>
        <w:t>涉农法律法规纳入党组理论学习中心组和干部职工学习的重点内容，丰富学习形式，提高学习效果。二是创新普法宣传方式，结合乡村振兴、农产品质量安全等重点工作，开展精准普法、靶向普法，提高群众的法治意识和依法维权能力。三是强化执法监督管理，提升综合执法效能，加强执法队伍建设，加大执法人员培训力度，完善执法监督机制，加强对执法全过程的监督管理，确保执法行为合法规范、公正透明。</w:t>
      </w:r>
    </w:p>
    <w:p>
      <w:pPr>
        <w:keepNext w:val="0"/>
        <w:keepLines w:val="0"/>
        <w:pageBreakBefore w:val="0"/>
        <w:widowControl w:val="0"/>
        <w:kinsoku/>
        <w:wordWrap/>
        <w:overflowPunct/>
        <w:topLinePunct w:val="0"/>
        <w:autoSpaceDE/>
        <w:autoSpaceDN/>
        <w:bidi w:val="0"/>
        <w:adjustRightInd/>
        <w:snapToGrid/>
        <w:spacing w:after="0" w:line="560" w:lineRule="exact"/>
        <w:jc w:val="left"/>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after="0" w:line="560" w:lineRule="exact"/>
        <w:jc w:val="left"/>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after="0" w:line="560" w:lineRule="exact"/>
        <w:jc w:val="left"/>
        <w:textAlignment w:val="auto"/>
        <w:outlineLvl w:val="9"/>
        <w:rPr>
          <w:rFonts w:hint="eastAsia" w:ascii="仿宋_GB2312" w:hAnsi="仿宋_GB2312" w:eastAsia="仿宋_GB2312" w:cs="仿宋_GB2312"/>
          <w:sz w:val="35"/>
          <w:szCs w:val="35"/>
        </w:rPr>
      </w:pPr>
    </w:p>
    <w:p>
      <w:pPr>
        <w:pStyle w:val="5"/>
        <w:keepNext w:val="0"/>
        <w:keepLines w:val="0"/>
        <w:pageBreakBefore w:val="0"/>
        <w:widowControl w:val="0"/>
        <w:kinsoku/>
        <w:wordWrap w:val="0"/>
        <w:overflowPunct/>
        <w:topLinePunct w:val="0"/>
        <w:autoSpaceDE/>
        <w:autoSpaceDN/>
        <w:bidi w:val="0"/>
        <w:adjustRightInd/>
        <w:snapToGrid/>
        <w:spacing w:after="0" w:line="560" w:lineRule="exact"/>
        <w:ind w:left="0" w:leftChars="0" w:right="880" w:rightChars="400" w:firstLine="0" w:firstLineChars="0"/>
        <w:jc w:val="right"/>
        <w:textAlignment w:val="auto"/>
        <w:outlineLvl w:val="9"/>
        <w:rPr>
          <w:rFonts w:hint="eastAsia" w:ascii="仿宋_GB2312" w:hAnsi="仿宋_GB2312" w:eastAsia="仿宋_GB2312" w:cs="仿宋_GB2312"/>
        </w:rPr>
      </w:pPr>
      <w:r>
        <w:rPr>
          <w:rFonts w:hint="eastAsia" w:cs="仿宋_GB2312"/>
          <w:lang w:eastAsia="zh-CN"/>
        </w:rPr>
        <w:t>晋州市农业农村</w:t>
      </w:r>
      <w:r>
        <w:rPr>
          <w:rFonts w:hint="eastAsia" w:ascii="仿宋_GB2312" w:hAnsi="仿宋_GB2312" w:eastAsia="仿宋_GB2312" w:cs="仿宋_GB2312"/>
        </w:rPr>
        <w:t>局</w:t>
      </w:r>
    </w:p>
    <w:p>
      <w:pPr>
        <w:pStyle w:val="5"/>
        <w:keepNext w:val="0"/>
        <w:keepLines w:val="0"/>
        <w:pageBreakBefore w:val="0"/>
        <w:widowControl w:val="0"/>
        <w:kinsoku/>
        <w:wordWrap w:val="0"/>
        <w:overflowPunct/>
        <w:topLinePunct w:val="0"/>
        <w:autoSpaceDE/>
        <w:autoSpaceDN/>
        <w:bidi w:val="0"/>
        <w:adjustRightInd/>
        <w:snapToGrid/>
        <w:spacing w:after="0" w:line="560" w:lineRule="exact"/>
        <w:ind w:left="0" w:leftChars="0" w:right="880" w:rightChars="400" w:firstLine="0" w:firstLineChars="0"/>
        <w:jc w:val="right"/>
        <w:textAlignment w:val="auto"/>
        <w:outlineLvl w:val="9"/>
        <w:rPr>
          <w:rFonts w:hint="eastAsia" w:ascii="仿宋_GB2312" w:hAnsi="仿宋_GB2312" w:eastAsia="仿宋_GB2312" w:cs="仿宋_GB2312"/>
        </w:rPr>
      </w:pPr>
      <w:r>
        <w:rPr>
          <w:rFonts w:hint="eastAsia" w:ascii="仿宋_GB2312" w:hAnsi="仿宋_GB2312" w:eastAsia="仿宋_GB2312" w:cs="仿宋_GB2312"/>
          <w:w w:val="99"/>
        </w:rPr>
        <w:t xml:space="preserve"> </w:t>
      </w:r>
      <w:r>
        <w:rPr>
          <w:rFonts w:hint="eastAsia" w:ascii="仿宋_GB2312" w:hAnsi="仿宋_GB2312" w:eastAsia="仿宋_GB2312" w:cs="仿宋_GB2312"/>
        </w:rPr>
        <w:t>2026</w:t>
      </w:r>
      <w:r>
        <w:rPr>
          <w:rFonts w:hint="eastAsia" w:ascii="仿宋_GB2312" w:hAnsi="仿宋_GB2312" w:eastAsia="仿宋_GB2312" w:cs="仿宋_GB2312"/>
          <w:spacing w:val="-80"/>
        </w:rPr>
        <w:t xml:space="preserve"> </w:t>
      </w:r>
      <w:r>
        <w:rPr>
          <w:rFonts w:hint="eastAsia" w:ascii="仿宋_GB2312" w:hAnsi="仿宋_GB2312" w:eastAsia="仿宋_GB2312" w:cs="仿宋_GB2312"/>
        </w:rPr>
        <w:t>年</w:t>
      </w:r>
      <w:r>
        <w:rPr>
          <w:rFonts w:hint="eastAsia" w:ascii="仿宋_GB2312" w:hAnsi="仿宋_GB2312" w:eastAsia="仿宋_GB2312" w:cs="仿宋_GB2312"/>
          <w:spacing w:val="-81"/>
        </w:rPr>
        <w:t xml:space="preserve"> </w:t>
      </w:r>
      <w:r>
        <w:rPr>
          <w:rFonts w:hint="eastAsia" w:cs="仿宋_GB2312"/>
          <w:lang w:val="en-US" w:eastAsia="zh-CN"/>
        </w:rPr>
        <w:t>1</w:t>
      </w:r>
      <w:r>
        <w:rPr>
          <w:rFonts w:hint="eastAsia" w:ascii="仿宋_GB2312" w:hAnsi="仿宋_GB2312" w:eastAsia="仿宋_GB2312" w:cs="仿宋_GB2312"/>
          <w:spacing w:val="-82"/>
        </w:rPr>
        <w:t xml:space="preserve"> </w:t>
      </w:r>
      <w:r>
        <w:rPr>
          <w:rFonts w:hint="eastAsia" w:ascii="仿宋_GB2312" w:hAnsi="仿宋_GB2312" w:eastAsia="仿宋_GB2312" w:cs="仿宋_GB2312"/>
        </w:rPr>
        <w:t>月</w:t>
      </w:r>
      <w:r>
        <w:rPr>
          <w:rFonts w:hint="eastAsia" w:ascii="仿宋_GB2312" w:hAnsi="仿宋_GB2312" w:eastAsia="仿宋_GB2312" w:cs="仿宋_GB2312"/>
          <w:spacing w:val="-83"/>
        </w:rPr>
        <w:t xml:space="preserve"> </w:t>
      </w:r>
      <w:r>
        <w:rPr>
          <w:rFonts w:hint="eastAsia" w:cs="仿宋_GB2312"/>
          <w:lang w:val="en-US" w:eastAsia="zh-CN"/>
        </w:rPr>
        <w:t>9</w:t>
      </w:r>
      <w:r>
        <w:rPr>
          <w:rFonts w:hint="eastAsia" w:ascii="仿宋_GB2312" w:hAnsi="仿宋_GB2312" w:eastAsia="仿宋_GB2312" w:cs="仿宋_GB2312"/>
          <w:spacing w:val="-82"/>
        </w:rPr>
        <w:t xml:space="preserve"> </w:t>
      </w:r>
      <w:r>
        <w:rPr>
          <w:rFonts w:hint="eastAsia" w:ascii="仿宋_GB2312" w:hAnsi="仿宋_GB2312" w:eastAsia="仿宋_GB2312" w:cs="仿宋_GB2312"/>
        </w:rPr>
        <w:t>日</w:t>
      </w:r>
    </w:p>
    <w:p>
      <w:pPr>
        <w:spacing w:before="0" w:line="240" w:lineRule="auto"/>
        <w:rPr>
          <w:rFonts w:hint="eastAsia" w:ascii="仿宋_GB2312" w:hAnsi="仿宋_GB2312" w:eastAsia="仿宋_GB2312" w:cs="仿宋_GB2312"/>
          <w:sz w:val="20"/>
          <w:szCs w:val="20"/>
        </w:rPr>
      </w:pPr>
    </w:p>
    <w:p>
      <w:pPr>
        <w:spacing w:before="0" w:line="240" w:lineRule="auto"/>
        <w:rPr>
          <w:rFonts w:ascii="仿宋_GB2312" w:hAnsi="仿宋_GB2312" w:eastAsia="仿宋_GB2312" w:cs="仿宋_GB2312"/>
          <w:sz w:val="20"/>
          <w:szCs w:val="20"/>
        </w:rPr>
      </w:pPr>
    </w:p>
    <w:p>
      <w:pPr>
        <w:spacing w:before="0" w:line="240" w:lineRule="auto"/>
        <w:rPr>
          <w:rFonts w:ascii="仿宋_GB2312" w:hAnsi="仿宋_GB2312" w:eastAsia="仿宋_GB2312" w:cs="仿宋_GB2312"/>
          <w:sz w:val="20"/>
          <w:szCs w:val="20"/>
        </w:rPr>
      </w:pPr>
    </w:p>
    <w:p>
      <w:pPr>
        <w:spacing w:before="0" w:line="240" w:lineRule="auto"/>
        <w:rPr>
          <w:rFonts w:ascii="仿宋_GB2312" w:hAnsi="仿宋_GB2312" w:eastAsia="仿宋_GB2312" w:cs="仿宋_GB2312"/>
          <w:sz w:val="20"/>
          <w:szCs w:val="20"/>
        </w:rPr>
      </w:pPr>
    </w:p>
    <w:p>
      <w:pPr>
        <w:spacing w:before="0" w:line="240" w:lineRule="auto"/>
        <w:rPr>
          <w:rFonts w:ascii="仿宋_GB2312" w:hAnsi="仿宋_GB2312" w:eastAsia="仿宋_GB2312" w:cs="仿宋_GB2312"/>
          <w:sz w:val="20"/>
          <w:szCs w:val="20"/>
        </w:rPr>
      </w:pPr>
    </w:p>
    <w:p>
      <w:pPr>
        <w:spacing w:before="0" w:line="240" w:lineRule="auto"/>
        <w:rPr>
          <w:rFonts w:ascii="仿宋_GB2312" w:hAnsi="仿宋_GB2312" w:eastAsia="仿宋_GB2312" w:cs="仿宋_GB2312"/>
          <w:sz w:val="20"/>
          <w:szCs w:val="20"/>
        </w:rPr>
      </w:pPr>
    </w:p>
    <w:p>
      <w:pPr>
        <w:spacing w:before="0" w:line="240" w:lineRule="auto"/>
        <w:rPr>
          <w:rFonts w:ascii="仿宋_GB2312" w:hAnsi="仿宋_GB2312" w:eastAsia="仿宋_GB2312" w:cs="仿宋_GB2312"/>
          <w:sz w:val="20"/>
          <w:szCs w:val="20"/>
        </w:rPr>
      </w:pPr>
    </w:p>
    <w:p>
      <w:pPr>
        <w:pStyle w:val="2"/>
        <w:rPr>
          <w:rFonts w:ascii="仿宋_GB2312" w:hAnsi="仿宋_GB2312" w:eastAsia="仿宋_GB2312" w:cs="仿宋_GB2312"/>
          <w:sz w:val="20"/>
          <w:szCs w:val="20"/>
        </w:rPr>
      </w:pPr>
    </w:p>
    <w:p>
      <w:pPr>
        <w:rPr>
          <w:rFonts w:ascii="仿宋_GB2312" w:hAnsi="仿宋_GB2312" w:eastAsia="仿宋_GB2312" w:cs="仿宋_GB2312"/>
          <w:sz w:val="20"/>
          <w:szCs w:val="20"/>
        </w:rPr>
      </w:pPr>
    </w:p>
    <w:p>
      <w:pPr>
        <w:pStyle w:val="2"/>
        <w:rPr>
          <w:rFonts w:ascii="仿宋_GB2312" w:hAnsi="仿宋_GB2312" w:eastAsia="仿宋_GB2312" w:cs="仿宋_GB2312"/>
          <w:sz w:val="20"/>
          <w:szCs w:val="20"/>
        </w:rPr>
      </w:pPr>
    </w:p>
    <w:p/>
    <w:p>
      <w:pPr>
        <w:spacing w:before="0" w:line="240" w:lineRule="auto"/>
        <w:rPr>
          <w:rFonts w:ascii="仿宋_GB2312" w:hAnsi="仿宋_GB2312" w:eastAsia="仿宋_GB2312" w:cs="仿宋_GB2312"/>
          <w:sz w:val="20"/>
          <w:szCs w:val="20"/>
        </w:rPr>
      </w:pPr>
    </w:p>
    <w:p>
      <w:pPr>
        <w:spacing w:before="0" w:line="240" w:lineRule="auto"/>
        <w:rPr>
          <w:rFonts w:ascii="仿宋_GB2312" w:hAnsi="仿宋_GB2312" w:eastAsia="仿宋_GB2312" w:cs="仿宋_GB2312"/>
          <w:sz w:val="20"/>
          <w:szCs w:val="20"/>
        </w:rPr>
      </w:pPr>
    </w:p>
    <w:p>
      <w:pPr>
        <w:spacing w:before="0" w:line="240" w:lineRule="auto"/>
        <w:rPr>
          <w:rFonts w:ascii="仿宋_GB2312" w:hAnsi="仿宋_GB2312" w:eastAsia="仿宋_GB2312" w:cs="仿宋_GB2312"/>
          <w:sz w:val="20"/>
          <w:szCs w:val="20"/>
        </w:rPr>
      </w:pPr>
    </w:p>
    <w:p>
      <w:pPr>
        <w:pStyle w:val="4"/>
        <w:keepNext w:val="0"/>
        <w:keepLines w:val="0"/>
        <w:pageBreakBefore w:val="0"/>
        <w:widowControl w:val="0"/>
        <w:kinsoku/>
        <w:wordWrap/>
        <w:overflowPunct/>
        <w:topLinePunct w:val="0"/>
        <w:autoSpaceDE/>
        <w:autoSpaceDN/>
        <w:bidi w:val="0"/>
        <w:adjustRightInd/>
        <w:snapToGrid/>
        <w:spacing w:after="0" w:line="560" w:lineRule="exact"/>
        <w:ind w:left="0" w:leftChars="0" w:right="0" w:rightChars="0" w:firstLine="0" w:firstLineChars="0"/>
        <w:jc w:val="left"/>
        <w:textAlignment w:val="auto"/>
        <w:outlineLvl w:val="2"/>
      </w:pPr>
    </w:p>
    <w:p/>
    <w:p>
      <w:pPr>
        <w:pStyle w:val="2"/>
        <w:ind w:left="0" w:leftChars="0" w:firstLine="0" w:firstLineChars="0"/>
      </w:pPr>
    </w:p>
    <w:p>
      <w:pPr>
        <w:spacing w:before="12" w:line="240" w:lineRule="auto"/>
        <w:rPr>
          <w:rFonts w:ascii="仿宋_GB2312" w:hAnsi="仿宋_GB2312" w:eastAsia="仿宋_GB2312" w:cs="仿宋_GB2312"/>
          <w:sz w:val="14"/>
          <w:szCs w:val="14"/>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p>
    <w:p>
      <w:pPr>
        <w:spacing w:line="20" w:lineRule="exact"/>
        <w:ind w:left="118" w:right="0" w:firstLine="0"/>
        <w:rPr>
          <w:rFonts w:ascii="仿宋_GB2312" w:hAnsi="仿宋_GB2312" w:eastAsia="仿宋_GB2312" w:cs="仿宋_GB2312"/>
          <w:sz w:val="2"/>
          <w:szCs w:val="2"/>
        </w:rPr>
      </w:pPr>
      <w:r>
        <w:rPr>
          <w:rFonts w:ascii="仿宋_GB2312" w:hAnsi="仿宋_GB2312" w:eastAsia="仿宋_GB2312" w:cs="仿宋_GB2312"/>
          <w:sz w:val="2"/>
          <w:szCs w:val="2"/>
        </w:rPr>
        <w:pict>
          <v:group id="_x0000_s1102" o:spid="_x0000_s1102" o:spt="203" style="height:0.75pt;width:414pt;" coordsize="8280,15">
            <o:lock v:ext="edit"/>
            <v:group id="_x0000_s1103" o:spid="_x0000_s1103" o:spt="203" style="position:absolute;left:8;top:8;height:2;width:8265;" coordorigin="8,8" coordsize="8265,2">
              <o:lock v:ext="edit"/>
              <v:shape id="_x0000_s1104" o:spid="_x0000_s1104" style="position:absolute;left:8;top:8;height:2;width:8265;" filled="f" stroked="t" coordorigin="8,8" coordsize="8265,0" path="m8,8l8273,8e">
                <v:path arrowok="t"/>
                <v:fill on="f" focussize="0,0"/>
                <v:stroke color="#000000"/>
                <v:imagedata o:title=""/>
                <o:lock v:ext="edit"/>
              </v:shape>
            </v:group>
            <w10:wrap type="none"/>
            <w10:anchorlock/>
          </v:group>
        </w:pict>
      </w:r>
    </w:p>
    <w:p>
      <w:pPr>
        <w:tabs>
          <w:tab w:val="left" w:pos="5320"/>
        </w:tabs>
        <w:spacing w:before="57"/>
        <w:ind w:left="0" w:right="115" w:firstLine="0"/>
        <w:jc w:val="center"/>
        <w:rPr>
          <w:rFonts w:ascii="仿宋_GB2312" w:hAnsi="仿宋_GB2312" w:eastAsia="仿宋_GB2312" w:cs="仿宋_GB2312"/>
          <w:sz w:val="28"/>
          <w:szCs w:val="28"/>
        </w:rPr>
      </w:pPr>
      <w:r>
        <w:rPr>
          <w:rFonts w:hint="eastAsia" w:ascii="仿宋_GB2312" w:hAnsi="仿宋_GB2312" w:eastAsia="仿宋_GB2312" w:cs="仿宋_GB2312"/>
          <w:sz w:val="28"/>
          <w:szCs w:val="28"/>
          <w:lang w:eastAsia="zh-CN"/>
        </w:rPr>
        <w:t>晋州市农业农村</w:t>
      </w:r>
      <w:r>
        <w:rPr>
          <w:rFonts w:ascii="仿宋_GB2312" w:hAnsi="仿宋_GB2312" w:eastAsia="仿宋_GB2312" w:cs="仿宋_GB2312"/>
          <w:sz w:val="28"/>
          <w:szCs w:val="28"/>
        </w:rPr>
        <w:t>局</w:t>
      </w:r>
      <w:r>
        <w:rPr>
          <w:rFonts w:ascii="仿宋_GB2312" w:hAnsi="仿宋_GB2312" w:eastAsia="仿宋_GB2312" w:cs="仿宋_GB2312"/>
          <w:sz w:val="28"/>
          <w:szCs w:val="28"/>
        </w:rPr>
        <w:tab/>
      </w:r>
      <w:r>
        <w:rPr>
          <w:rFonts w:ascii="仿宋_GB2312" w:hAnsi="仿宋_GB2312" w:eastAsia="仿宋_GB2312" w:cs="仿宋_GB2312"/>
          <w:sz w:val="28"/>
          <w:szCs w:val="28"/>
        </w:rPr>
        <w:t>2026</w:t>
      </w:r>
      <w:r>
        <w:rPr>
          <w:rFonts w:ascii="仿宋_GB2312" w:hAnsi="仿宋_GB2312" w:eastAsia="仿宋_GB2312" w:cs="仿宋_GB2312"/>
          <w:spacing w:val="-71"/>
          <w:sz w:val="28"/>
          <w:szCs w:val="28"/>
        </w:rPr>
        <w:t xml:space="preserve"> </w:t>
      </w:r>
      <w:r>
        <w:rPr>
          <w:rFonts w:ascii="仿宋_GB2312" w:hAnsi="仿宋_GB2312" w:eastAsia="仿宋_GB2312" w:cs="仿宋_GB2312"/>
          <w:sz w:val="28"/>
          <w:szCs w:val="28"/>
        </w:rPr>
        <w:t>年</w:t>
      </w:r>
      <w:r>
        <w:rPr>
          <w:rFonts w:hint="eastAsia" w:ascii="仿宋_GB2312" w:hAnsi="仿宋_GB2312" w:eastAsia="仿宋_GB2312" w:cs="仿宋_GB2312"/>
          <w:spacing w:val="-72"/>
          <w:sz w:val="28"/>
          <w:szCs w:val="28"/>
          <w:lang w:val="en-US" w:eastAsia="zh-CN"/>
        </w:rPr>
        <w:t>1</w:t>
      </w:r>
      <w:r>
        <w:rPr>
          <w:rFonts w:ascii="仿宋_GB2312" w:hAnsi="仿宋_GB2312" w:eastAsia="仿宋_GB2312" w:cs="仿宋_GB2312"/>
          <w:sz w:val="28"/>
          <w:szCs w:val="28"/>
        </w:rPr>
        <w:t>月</w:t>
      </w:r>
      <w:r>
        <w:rPr>
          <w:rFonts w:ascii="仿宋_GB2312" w:hAnsi="仿宋_GB2312" w:eastAsia="仿宋_GB2312" w:cs="仿宋_GB2312"/>
          <w:spacing w:val="-72"/>
          <w:sz w:val="28"/>
          <w:szCs w:val="28"/>
        </w:rPr>
        <w:t xml:space="preserve"> </w:t>
      </w:r>
      <w:r>
        <w:rPr>
          <w:rFonts w:hint="eastAsia" w:ascii="仿宋_GB2312" w:hAnsi="仿宋_GB2312" w:eastAsia="仿宋_GB2312" w:cs="仿宋_GB2312"/>
          <w:sz w:val="28"/>
          <w:szCs w:val="28"/>
          <w:lang w:val="en-US" w:eastAsia="zh-CN"/>
        </w:rPr>
        <w:t>6</w:t>
      </w:r>
      <w:r>
        <w:rPr>
          <w:rFonts w:ascii="仿宋_GB2312" w:hAnsi="仿宋_GB2312" w:eastAsia="仿宋_GB2312" w:cs="仿宋_GB2312"/>
          <w:sz w:val="28"/>
          <w:szCs w:val="28"/>
        </w:rPr>
        <w:t>日印发</w:t>
      </w:r>
    </w:p>
    <w:p>
      <w:pPr>
        <w:spacing w:before="12" w:line="240" w:lineRule="auto"/>
        <w:rPr>
          <w:rFonts w:ascii="仿宋_GB2312" w:hAnsi="仿宋_GB2312" w:eastAsia="仿宋_GB2312" w:cs="仿宋_GB2312"/>
          <w:sz w:val="11"/>
          <w:szCs w:val="11"/>
        </w:rPr>
      </w:pPr>
    </w:p>
    <w:p>
      <w:pPr>
        <w:spacing w:line="20" w:lineRule="exact"/>
        <w:ind w:left="112" w:right="0" w:firstLine="0"/>
        <w:rPr>
          <w:rFonts w:ascii="仿宋_GB2312" w:hAnsi="仿宋_GB2312" w:eastAsia="仿宋_GB2312" w:cs="仿宋_GB2312"/>
          <w:sz w:val="2"/>
          <w:szCs w:val="2"/>
        </w:rPr>
      </w:pPr>
      <w:r>
        <w:rPr>
          <w:rFonts w:ascii="仿宋_GB2312" w:hAnsi="仿宋_GB2312" w:eastAsia="仿宋_GB2312" w:cs="仿宋_GB2312"/>
          <w:sz w:val="2"/>
          <w:szCs w:val="2"/>
        </w:rPr>
        <w:pict>
          <v:group id="_x0000_s1105" o:spid="_x0000_s1105" o:spt="203" style="height:0.75pt;width:414pt;" coordsize="8280,15">
            <o:lock v:ext="edit"/>
            <v:group id="_x0000_s1106" o:spid="_x0000_s1106" o:spt="203" style="position:absolute;left:8;top:8;height:2;width:8265;" coordorigin="8,8" coordsize="8265,2">
              <o:lock v:ext="edit"/>
              <v:shape id="_x0000_s1107" o:spid="_x0000_s1107" style="position:absolute;left:8;top:8;height:2;width:8265;" filled="f" stroked="t" coordorigin="8,8" coordsize="8265,0" path="m8,8l8273,8e">
                <v:path arrowok="t"/>
                <v:fill on="f" focussize="0,0"/>
                <v:stroke color="#000000"/>
                <v:imagedata o:title=""/>
                <o:lock v:ext="edit"/>
              </v:shape>
            </v:group>
            <w10:wrap type="none"/>
            <w10:anchorlock/>
          </v:group>
        </w:pict>
      </w:r>
    </w:p>
    <w:p>
      <w:pPr>
        <w:spacing w:line="20" w:lineRule="exact"/>
        <w:ind w:right="0"/>
        <w:rPr>
          <w:rFonts w:ascii="仿宋_GB2312" w:hAnsi="仿宋_GB2312" w:eastAsia="仿宋_GB2312" w:cs="仿宋_GB2312"/>
          <w:sz w:val="2"/>
          <w:szCs w:val="2"/>
        </w:rPr>
      </w:pPr>
    </w:p>
    <w:sectPr>
      <w:footerReference r:id="rId3" w:type="default"/>
      <w:pgSz w:w="11910" w:h="16840"/>
      <w:pgMar w:top="2041" w:right="1531" w:bottom="2041" w:left="1531" w:header="0" w:footer="1074"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叶根友毛笔行书2.0版">
    <w:panose1 w:val="02010601030101010101"/>
    <w:charset w:val="86"/>
    <w:family w:val="auto"/>
    <w:pitch w:val="default"/>
    <w:sig w:usb0="00000001" w:usb1="080E0000" w:usb2="00000000" w:usb3="00000000" w:csb0="00040000" w:csb1="00000000"/>
  </w:font>
  <w:font w:name="Calibri">
    <w:panose1 w:val="020F0502020204030204"/>
    <w:charset w:val="86"/>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mp-quot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0" w:after="0" w:line="14" w:lineRule="auto"/>
      <w:rPr>
        <w:sz w:val="20"/>
        <w:szCs w:val="20"/>
      </w:rPr>
    </w:pPr>
    <w:r>
      <w:pict>
        <v:shape id="_x0000_s2050" o:spid="_x0000_s2050" o:spt="202" type="#_x0000_t202" style="position:absolute;left:0pt;margin-left:278.6pt;margin-top:777.15pt;height:11pt;width:38pt;mso-position-horizontal-relative:page;mso-position-vertical-relative:page;z-index:-14336;mso-width-relative:page;mso-height-relative:page;" filled="f" stroked="f" coordsize="21600,21600">
          <v:path/>
          <v:fill on="f" focussize="0,0"/>
          <v:stroke on="f" joinstyle="miter"/>
          <v:imagedata o:title=""/>
          <o:lock v:ext="edit"/>
          <v:textbox inset="0mm,0mm,0mm,0mm">
            <w:txbxContent>
              <w:p>
                <w:pPr>
                  <w:spacing w:before="0" w:line="200" w:lineRule="exact"/>
                  <w:ind w:left="20" w:right="0" w:firstLine="0"/>
                  <w:jc w:val="left"/>
                  <w:rPr>
                    <w:rFonts w:ascii="宋体" w:hAnsi="宋体" w:eastAsia="宋体" w:cs="宋体"/>
                    <w:sz w:val="18"/>
                    <w:szCs w:val="18"/>
                  </w:rPr>
                </w:pPr>
                <w:r>
                  <w:rPr>
                    <w:rFonts w:ascii="宋体" w:hAnsi="宋体" w:eastAsia="宋体" w:cs="宋体"/>
                    <w:sz w:val="18"/>
                    <w:szCs w:val="18"/>
                  </w:rPr>
                  <w:t>—</w:t>
                </w:r>
                <w:r>
                  <w:rPr>
                    <w:rFonts w:ascii="宋体" w:hAnsi="宋体" w:eastAsia="宋体" w:cs="宋体"/>
                    <w:spacing w:val="1"/>
                    <w:sz w:val="18"/>
                    <w:szCs w:val="18"/>
                  </w:rPr>
                  <w:t xml:space="preserve"> </w:t>
                </w:r>
                <w:r>
                  <w:fldChar w:fldCharType="begin"/>
                </w:r>
                <w:r>
                  <w:rPr>
                    <w:rFonts w:ascii="宋体" w:hAnsi="宋体" w:eastAsia="宋体" w:cs="宋体"/>
                    <w:sz w:val="18"/>
                    <w:szCs w:val="18"/>
                  </w:rPr>
                  <w:instrText xml:space="preserve"> PAGE </w:instrText>
                </w:r>
                <w:r>
                  <w:fldChar w:fldCharType="separate"/>
                </w:r>
                <w:r>
                  <w:t>10</w:t>
                </w:r>
                <w:r>
                  <w:fldChar w:fldCharType="end"/>
                </w:r>
                <w:r>
                  <w:rPr>
                    <w:rFonts w:ascii="宋体" w:hAnsi="宋体" w:eastAsia="宋体" w:cs="宋体"/>
                    <w:sz w:val="18"/>
                    <w:szCs w:val="18"/>
                  </w:rPr>
                  <w:t xml:space="preserve"> —</w:t>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64965A"/>
    <w:multiLevelType w:val="singleLevel"/>
    <w:tmpl w:val="6964965A"/>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hdrShapeDefaults>
    <o:shapelayout v:ext="edit">
      <o:idmap v:ext="edit" data="2"/>
    </o:shapelayout>
  </w:hdrShapeDefaults>
  <w:compat>
    <w:doNotExpandShiftReturn/>
    <w:doNotWrapTextWithPunct/>
    <w:doNotUseEastAsianBreakRules/>
    <w:useFELayout/>
    <w:doNotUseIndentAsNumberingTabStop/>
    <w:useAltKinsokuLineBreakRules/>
    <w:compatSetting w:name="compatibilityMode" w:uri="http://schemas.microsoft.com/office/word" w:val="12"/>
  </w:compat>
  <w:rsids>
    <w:rsidRoot w:val="00000000"/>
    <w:rsid w:val="004829D9"/>
    <w:rsid w:val="01981A67"/>
    <w:rsid w:val="02642C99"/>
    <w:rsid w:val="029E4F29"/>
    <w:rsid w:val="03CA7CE3"/>
    <w:rsid w:val="04C3172E"/>
    <w:rsid w:val="05CF4DC5"/>
    <w:rsid w:val="06517D83"/>
    <w:rsid w:val="06A85E56"/>
    <w:rsid w:val="06FC45F6"/>
    <w:rsid w:val="07516817"/>
    <w:rsid w:val="07A77A0E"/>
    <w:rsid w:val="07E67A42"/>
    <w:rsid w:val="08050641"/>
    <w:rsid w:val="088B13FF"/>
    <w:rsid w:val="08910455"/>
    <w:rsid w:val="08B923B1"/>
    <w:rsid w:val="09A91C45"/>
    <w:rsid w:val="09BE43DB"/>
    <w:rsid w:val="0AD70E36"/>
    <w:rsid w:val="0AD876C2"/>
    <w:rsid w:val="0B6F7094"/>
    <w:rsid w:val="0B927CE8"/>
    <w:rsid w:val="0BB70B4F"/>
    <w:rsid w:val="0BCD1DC4"/>
    <w:rsid w:val="0C793CD7"/>
    <w:rsid w:val="0CEA48B6"/>
    <w:rsid w:val="0D177B41"/>
    <w:rsid w:val="0DD90F73"/>
    <w:rsid w:val="0E4A0D77"/>
    <w:rsid w:val="0FC33513"/>
    <w:rsid w:val="10143CCD"/>
    <w:rsid w:val="10573372"/>
    <w:rsid w:val="10860F9F"/>
    <w:rsid w:val="109B1A67"/>
    <w:rsid w:val="10A01B29"/>
    <w:rsid w:val="10BF45E8"/>
    <w:rsid w:val="10C06645"/>
    <w:rsid w:val="11180C47"/>
    <w:rsid w:val="111C0E4E"/>
    <w:rsid w:val="117F68E1"/>
    <w:rsid w:val="125A3E0D"/>
    <w:rsid w:val="129A6E6B"/>
    <w:rsid w:val="1325673A"/>
    <w:rsid w:val="14EC3AE1"/>
    <w:rsid w:val="15E37F2B"/>
    <w:rsid w:val="16013813"/>
    <w:rsid w:val="1610146A"/>
    <w:rsid w:val="166073AD"/>
    <w:rsid w:val="1796221E"/>
    <w:rsid w:val="17AC1119"/>
    <w:rsid w:val="17DE1893"/>
    <w:rsid w:val="186B6DD2"/>
    <w:rsid w:val="188A22A9"/>
    <w:rsid w:val="192508CB"/>
    <w:rsid w:val="19353D80"/>
    <w:rsid w:val="1A12389F"/>
    <w:rsid w:val="1A7B5D28"/>
    <w:rsid w:val="1AC63139"/>
    <w:rsid w:val="1ADD4CBD"/>
    <w:rsid w:val="1BC94380"/>
    <w:rsid w:val="1DC602DB"/>
    <w:rsid w:val="1E1F7FB6"/>
    <w:rsid w:val="1E712904"/>
    <w:rsid w:val="1F08488F"/>
    <w:rsid w:val="1FA456E3"/>
    <w:rsid w:val="1FAA1AFD"/>
    <w:rsid w:val="2057143D"/>
    <w:rsid w:val="210666BA"/>
    <w:rsid w:val="211568F0"/>
    <w:rsid w:val="21526B68"/>
    <w:rsid w:val="2191306D"/>
    <w:rsid w:val="22A13EF4"/>
    <w:rsid w:val="22DC4913"/>
    <w:rsid w:val="23097290"/>
    <w:rsid w:val="237F364B"/>
    <w:rsid w:val="23ED153F"/>
    <w:rsid w:val="252F169E"/>
    <w:rsid w:val="26E5787E"/>
    <w:rsid w:val="26E60CEB"/>
    <w:rsid w:val="27264E0C"/>
    <w:rsid w:val="28D777FC"/>
    <w:rsid w:val="28FD26C8"/>
    <w:rsid w:val="29B94E4B"/>
    <w:rsid w:val="29CF324A"/>
    <w:rsid w:val="2AA968FE"/>
    <w:rsid w:val="2ACE73A7"/>
    <w:rsid w:val="2B0D289B"/>
    <w:rsid w:val="2C805067"/>
    <w:rsid w:val="2C821481"/>
    <w:rsid w:val="2CDA6A13"/>
    <w:rsid w:val="2CF80E56"/>
    <w:rsid w:val="2DC51CE0"/>
    <w:rsid w:val="2DCD6D29"/>
    <w:rsid w:val="2E7F6938"/>
    <w:rsid w:val="2EEF08B2"/>
    <w:rsid w:val="2F940F31"/>
    <w:rsid w:val="2FD75B64"/>
    <w:rsid w:val="30970677"/>
    <w:rsid w:val="309D5741"/>
    <w:rsid w:val="31C67B58"/>
    <w:rsid w:val="32B77D26"/>
    <w:rsid w:val="32D776EA"/>
    <w:rsid w:val="32F61E7E"/>
    <w:rsid w:val="33334EA7"/>
    <w:rsid w:val="333D6EEA"/>
    <w:rsid w:val="339E7553"/>
    <w:rsid w:val="33C3007F"/>
    <w:rsid w:val="33D67B2A"/>
    <w:rsid w:val="33F0783A"/>
    <w:rsid w:val="33FD6B8D"/>
    <w:rsid w:val="34157C78"/>
    <w:rsid w:val="34C47A70"/>
    <w:rsid w:val="36080021"/>
    <w:rsid w:val="367704BE"/>
    <w:rsid w:val="37A63283"/>
    <w:rsid w:val="37D800B4"/>
    <w:rsid w:val="388D1240"/>
    <w:rsid w:val="38B83A04"/>
    <w:rsid w:val="39425339"/>
    <w:rsid w:val="398F3DD3"/>
    <w:rsid w:val="39C35DB1"/>
    <w:rsid w:val="3B3E4497"/>
    <w:rsid w:val="3BE84CF5"/>
    <w:rsid w:val="3BEC017E"/>
    <w:rsid w:val="3C4739D1"/>
    <w:rsid w:val="3E24458E"/>
    <w:rsid w:val="3EDA5562"/>
    <w:rsid w:val="3F580CB8"/>
    <w:rsid w:val="3F774C13"/>
    <w:rsid w:val="3FE3303B"/>
    <w:rsid w:val="41394DA4"/>
    <w:rsid w:val="42E767B9"/>
    <w:rsid w:val="44D17AED"/>
    <w:rsid w:val="450B51EA"/>
    <w:rsid w:val="451F5D42"/>
    <w:rsid w:val="452226A3"/>
    <w:rsid w:val="46106671"/>
    <w:rsid w:val="461B7787"/>
    <w:rsid w:val="46471D47"/>
    <w:rsid w:val="46C23E85"/>
    <w:rsid w:val="471531FF"/>
    <w:rsid w:val="47844AF9"/>
    <w:rsid w:val="48C81FB2"/>
    <w:rsid w:val="48CE6246"/>
    <w:rsid w:val="4A5A670F"/>
    <w:rsid w:val="4A9C179A"/>
    <w:rsid w:val="4B1F4506"/>
    <w:rsid w:val="4BA579DE"/>
    <w:rsid w:val="4BAD7BD7"/>
    <w:rsid w:val="4C12046F"/>
    <w:rsid w:val="4C291D08"/>
    <w:rsid w:val="4C3D4B1B"/>
    <w:rsid w:val="4CF10818"/>
    <w:rsid w:val="4D6C0431"/>
    <w:rsid w:val="4D75493F"/>
    <w:rsid w:val="4DC35CA4"/>
    <w:rsid w:val="4DEB3590"/>
    <w:rsid w:val="4E7B4B75"/>
    <w:rsid w:val="4F4C3031"/>
    <w:rsid w:val="509E7BE2"/>
    <w:rsid w:val="513D12AE"/>
    <w:rsid w:val="51E838EA"/>
    <w:rsid w:val="52E74273"/>
    <w:rsid w:val="53E06137"/>
    <w:rsid w:val="53E90F92"/>
    <w:rsid w:val="54A17CB8"/>
    <w:rsid w:val="55C14D48"/>
    <w:rsid w:val="56B7181C"/>
    <w:rsid w:val="56D7767A"/>
    <w:rsid w:val="57436C22"/>
    <w:rsid w:val="577457F0"/>
    <w:rsid w:val="58300773"/>
    <w:rsid w:val="58390899"/>
    <w:rsid w:val="59BE0979"/>
    <w:rsid w:val="5A5B0CD5"/>
    <w:rsid w:val="5AEA50D3"/>
    <w:rsid w:val="5B293C87"/>
    <w:rsid w:val="5C6760C8"/>
    <w:rsid w:val="5C9D5288"/>
    <w:rsid w:val="5CC172E2"/>
    <w:rsid w:val="5CE0794D"/>
    <w:rsid w:val="5D276FC2"/>
    <w:rsid w:val="5D4D7944"/>
    <w:rsid w:val="5E2942F6"/>
    <w:rsid w:val="5E7246D0"/>
    <w:rsid w:val="5F11669C"/>
    <w:rsid w:val="60315478"/>
    <w:rsid w:val="603655B6"/>
    <w:rsid w:val="60625B66"/>
    <w:rsid w:val="60B3697C"/>
    <w:rsid w:val="611D3938"/>
    <w:rsid w:val="61270245"/>
    <w:rsid w:val="61345C43"/>
    <w:rsid w:val="615121D8"/>
    <w:rsid w:val="61935854"/>
    <w:rsid w:val="62083E94"/>
    <w:rsid w:val="623B00F8"/>
    <w:rsid w:val="62BA4DFC"/>
    <w:rsid w:val="62BB0A82"/>
    <w:rsid w:val="62D87FDD"/>
    <w:rsid w:val="62EE0A9B"/>
    <w:rsid w:val="62FA1903"/>
    <w:rsid w:val="63252053"/>
    <w:rsid w:val="633E256B"/>
    <w:rsid w:val="63E921A7"/>
    <w:rsid w:val="648F119C"/>
    <w:rsid w:val="64BE74D2"/>
    <w:rsid w:val="65533230"/>
    <w:rsid w:val="679E0CFE"/>
    <w:rsid w:val="687E5203"/>
    <w:rsid w:val="68F66F12"/>
    <w:rsid w:val="69B86B63"/>
    <w:rsid w:val="6A063D40"/>
    <w:rsid w:val="6A1B5977"/>
    <w:rsid w:val="6A611E39"/>
    <w:rsid w:val="6BAF6698"/>
    <w:rsid w:val="6BE358BA"/>
    <w:rsid w:val="6C4D59C0"/>
    <w:rsid w:val="6C5C102A"/>
    <w:rsid w:val="6D890762"/>
    <w:rsid w:val="6E444639"/>
    <w:rsid w:val="6E854FF4"/>
    <w:rsid w:val="6ED47E4B"/>
    <w:rsid w:val="70ED6BBA"/>
    <w:rsid w:val="71172331"/>
    <w:rsid w:val="71385F29"/>
    <w:rsid w:val="716C52AE"/>
    <w:rsid w:val="71771849"/>
    <w:rsid w:val="72203EE0"/>
    <w:rsid w:val="723A00EC"/>
    <w:rsid w:val="73090657"/>
    <w:rsid w:val="73412A27"/>
    <w:rsid w:val="73CD7B31"/>
    <w:rsid w:val="748C5B17"/>
    <w:rsid w:val="74C1190E"/>
    <w:rsid w:val="74D60034"/>
    <w:rsid w:val="750C7D86"/>
    <w:rsid w:val="75747C65"/>
    <w:rsid w:val="760A4A18"/>
    <w:rsid w:val="762E4B95"/>
    <w:rsid w:val="76910CA9"/>
    <w:rsid w:val="770B3FA6"/>
    <w:rsid w:val="776A7BBB"/>
    <w:rsid w:val="77ED53A7"/>
    <w:rsid w:val="77FC5D5A"/>
    <w:rsid w:val="78C90FF2"/>
    <w:rsid w:val="78F4776D"/>
    <w:rsid w:val="7913224A"/>
    <w:rsid w:val="79A67EF4"/>
    <w:rsid w:val="79CE7D16"/>
    <w:rsid w:val="7A577EC2"/>
    <w:rsid w:val="7AC632A7"/>
    <w:rsid w:val="7AED3C6D"/>
    <w:rsid w:val="7BDD6FF2"/>
    <w:rsid w:val="7C020D41"/>
    <w:rsid w:val="7C221186"/>
    <w:rsid w:val="7C8C32C3"/>
    <w:rsid w:val="7C920580"/>
    <w:rsid w:val="7C9C14E4"/>
    <w:rsid w:val="7D6978D3"/>
    <w:rsid w:val="7DFF7FFC"/>
    <w:rsid w:val="7E3D33A3"/>
    <w:rsid w:val="7E9C039C"/>
    <w:rsid w:val="7FE87EB1"/>
    <w:rsid w:val="7FE90508"/>
  </w:rsid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spacing w:after="0" w:line="240" w:lineRule="auto"/>
    </w:pPr>
    <w:rPr>
      <w:rFonts w:asciiTheme="minorHAnsi" w:hAnsiTheme="minorHAnsi" w:eastAsiaTheme="minorHAnsi" w:cstheme="minorBidi"/>
      <w:sz w:val="22"/>
      <w:szCs w:val="22"/>
      <w:lang w:val="en-US" w:eastAsia="en-US" w:bidi="ar-SA"/>
    </w:rPr>
  </w:style>
  <w:style w:type="paragraph" w:styleId="3">
    <w:name w:val="heading 1"/>
    <w:basedOn w:val="1"/>
    <w:next w:val="1"/>
    <w:qFormat/>
    <w:uiPriority w:val="1"/>
    <w:pPr>
      <w:ind w:left="256"/>
      <w:outlineLvl w:val="1"/>
    </w:pPr>
    <w:rPr>
      <w:rFonts w:ascii="方正小标宋简体" w:hAnsi="方正小标宋简体" w:eastAsia="方正小标宋简体"/>
      <w:sz w:val="96"/>
      <w:szCs w:val="96"/>
    </w:rPr>
  </w:style>
  <w:style w:type="paragraph" w:styleId="2">
    <w:name w:val="heading 2"/>
    <w:basedOn w:val="1"/>
    <w:next w:val="1"/>
    <w:qFormat/>
    <w:uiPriority w:val="1"/>
    <w:pPr>
      <w:ind w:left="656"/>
      <w:outlineLvl w:val="2"/>
    </w:pPr>
    <w:rPr>
      <w:rFonts w:ascii="方正小标宋简体" w:hAnsi="方正小标宋简体" w:eastAsia="方正小标宋简体"/>
      <w:sz w:val="91"/>
      <w:szCs w:val="91"/>
    </w:rPr>
  </w:style>
  <w:style w:type="paragraph" w:styleId="4">
    <w:name w:val="heading 3"/>
    <w:basedOn w:val="1"/>
    <w:next w:val="1"/>
    <w:qFormat/>
    <w:uiPriority w:val="1"/>
    <w:pPr>
      <w:ind w:left="1142"/>
      <w:outlineLvl w:val="3"/>
    </w:pPr>
    <w:rPr>
      <w:rFonts w:ascii="方正小标宋简体" w:hAnsi="方正小标宋简体" w:eastAsia="方正小标宋简体"/>
      <w:sz w:val="44"/>
      <w:szCs w:val="44"/>
    </w:rPr>
  </w:style>
  <w:style w:type="character" w:default="1" w:styleId="6">
    <w:name w:val="Default Paragraph Font"/>
    <w:unhideWhenUsed/>
    <w:qFormat/>
    <w:uiPriority w:val="1"/>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5">
    <w:name w:val="Body Text"/>
    <w:basedOn w:val="1"/>
    <w:qFormat/>
    <w:uiPriority w:val="1"/>
    <w:pPr>
      <w:ind w:left="120"/>
    </w:pPr>
    <w:rPr>
      <w:rFonts w:ascii="仿宋_GB2312" w:hAnsi="仿宋_GB2312" w:eastAsia="仿宋_GB2312"/>
      <w:sz w:val="32"/>
      <w:szCs w:val="32"/>
    </w:rPr>
  </w:style>
  <w:style w:type="table" w:customStyle="1" w:styleId="8">
    <w:name w:val="Table Normal"/>
    <w:unhideWhenUsed/>
    <w:qFormat/>
    <w:uiPriority w:val="2"/>
    <w:tblPr>
      <w:tblLayout w:type="fixed"/>
      <w:tblCellMar>
        <w:top w:w="0" w:type="dxa"/>
        <w:left w:w="0" w:type="dxa"/>
        <w:bottom w:w="0" w:type="dxa"/>
        <w:right w:w="0" w:type="dxa"/>
      </w:tblCellMar>
    </w:tblPr>
  </w:style>
  <w:style w:type="paragraph" w:customStyle="1" w:styleId="9">
    <w:name w:val="List Paragraph"/>
    <w:basedOn w:val="1"/>
    <w:qFormat/>
    <w:uiPriority w:val="1"/>
  </w:style>
  <w:style w:type="paragraph" w:customStyle="1" w:styleId="1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0"/>
    <customShpInfo spid="_x0000_s1101"/>
    <customShpInfo spid="_x0000_s1100"/>
    <customShpInfo spid="_x0000_s1099"/>
    <customShpInfo spid="_x0000_s1104"/>
    <customShpInfo spid="_x0000_s1103"/>
    <customShpInfo spid="_x0000_s1102"/>
    <customShpInfo spid="_x0000_s1107"/>
    <customShpInfo spid="_x0000_s1106"/>
    <customShpInfo spid="_x0000_s110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0</Pages>
  <Words>0</Words>
  <Characters>0</Characters>
  <Lines>0</Lines>
  <Paragraphs>0</Paragraphs>
  <ScaleCrop>false</ScaleCrop>
  <LinksUpToDate>false</LinksUpToDate>
  <CharactersWithSpaces>0</CharactersWithSpaces>
  <Application>WPS Office_10.8.0.5838_F1E327BC-269C-435d-A152-05C5408002CA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2026-01-06T15:03:00Z</dcterms:created>
  <dc:creator>Administrator</dc:creator>
  <cp:lastModifiedBy>Administrator</cp:lastModifiedBy>
  <cp:lastPrinted>2026-01-13T07:07:00Z</cp:lastPrinted>
  <dcterms:modified xsi:type="dcterms:W3CDTF">2026-01-14T02:00:32Z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2026-01-06T00:00:00Z</vt:filetime>
  </property>
  <property fmtid="{D5CDD505-2E9C-101B-9397-08002B2CF9AE}" pid="3" name="Creator">
    <vt:lpwstr>www.dianju.cn</vt:lpwstr>
  </property>
  <property fmtid="{D5CDD505-2E9C-101B-9397-08002B2CF9AE}" pid="4" name="LastSaved">
    <vt:filetime>2026-01-06T00:00:00Z</vt:filetime>
  </property>
  <property fmtid="{D5CDD505-2E9C-101B-9397-08002B2CF9AE}" pid="5" name="KSOProductBuildVer">
    <vt:lpwstr>2052-10.8.0.5838</vt:lpwstr>
  </property>
</Properties>
</file>