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B73F99">
      <w:pPr>
        <w:keepNext w:val="0"/>
        <w:keepLines w:val="0"/>
        <w:pageBreakBefore w:val="0"/>
        <w:widowControl w:val="0"/>
        <w:kinsoku/>
        <w:wordWrap/>
        <w:overflowPunct/>
        <w:topLinePunct w:val="0"/>
        <w:autoSpaceDE/>
        <w:autoSpaceDN/>
        <w:bidi w:val="0"/>
        <w:adjustRightInd/>
        <w:snapToGrid/>
        <w:spacing w:line="700" w:lineRule="exact"/>
        <w:ind w:left="0" w:leftChars="0" w:right="0" w:rightChars="0" w:firstLine="0" w:firstLineChars="0"/>
        <w:jc w:val="center"/>
        <w:textAlignment w:val="auto"/>
        <w:outlineLvl w:val="9"/>
        <w:rPr>
          <w:rFonts w:hint="eastAsia" w:ascii="新宋体" w:hAnsi="新宋体" w:eastAsia="新宋体"/>
          <w:b/>
          <w:bCs w:val="0"/>
          <w:color w:val="FF0000"/>
          <w:spacing w:val="20"/>
          <w:w w:val="70"/>
          <w:sz w:val="140"/>
          <w:szCs w:val="140"/>
        </w:rPr>
      </w:pPr>
    </w:p>
    <w:p w14:paraId="2F36FF9A">
      <w:pPr>
        <w:pStyle w:val="4"/>
        <w:rPr>
          <w:rFonts w:hint="eastAsia"/>
        </w:rPr>
      </w:pPr>
    </w:p>
    <w:p w14:paraId="0C8ED32D">
      <w:pPr>
        <w:spacing w:line="1600" w:lineRule="exact"/>
        <w:jc w:val="center"/>
        <w:rPr>
          <w:rFonts w:hint="eastAsia" w:ascii="新宋体" w:hAnsi="新宋体" w:eastAsia="新宋体"/>
          <w:b/>
          <w:bCs w:val="0"/>
          <w:color w:val="FF0000"/>
          <w:spacing w:val="20"/>
          <w:w w:val="70"/>
          <w:sz w:val="140"/>
          <w:szCs w:val="140"/>
        </w:rPr>
      </w:pPr>
      <w:r>
        <w:rPr>
          <w:rFonts w:hint="eastAsia" w:ascii="新宋体" w:hAnsi="新宋体" w:eastAsia="新宋体"/>
          <w:b/>
          <w:bCs w:val="0"/>
          <w:color w:val="FF0000"/>
          <w:spacing w:val="20"/>
          <w:w w:val="70"/>
          <w:sz w:val="140"/>
          <w:szCs w:val="140"/>
        </w:rPr>
        <w:t>晋州市商务局文件</w:t>
      </w:r>
    </w:p>
    <w:p w14:paraId="30989DEB">
      <w:pPr>
        <w:spacing w:line="400" w:lineRule="exact"/>
        <w:jc w:val="left"/>
        <w:rPr>
          <w:rFonts w:hint="eastAsia" w:ascii="仿宋" w:hAnsi="仿宋" w:eastAsia="仿宋"/>
          <w:szCs w:val="32"/>
          <w:lang w:eastAsia="zh-CN"/>
        </w:rPr>
      </w:pPr>
    </w:p>
    <w:p w14:paraId="263E1A92">
      <w:pPr>
        <w:spacing w:line="400" w:lineRule="exact"/>
        <w:jc w:val="left"/>
        <w:rPr>
          <w:rFonts w:hint="eastAsia" w:ascii="仿宋" w:hAnsi="仿宋" w:eastAsia="仿宋"/>
          <w:szCs w:val="32"/>
          <w:lang w:eastAsia="zh-CN"/>
        </w:rPr>
      </w:pPr>
    </w:p>
    <w:p w14:paraId="51509DB9">
      <w:pPr>
        <w:spacing w:line="400" w:lineRule="exact"/>
        <w:jc w:val="left"/>
        <w:rPr>
          <w:rFonts w:hint="eastAsia" w:ascii="仿宋" w:hAnsi="仿宋" w:eastAsia="仿宋"/>
          <w:szCs w:val="32"/>
          <w:lang w:eastAsia="zh-CN"/>
        </w:rPr>
      </w:pPr>
      <w:r>
        <w:rPr>
          <w:rFonts w:hint="eastAsia" w:ascii="仿宋" w:hAnsi="仿宋" w:eastAsia="仿宋"/>
          <w:szCs w:val="32"/>
        </w:rPr>
        <w:t>晋商</w:t>
      </w:r>
      <w:r>
        <w:rPr>
          <w:rFonts w:hint="eastAsia" w:ascii="仿宋" w:hAnsi="仿宋" w:eastAsia="仿宋"/>
          <w:szCs w:val="32"/>
          <w:lang w:eastAsia="zh-CN"/>
        </w:rPr>
        <w:t>字</w:t>
      </w:r>
      <w:r>
        <w:rPr>
          <w:rFonts w:hint="eastAsia" w:ascii="仿宋" w:hAnsi="仿宋" w:eastAsia="仿宋" w:cs="仿宋"/>
          <w:b w:val="0"/>
          <w:bCs w:val="0"/>
          <w:sz w:val="32"/>
          <w:szCs w:val="32"/>
          <w:lang w:val="en-US" w:eastAsia="zh-CN"/>
        </w:rPr>
        <w:t>﹝</w:t>
      </w:r>
      <w:r>
        <w:rPr>
          <w:rFonts w:hint="eastAsia" w:ascii="仿宋" w:hAnsi="仿宋" w:eastAsia="仿宋"/>
          <w:szCs w:val="32"/>
        </w:rPr>
        <w:t>20</w:t>
      </w:r>
      <w:r>
        <w:rPr>
          <w:rFonts w:hint="eastAsia" w:ascii="仿宋" w:hAnsi="仿宋" w:eastAsia="仿宋"/>
          <w:szCs w:val="32"/>
          <w:lang w:val="en-US" w:eastAsia="zh-CN"/>
        </w:rPr>
        <w:t>26</w:t>
      </w:r>
      <w:r>
        <w:rPr>
          <w:rFonts w:hint="eastAsia" w:ascii="仿宋" w:hAnsi="仿宋" w:eastAsia="仿宋" w:cs="仿宋"/>
          <w:b w:val="0"/>
          <w:bCs w:val="0"/>
          <w:sz w:val="32"/>
          <w:szCs w:val="32"/>
          <w:lang w:val="en-US" w:eastAsia="zh-CN"/>
        </w:rPr>
        <w:t>﹞1</w:t>
      </w:r>
      <w:r>
        <w:rPr>
          <w:rFonts w:hint="eastAsia" w:ascii="仿宋" w:hAnsi="仿宋" w:eastAsia="仿宋"/>
          <w:szCs w:val="32"/>
        </w:rPr>
        <w:t>号</w:t>
      </w:r>
      <w:r>
        <w:rPr>
          <w:rFonts w:hint="eastAsia" w:ascii="仿宋" w:hAnsi="仿宋" w:eastAsia="仿宋"/>
          <w:szCs w:val="32"/>
          <w:lang w:val="en-US" w:eastAsia="zh-CN"/>
        </w:rPr>
        <w:t xml:space="preserve">                         </w:t>
      </w:r>
      <w:r>
        <w:rPr>
          <w:rFonts w:hint="eastAsia" w:ascii="仿宋" w:hAnsi="仿宋" w:eastAsia="仿宋"/>
          <w:szCs w:val="32"/>
          <w:lang w:eastAsia="zh-CN"/>
        </w:rPr>
        <w:t>签发人：崔显</w:t>
      </w:r>
    </w:p>
    <w:p w14:paraId="0297CECB">
      <w:pPr>
        <w:jc w:val="center"/>
        <w:rPr>
          <w:rFonts w:hint="eastAsia" w:ascii="方正小标宋简体" w:hAnsi="方正小标宋简体" w:eastAsia="方正小标宋简体" w:cs="方正小标宋简体"/>
          <w:b w:val="0"/>
          <w:bCs w:val="0"/>
          <w:sz w:val="44"/>
          <w:szCs w:val="44"/>
        </w:rPr>
      </w:pPr>
      <w:r>
        <w:rPr>
          <w:rFonts w:ascii="楷体_GB2312" w:eastAsia="楷体_GB2312"/>
          <w:color w:val="FF0000"/>
          <w:spacing w:val="-20"/>
          <w:szCs w:val="32"/>
        </w:rPr>
        <w:t>━━━━━━━━━━━━━━━━━━━━━━━━━━━━━</w:t>
      </w:r>
    </w:p>
    <w:p w14:paraId="0781F837">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简体" w:hAnsi="方正小标宋简体" w:eastAsia="方正小标宋简体" w:cs="方正小标宋简体"/>
          <w:b w:val="0"/>
          <w:bCs w:val="0"/>
          <w:sz w:val="44"/>
          <w:szCs w:val="44"/>
          <w:lang w:val="en-US" w:eastAsia="zh-CN"/>
        </w:rPr>
      </w:pPr>
    </w:p>
    <w:p w14:paraId="0866E7B2">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简体" w:hAnsi="方正小标宋简体" w:eastAsia="方正小标宋简体" w:cs="方正小标宋简体"/>
          <w:b w:val="0"/>
          <w:bCs w:val="0"/>
          <w:sz w:val="44"/>
          <w:szCs w:val="44"/>
          <w:lang w:val="en-US" w:eastAsia="zh-CN"/>
        </w:rPr>
      </w:pPr>
    </w:p>
    <w:p w14:paraId="1FA65552">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晋州市商务局</w:t>
      </w:r>
    </w:p>
    <w:p w14:paraId="739A9E63">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0" w:afterAutospacing="0" w:line="520" w:lineRule="exact"/>
        <w:ind w:left="0" w:right="0" w:firstLine="892" w:firstLineChars="200"/>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lang w:val="en-US" w:eastAsia="zh-CN"/>
        </w:rPr>
        <w:t>2025年度法治政府建设情况</w:t>
      </w:r>
      <w:r>
        <w:rPr>
          <w:rFonts w:hint="eastAsia" w:ascii="方正小标宋简体" w:hAnsi="方正小标宋简体" w:eastAsia="方正小标宋简体" w:cs="方正小标宋简体"/>
          <w:b w:val="0"/>
          <w:bCs w:val="0"/>
          <w:sz w:val="44"/>
          <w:szCs w:val="44"/>
        </w:rPr>
        <w:t>报告</w:t>
      </w:r>
    </w:p>
    <w:p w14:paraId="05B70E7D">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0" w:afterAutospacing="0" w:line="520" w:lineRule="exact"/>
        <w:ind w:left="0" w:right="0" w:firstLine="892" w:firstLineChars="200"/>
        <w:textAlignment w:val="auto"/>
        <w:rPr>
          <w:rFonts w:hint="eastAsia" w:ascii="方正小标宋简体" w:hAnsi="方正小标宋简体" w:eastAsia="方正小标宋简体" w:cs="方正小标宋简体"/>
          <w:b w:val="0"/>
          <w:bCs w:val="0"/>
          <w:sz w:val="44"/>
          <w:szCs w:val="44"/>
          <w:lang w:eastAsia="zh-CN"/>
        </w:rPr>
      </w:pPr>
    </w:p>
    <w:p w14:paraId="5B2868AD">
      <w:pPr>
        <w:keepNext w:val="0"/>
        <w:keepLines w:val="0"/>
        <w:pageBreakBefore w:val="0"/>
        <w:kinsoku/>
        <w:wordWrap/>
        <w:overflowPunct/>
        <w:topLinePunct w:val="0"/>
        <w:autoSpaceDE/>
        <w:autoSpaceDN/>
        <w:bidi w:val="0"/>
        <w:adjustRightInd w:val="0"/>
        <w:snapToGrid/>
        <w:spacing w:line="560" w:lineRule="exact"/>
        <w:textAlignment w:val="auto"/>
        <w:rPr>
          <w:rFonts w:hint="default" w:ascii="仿宋_GB2312" w:hAnsi="仿宋_GB2312" w:eastAsia="仿宋_GB2312" w:cs="仿宋_GB2312"/>
          <w:sz w:val="32"/>
          <w:szCs w:val="32"/>
          <w:lang w:val="en-US" w:eastAsia="zh-CN"/>
        </w:rPr>
      </w:pPr>
      <mc:AlternateContent>
        <mc:Choice Requires="wpsCustomData">
          <wpsCustomData:docfieldStart id="0" docfieldname="正文" hidden="0" print="1" readonly="0" index="38"/>
        </mc:Choice>
      </mc:AlternateContent>
      <w:r>
        <w:rPr>
          <w:rFonts w:hint="eastAsia" w:ascii="仿宋_GB2312" w:hAnsi="仿宋_GB2312" w:eastAsia="仿宋_GB2312" w:cs="仿宋_GB2312"/>
          <w:sz w:val="32"/>
          <w:szCs w:val="32"/>
          <w:lang w:val="en-US" w:eastAsia="zh-CN"/>
        </w:rPr>
        <w:t>市政府：</w:t>
      </w:r>
    </w:p>
    <w:p w14:paraId="3A4596BA">
      <w:pPr>
        <w:keepNext w:val="0"/>
        <w:keepLines w:val="0"/>
        <w:pageBreakBefore w:val="0"/>
        <w:kinsoku/>
        <w:wordWrap/>
        <w:overflowPunct/>
        <w:topLinePunct w:val="0"/>
        <w:autoSpaceDE/>
        <w:autoSpaceDN/>
        <w:bidi w:val="0"/>
        <w:adjustRightInd w:val="0"/>
        <w:snapToGrid/>
        <w:spacing w:line="560" w:lineRule="exact"/>
        <w:ind w:leftChars="0" w:firstLine="652"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2025年</w:t>
      </w:r>
      <w:r>
        <w:rPr>
          <w:rFonts w:hint="eastAsia" w:ascii="仿宋_GB2312" w:hAnsi="仿宋_GB2312" w:eastAsia="仿宋_GB2312" w:cs="仿宋_GB2312"/>
          <w:sz w:val="32"/>
          <w:szCs w:val="32"/>
        </w:rPr>
        <w:t>，</w:t>
      </w:r>
      <w:r>
        <w:rPr>
          <w:rFonts w:hint="eastAsia" w:ascii="仿宋_GB2312" w:hAnsi="仿宋_GB2312" w:eastAsia="仿宋_GB2312" w:cs="仿宋_GB2312"/>
          <w:b w:val="0"/>
          <w:bCs w:val="0"/>
          <w:sz w:val="32"/>
          <w:szCs w:val="32"/>
          <w:lang w:val="en-US" w:eastAsia="zh-CN"/>
        </w:rPr>
        <w:t>我局在市委、市政府的正确领导下，根据《晋州市法治政府建设实施方案（2021—2025年）》（</w:t>
      </w:r>
      <w:r>
        <w:rPr>
          <w:rFonts w:hint="eastAsia" w:ascii="仿宋" w:hAnsi="仿宋" w:eastAsia="仿宋" w:cs="仿宋"/>
          <w:b w:val="0"/>
          <w:bCs w:val="0"/>
          <w:sz w:val="32"/>
          <w:szCs w:val="32"/>
          <w:lang w:val="en-US" w:eastAsia="zh-CN"/>
        </w:rPr>
        <w:t>〔</w:t>
      </w:r>
      <w:r>
        <w:rPr>
          <w:rFonts w:hint="eastAsia" w:ascii="仿宋_GB2312" w:hAnsi="仿宋_GB2312" w:eastAsia="仿宋_GB2312" w:cs="仿宋_GB2312"/>
          <w:b w:val="0"/>
          <w:bCs w:val="0"/>
          <w:sz w:val="32"/>
          <w:szCs w:val="32"/>
          <w:lang w:val="en-US" w:eastAsia="zh-CN"/>
        </w:rPr>
        <w:t>2022-10</w:t>
      </w:r>
      <w:r>
        <w:rPr>
          <w:rFonts w:hint="eastAsia" w:ascii="仿宋" w:hAnsi="仿宋" w:eastAsia="仿宋" w:cs="仿宋"/>
          <w:b w:val="0"/>
          <w:bCs w:val="0"/>
          <w:sz w:val="32"/>
          <w:szCs w:val="32"/>
          <w:lang w:val="en-US" w:eastAsia="zh-CN"/>
        </w:rPr>
        <w:t>〕</w:t>
      </w:r>
      <w:r>
        <w:rPr>
          <w:rFonts w:hint="eastAsia" w:ascii="仿宋_GB2312" w:hAnsi="仿宋_GB2312" w:eastAsia="仿宋_GB2312" w:cs="仿宋_GB2312"/>
          <w:b w:val="0"/>
          <w:bCs w:val="0"/>
          <w:sz w:val="32"/>
          <w:szCs w:val="32"/>
          <w:lang w:val="en-US" w:eastAsia="zh-CN"/>
        </w:rPr>
        <w:t>）文件精神，</w:t>
      </w:r>
      <w:r>
        <w:rPr>
          <w:rFonts w:hint="eastAsia" w:ascii="仿宋_GB2312" w:hAnsi="仿宋_GB2312" w:eastAsia="仿宋_GB2312" w:cs="仿宋_GB2312"/>
          <w:color w:val="auto"/>
          <w:sz w:val="32"/>
          <w:szCs w:val="32"/>
        </w:rPr>
        <w:t>强化指导，狠抓落实，不断加大</w:t>
      </w:r>
      <w:r>
        <w:rPr>
          <w:rFonts w:hint="eastAsia" w:ascii="仿宋_GB2312" w:hAnsi="仿宋_GB2312" w:eastAsia="仿宋_GB2312" w:cs="仿宋_GB2312"/>
          <w:color w:val="auto"/>
          <w:sz w:val="32"/>
          <w:szCs w:val="32"/>
          <w:lang w:val="en-US" w:eastAsia="zh-CN"/>
        </w:rPr>
        <w:t>工</w:t>
      </w:r>
      <w:r>
        <w:rPr>
          <w:rFonts w:hint="eastAsia" w:ascii="仿宋_GB2312" w:hAnsi="仿宋_GB2312" w:eastAsia="仿宋_GB2312" w:cs="仿宋_GB2312"/>
          <w:color w:val="auto"/>
          <w:sz w:val="32"/>
          <w:szCs w:val="32"/>
        </w:rPr>
        <w:t>作力度，</w:t>
      </w:r>
      <w:r>
        <w:rPr>
          <w:rFonts w:hint="eastAsia" w:ascii="仿宋_GB2312" w:hAnsi="仿宋_GB2312" w:eastAsia="仿宋_GB2312" w:cs="仿宋_GB2312"/>
          <w:sz w:val="32"/>
          <w:szCs w:val="32"/>
        </w:rPr>
        <w:t>深入</w:t>
      </w:r>
      <w:r>
        <w:rPr>
          <w:rFonts w:hint="eastAsia" w:ascii="仿宋_GB2312" w:hAnsi="仿宋_GB2312" w:eastAsia="仿宋_GB2312" w:cs="仿宋_GB2312"/>
          <w:sz w:val="32"/>
          <w:szCs w:val="32"/>
          <w:lang w:val="en-US" w:eastAsia="zh-CN"/>
        </w:rPr>
        <w:t>持续</w:t>
      </w:r>
      <w:r>
        <w:rPr>
          <w:rFonts w:hint="eastAsia" w:ascii="仿宋_GB2312" w:hAnsi="仿宋_GB2312" w:eastAsia="仿宋_GB2312" w:cs="仿宋_GB2312"/>
          <w:sz w:val="32"/>
          <w:szCs w:val="32"/>
        </w:rPr>
        <w:t>开展依法行政工作，认真落实行政执法责任制，逐步健全了执法监督机制，强化了商务工作依法治理的能力和水平，加快了商务工作法</w:t>
      </w:r>
      <w:r>
        <w:rPr>
          <w:rFonts w:hint="eastAsia" w:ascii="仿宋_GB2312" w:hAnsi="仿宋_GB2312" w:eastAsia="仿宋_GB2312" w:cs="仿宋_GB2312"/>
          <w:sz w:val="32"/>
          <w:szCs w:val="32"/>
          <w:lang w:val="en-US" w:eastAsia="zh-CN"/>
        </w:rPr>
        <w:t>治</w:t>
      </w:r>
      <w:r>
        <w:rPr>
          <w:rFonts w:hint="eastAsia" w:ascii="仿宋_GB2312" w:hAnsi="仿宋_GB2312" w:eastAsia="仿宋_GB2312" w:cs="仿宋_GB2312"/>
          <w:sz w:val="32"/>
          <w:szCs w:val="32"/>
        </w:rPr>
        <w:t>建设进程，使我局依法行政工作取得了显著成效。现将</w:t>
      </w:r>
      <w:r>
        <w:rPr>
          <w:rFonts w:hint="eastAsia" w:ascii="仿宋_GB2312" w:hAnsi="仿宋_GB2312" w:eastAsia="仿宋_GB2312" w:cs="仿宋_GB2312"/>
          <w:sz w:val="32"/>
          <w:szCs w:val="32"/>
          <w:lang w:val="en-US" w:eastAsia="zh-CN"/>
        </w:rPr>
        <w:t>工作</w:t>
      </w:r>
      <w:r>
        <w:rPr>
          <w:rFonts w:hint="eastAsia" w:ascii="仿宋_GB2312" w:hAnsi="仿宋_GB2312" w:eastAsia="仿宋_GB2312" w:cs="仿宋_GB2312"/>
          <w:sz w:val="32"/>
          <w:szCs w:val="32"/>
        </w:rPr>
        <w:t>情况报告如下：</w:t>
      </w:r>
    </w:p>
    <w:p w14:paraId="1E81CB15">
      <w:pPr>
        <w:keepNext w:val="0"/>
        <w:keepLines w:val="0"/>
        <w:pageBreakBefore w:val="0"/>
        <w:widowControl w:val="0"/>
        <w:numPr>
          <w:ilvl w:val="0"/>
          <w:numId w:val="1"/>
        </w:numPr>
        <w:kinsoku/>
        <w:wordWrap/>
        <w:overflowPunct/>
        <w:topLinePunct w:val="0"/>
        <w:autoSpaceDE/>
        <w:autoSpaceDN/>
        <w:bidi w:val="0"/>
        <w:adjustRightInd w:val="0"/>
        <w:snapToGrid/>
        <w:spacing w:line="560" w:lineRule="exact"/>
        <w:ind w:leftChars="0" w:firstLine="652"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指导思想</w:t>
      </w:r>
    </w:p>
    <w:p w14:paraId="2B9AFC42">
      <w:pPr>
        <w:pStyle w:val="11"/>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0" w:leftChars="0" w:right="0" w:firstLine="652" w:firstLineChars="200"/>
        <w:jc w:val="both"/>
        <w:textAlignment w:val="auto"/>
        <w:rPr>
          <w:rFonts w:hint="eastAsia" w:ascii="仿宋_GB2312" w:hAnsi="仿宋_GB2312" w:eastAsia="仿宋_GB2312" w:cs="仿宋_GB2312"/>
          <w:sz w:val="32"/>
          <w:szCs w:val="32"/>
        </w:rPr>
        <w:sectPr>
          <w:headerReference r:id="rId3" w:type="default"/>
          <w:footerReference r:id="rId5" w:type="default"/>
          <w:headerReference r:id="rId4" w:type="even"/>
          <w:footerReference r:id="rId6" w:type="even"/>
          <w:pgSz w:w="11906" w:h="16838"/>
          <w:pgMar w:top="1962" w:right="1474" w:bottom="1848" w:left="1587" w:header="851" w:footer="1049" w:gutter="0"/>
          <w:pgNumType w:fmt="decimal" w:start="2"/>
          <w:cols w:space="720" w:num="1"/>
          <w:rtlGutter w:val="0"/>
          <w:docGrid w:type="linesAndChars" w:linePitch="592" w:charSpace="1229"/>
        </w:sectPr>
      </w:pPr>
    </w:p>
    <w:p w14:paraId="789BA423">
      <w:pPr>
        <w:pStyle w:val="11"/>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spacing w:before="0" w:beforeAutospacing="0" w:after="0" w:afterAutospacing="0" w:line="560" w:lineRule="exact"/>
        <w:ind w:left="0" w:leftChars="0" w:right="0" w:firstLine="640" w:firstLineChars="200"/>
        <w:jc w:val="both"/>
        <w:textAlignment w:val="auto"/>
        <w:rPr>
          <w:rFonts w:hint="default" w:ascii="仿宋_GB2312" w:hAnsi="仿宋_GB2312" w:eastAsia="仿宋_GB2312" w:cs="仿宋_GB2312"/>
          <w:color w:val="0000FF"/>
          <w:sz w:val="32"/>
          <w:szCs w:val="32"/>
          <w:lang w:val="en-US" w:eastAsia="zh-CN"/>
        </w:rPr>
      </w:pPr>
      <w:r>
        <w:rPr>
          <w:rFonts w:hint="eastAsia" w:ascii="仿宋_GB2312" w:hAnsi="仿宋_GB2312" w:eastAsia="仿宋_GB2312" w:cs="仿宋_GB2312"/>
          <w:sz w:val="32"/>
          <w:szCs w:val="32"/>
        </w:rPr>
        <w:t>坚持以习近平新时代中国特色社会主义思想为指导</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深入学习贯彻党的二十大精神和习近平法治思想，认真践行党中央全面依法治国的决策部署，全面</w:t>
      </w:r>
      <w:r>
        <w:rPr>
          <w:rFonts w:hint="eastAsia" w:ascii="仿宋_GB2312" w:hAnsi="仿宋_GB2312" w:eastAsia="仿宋_GB2312" w:cs="仿宋_GB2312"/>
          <w:sz w:val="32"/>
          <w:szCs w:val="32"/>
        </w:rPr>
        <w:t>落实</w:t>
      </w:r>
      <w:r>
        <w:rPr>
          <w:rFonts w:hint="eastAsia" w:ascii="仿宋_GB2312" w:hAnsi="仿宋_GB2312" w:eastAsia="仿宋_GB2312" w:cs="仿宋_GB2312"/>
          <w:sz w:val="32"/>
          <w:szCs w:val="32"/>
          <w:lang w:val="en-US" w:eastAsia="zh-CN"/>
        </w:rPr>
        <w:t>省委、石家庄市委和晋州市委历次全会精神，忠诚捍卫“两个确立”，坚决做到“两个维护”。坚持党对全面依法治市的集中统一领导，坚持以人民为中心，坚持问题导向，坚持统筹推进，着力构建职责明确、依法行政的政府治理体系，全力推动和维护宪法实施，把法治政府建设放到商务领域发展统筹谋划中，</w:t>
      </w:r>
      <w:r>
        <w:rPr>
          <w:rFonts w:hint="eastAsia" w:ascii="仿宋_GB2312" w:hAnsi="仿宋_GB2312" w:eastAsia="仿宋_GB2312" w:cs="仿宋_GB2312"/>
          <w:color w:val="000000"/>
          <w:kern w:val="0"/>
          <w:sz w:val="32"/>
          <w:szCs w:val="32"/>
          <w:shd w:val="clear" w:fill="FFFFFF"/>
          <w:lang w:val="en-US" w:eastAsia="zh-CN" w:bidi="ar"/>
        </w:rPr>
        <w:t>加强和规范商务领域事中事后监管，推动法治商务建设稳步推进。</w:t>
      </w:r>
    </w:p>
    <w:p w14:paraId="0977ABA0">
      <w:pPr>
        <w:keepNext w:val="0"/>
        <w:keepLines w:val="0"/>
        <w:pageBreakBefore w:val="0"/>
        <w:numPr>
          <w:ilvl w:val="0"/>
          <w:numId w:val="1"/>
        </w:numPr>
        <w:kinsoku/>
        <w:wordWrap/>
        <w:overflowPunct/>
        <w:topLinePunct w:val="0"/>
        <w:autoSpaceDE/>
        <w:autoSpaceDN/>
        <w:bidi w:val="0"/>
        <w:adjustRightInd w:val="0"/>
        <w:snapToGrid/>
        <w:spacing w:line="560" w:lineRule="exact"/>
        <w:ind w:left="0" w:leftChars="0" w:firstLine="640" w:firstLineChars="200"/>
        <w:textAlignment w:val="auto"/>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工作开展情况</w:t>
      </w:r>
    </w:p>
    <w:p w14:paraId="34C4F503">
      <w:pPr>
        <w:keepNext w:val="0"/>
        <w:keepLines w:val="0"/>
        <w:pageBreakBefore w:val="0"/>
        <w:kinsoku/>
        <w:wordWrap/>
        <w:overflowPunct/>
        <w:topLinePunct w:val="0"/>
        <w:autoSpaceDE/>
        <w:autoSpaceDN/>
        <w:bidi w:val="0"/>
        <w:adjustRightInd w:val="0"/>
        <w:snapToGrid/>
        <w:spacing w:line="560" w:lineRule="exact"/>
        <w:ind w:leftChars="0" w:firstLine="640" w:firstLineChars="200"/>
        <w:textAlignment w:val="auto"/>
        <w:rPr>
          <w:rFonts w:hint="default" w:ascii="楷体" w:hAnsi="楷体" w:eastAsia="楷体" w:cs="楷体"/>
          <w:color w:val="auto"/>
          <w:sz w:val="32"/>
          <w:szCs w:val="32"/>
          <w:lang w:val="en-US" w:eastAsia="zh-CN"/>
        </w:rPr>
      </w:pPr>
      <w:r>
        <w:rPr>
          <w:rFonts w:hint="eastAsia" w:ascii="楷体" w:hAnsi="楷体" w:eastAsia="楷体" w:cs="楷体"/>
          <w:color w:val="auto"/>
          <w:sz w:val="32"/>
          <w:szCs w:val="32"/>
          <w:lang w:val="en-US" w:eastAsia="zh-CN"/>
        </w:rPr>
        <w:t>（一）推进政府机关职能优化协同高效</w:t>
      </w:r>
    </w:p>
    <w:p w14:paraId="1F407D3F">
      <w:pPr>
        <w:keepNext w:val="0"/>
        <w:keepLines w:val="0"/>
        <w:pageBreakBefore w:val="0"/>
        <w:kinsoku/>
        <w:overflowPunct/>
        <w:topLinePunct w:val="0"/>
        <w:autoSpaceDE/>
        <w:autoSpaceDN/>
        <w:bidi w:val="0"/>
        <w:snapToGrid/>
        <w:spacing w:line="560" w:lineRule="exact"/>
        <w:ind w:leftChars="0"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rPr>
        <w:t>报告法治政府建设情况</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sz w:val="32"/>
          <w:szCs w:val="32"/>
        </w:rPr>
        <w:t>落实法治政府建设年度情况报告制度，完成向市委、市政府报告法治政府建设工作情况，并向社会公开。召开干部职工会传达学习全市法治政府建设工作会议精神，利用学法专题培训会安排部署法治政府建设相关工作。</w:t>
      </w:r>
    </w:p>
    <w:p w14:paraId="472ABB9A">
      <w:pPr>
        <w:keepNext w:val="0"/>
        <w:keepLines w:val="0"/>
        <w:pageBreakBefore w:val="0"/>
        <w:kinsoku/>
        <w:overflowPunct/>
        <w:topLinePunct w:val="0"/>
        <w:autoSpaceDE/>
        <w:autoSpaceDN/>
        <w:bidi w:val="0"/>
        <w:snapToGrid/>
        <w:spacing w:line="560" w:lineRule="exact"/>
        <w:ind w:leftChars="0"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rPr>
        <w:t>明确责任，依法全面履行部门职责和行政职权</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sz w:val="32"/>
          <w:szCs w:val="32"/>
        </w:rPr>
        <w:t>积极推进涉及市商务局法治政府建设的年度各项改革任务和重点工作，以法律法规、机构编制“三定</w:t>
      </w:r>
      <w:r>
        <w:rPr>
          <w:rFonts w:hint="eastAsia" w:ascii="仿宋_GB2312" w:hAnsi="仿宋_GB2312" w:eastAsia="仿宋_GB2312" w:cs="仿宋_GB2312"/>
          <w:sz w:val="32"/>
          <w:szCs w:val="32"/>
          <w:lang w:val="en-US" w:eastAsia="zh-CN"/>
        </w:rPr>
        <w:t>方案</w:t>
      </w:r>
      <w:r>
        <w:rPr>
          <w:rFonts w:hint="eastAsia" w:ascii="仿宋_GB2312" w:hAnsi="仿宋_GB2312" w:eastAsia="仿宋_GB2312" w:cs="仿宋_GB2312"/>
          <w:sz w:val="32"/>
          <w:szCs w:val="32"/>
        </w:rPr>
        <w:t>”的行政职责为依据，梳理市商务局权力清单和责任清单，按照行政</w:t>
      </w:r>
      <w:r>
        <w:rPr>
          <w:rFonts w:hint="eastAsia" w:ascii="仿宋_GB2312" w:hAnsi="仿宋_GB2312" w:eastAsia="仿宋_GB2312" w:cs="仿宋_GB2312"/>
          <w:sz w:val="32"/>
          <w:szCs w:val="32"/>
          <w:lang w:val="en-US" w:eastAsia="zh-CN"/>
        </w:rPr>
        <w:t>处罚</w:t>
      </w:r>
      <w:r>
        <w:rPr>
          <w:rFonts w:hint="eastAsia" w:ascii="仿宋_GB2312" w:hAnsi="仿宋_GB2312" w:eastAsia="仿宋_GB2312" w:cs="仿宋_GB2312"/>
          <w:sz w:val="32"/>
          <w:szCs w:val="32"/>
        </w:rPr>
        <w:t>、行政</w:t>
      </w:r>
      <w:r>
        <w:rPr>
          <w:rFonts w:hint="eastAsia" w:ascii="仿宋_GB2312" w:hAnsi="仿宋_GB2312" w:eastAsia="仿宋_GB2312" w:cs="仿宋_GB2312"/>
          <w:sz w:val="32"/>
          <w:szCs w:val="32"/>
          <w:lang w:val="en-US" w:eastAsia="zh-CN"/>
        </w:rPr>
        <w:t>检查</w:t>
      </w:r>
      <w:r>
        <w:rPr>
          <w:rFonts w:hint="eastAsia" w:ascii="仿宋_GB2312" w:hAnsi="仿宋_GB2312" w:eastAsia="仿宋_GB2312" w:cs="仿宋_GB2312"/>
          <w:sz w:val="32"/>
          <w:szCs w:val="32"/>
        </w:rPr>
        <w:t>、其他行政职权等进行全面梳理和规范，共梳理行政权力</w:t>
      </w:r>
      <w:r>
        <w:rPr>
          <w:rFonts w:hint="eastAsia" w:ascii="仿宋_GB2312" w:hAnsi="仿宋_GB2312" w:eastAsia="仿宋_GB2312" w:cs="仿宋_GB2312"/>
          <w:sz w:val="32"/>
          <w:szCs w:val="32"/>
          <w:lang w:val="en-US" w:eastAsia="zh-CN"/>
        </w:rPr>
        <w:t>154</w:t>
      </w:r>
      <w:r>
        <w:rPr>
          <w:rFonts w:hint="eastAsia" w:ascii="仿宋_GB2312" w:hAnsi="仿宋_GB2312" w:eastAsia="仿宋_GB2312" w:cs="仿宋_GB2312"/>
          <w:sz w:val="32"/>
          <w:szCs w:val="32"/>
        </w:rPr>
        <w:t>项</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其中：行政</w:t>
      </w:r>
      <w:r>
        <w:rPr>
          <w:rFonts w:hint="eastAsia" w:ascii="仿宋_GB2312" w:hAnsi="仿宋_GB2312" w:eastAsia="仿宋_GB2312" w:cs="仿宋_GB2312"/>
          <w:sz w:val="32"/>
          <w:szCs w:val="32"/>
          <w:lang w:val="en-US" w:eastAsia="zh-CN"/>
        </w:rPr>
        <w:t>处罚136</w:t>
      </w:r>
      <w:r>
        <w:rPr>
          <w:rFonts w:hint="eastAsia" w:ascii="仿宋_GB2312" w:hAnsi="仿宋_GB2312" w:eastAsia="仿宋_GB2312" w:cs="仿宋_GB2312"/>
          <w:sz w:val="32"/>
          <w:szCs w:val="32"/>
        </w:rPr>
        <w:t>项，行政</w:t>
      </w:r>
      <w:r>
        <w:rPr>
          <w:rFonts w:hint="eastAsia" w:ascii="仿宋_GB2312" w:hAnsi="仿宋_GB2312" w:eastAsia="仿宋_GB2312" w:cs="仿宋_GB2312"/>
          <w:sz w:val="32"/>
          <w:szCs w:val="32"/>
          <w:lang w:val="en-US" w:eastAsia="zh-CN"/>
        </w:rPr>
        <w:t>检查14</w:t>
      </w:r>
      <w:r>
        <w:rPr>
          <w:rFonts w:hint="eastAsia" w:ascii="仿宋_GB2312" w:hAnsi="仿宋_GB2312" w:eastAsia="仿宋_GB2312" w:cs="仿宋_GB2312"/>
          <w:sz w:val="32"/>
          <w:szCs w:val="32"/>
        </w:rPr>
        <w:t>项，其他行政职权</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项</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，切实加强</w:t>
      </w:r>
      <w:r>
        <w:rPr>
          <w:rFonts w:hint="eastAsia" w:ascii="仿宋_GB2312" w:hAnsi="仿宋_GB2312" w:eastAsia="仿宋_GB2312" w:cs="仿宋_GB2312"/>
          <w:spacing wpsCustomData:val="-6" w:val="0"/>
          <w:sz w:val="32"/>
          <w:szCs w:val="32"/>
        </w:rPr>
        <w:t>对权力清单和责任清单运行的动态管理，确保行政权力有</w:t>
      </w:r>
      <w:r>
        <w:rPr>
          <w:rFonts w:hint="eastAsia" w:ascii="仿宋_GB2312" w:hAnsi="仿宋_GB2312" w:eastAsia="仿宋_GB2312" w:cs="仿宋_GB2312"/>
          <w:spacing wpsCustomData:val="-6" w:val="-6"/>
          <w:sz w:val="32"/>
          <w:szCs w:val="32"/>
        </w:rPr>
        <w:t>序</w:t>
      </w:r>
      <w:r>
        <w:rPr>
          <w:rFonts w:hint="eastAsia" w:ascii="仿宋_GB2312" w:hAnsi="仿宋_GB2312" w:eastAsia="仿宋_GB2312" w:cs="仿宋_GB2312"/>
          <w:sz w:val="32"/>
          <w:szCs w:val="32"/>
        </w:rPr>
        <w:t>运行。</w:t>
      </w:r>
    </w:p>
    <w:p w14:paraId="31EC4038">
      <w:pPr>
        <w:keepNext w:val="0"/>
        <w:keepLines w:val="0"/>
        <w:pageBreakBefore w:val="0"/>
        <w:numPr>
          <w:ilvl w:val="0"/>
          <w:numId w:val="2"/>
        </w:numPr>
        <w:kinsoku/>
        <w:wordWrap/>
        <w:overflowPunct/>
        <w:topLinePunct w:val="0"/>
        <w:autoSpaceDE/>
        <w:autoSpaceDN/>
        <w:bidi w:val="0"/>
        <w:adjustRightInd w:val="0"/>
        <w:snapToGrid/>
        <w:spacing w:line="560" w:lineRule="exact"/>
        <w:ind w:leftChars="0" w:firstLine="640" w:firstLineChars="200"/>
        <w:textAlignment w:val="auto"/>
        <w:rPr>
          <w:rFonts w:hint="eastAsia" w:ascii="楷体" w:hAnsi="楷体" w:eastAsia="楷体" w:cs="楷体"/>
          <w:color w:val="auto"/>
          <w:sz w:val="32"/>
          <w:szCs w:val="32"/>
          <w:lang w:val="en-US" w:eastAsia="zh-CN"/>
        </w:rPr>
      </w:pPr>
      <w:r>
        <w:rPr>
          <w:rFonts w:hint="eastAsia" w:ascii="楷体" w:hAnsi="楷体" w:eastAsia="楷体" w:cs="楷体"/>
          <w:color w:val="auto"/>
          <w:sz w:val="32"/>
          <w:szCs w:val="32"/>
          <w:lang w:val="en-US" w:eastAsia="zh-CN"/>
        </w:rPr>
        <w:t>深入推进“放管服”改革</w:t>
      </w:r>
    </w:p>
    <w:p w14:paraId="1CFB88C4">
      <w:pPr>
        <w:keepNext w:val="0"/>
        <w:keepLines w:val="0"/>
        <w:pageBreakBefore w:val="0"/>
        <w:kinsoku/>
        <w:overflowPunct/>
        <w:topLinePunct w:val="0"/>
        <w:autoSpaceDE/>
        <w:autoSpaceDN/>
        <w:bidi w:val="0"/>
        <w:snapToGrid/>
        <w:spacing w:line="560" w:lineRule="exact"/>
        <w:ind w:leftChars="0"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rPr>
        <w:t>推进简政放权。</w:t>
      </w:r>
      <w:r>
        <w:rPr>
          <w:rFonts w:hint="eastAsia" w:ascii="仿宋_GB2312" w:hAnsi="仿宋_GB2312" w:eastAsia="仿宋_GB2312" w:cs="仿宋_GB2312"/>
          <w:sz w:val="32"/>
          <w:szCs w:val="32"/>
        </w:rPr>
        <w:t>持续深化“放管服”改革落实“办事不求人”的重要举措，全力推进“减证便民”行动。从制度层面解决了群众办事难、办事慢、多头跑、来回跑等问题</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推广“最多跑一次”，压缩审批时间</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通过“互联网+政务服务”平台全面落实</w:t>
      </w:r>
      <w:r>
        <w:rPr>
          <w:rFonts w:hint="eastAsia" w:ascii="仿宋_GB2312" w:hAnsi="仿宋_GB2312" w:eastAsia="仿宋_GB2312" w:cs="仿宋_GB2312"/>
          <w:sz w:val="32"/>
          <w:szCs w:val="32"/>
        </w:rPr>
        <w:t>政务服务</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好差评</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制度，让办事企业和群众评判政务服务满意度</w:t>
      </w:r>
      <w:r>
        <w:rPr>
          <w:rFonts w:hint="eastAsia" w:ascii="仿宋_GB2312" w:hAnsi="仿宋_GB2312" w:eastAsia="仿宋_GB2312" w:cs="仿宋_GB2312"/>
          <w:sz w:val="32"/>
          <w:szCs w:val="32"/>
        </w:rPr>
        <w:t>。</w:t>
      </w:r>
    </w:p>
    <w:p w14:paraId="2557B9C8">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rPr>
        <w:t>做好行政备案登记工作。</w:t>
      </w:r>
      <w:r>
        <w:rPr>
          <w:rFonts w:hint="eastAsia" w:ascii="仿宋_GB2312" w:hAnsi="仿宋_GB2312" w:eastAsia="仿宋_GB2312" w:cs="仿宋_GB2312"/>
          <w:sz w:val="32"/>
          <w:szCs w:val="32"/>
        </w:rPr>
        <w:t>今年以来，市商务局办理行政备案登记</w:t>
      </w:r>
      <w:r>
        <w:rPr>
          <w:rFonts w:hint="eastAsia" w:ascii="仿宋_GB2312" w:hAnsi="仿宋_GB2312" w:eastAsia="仿宋_GB2312" w:cs="仿宋_GB2312"/>
          <w:sz w:val="32"/>
          <w:szCs w:val="32"/>
          <w:lang w:val="en-US" w:eastAsia="zh-CN"/>
        </w:rPr>
        <w:t>16</w:t>
      </w:r>
      <w:r>
        <w:rPr>
          <w:rFonts w:hint="eastAsia" w:ascii="仿宋_GB2312" w:hAnsi="仿宋_GB2312" w:eastAsia="仿宋_GB2312" w:cs="仿宋_GB2312"/>
          <w:sz w:val="32"/>
          <w:szCs w:val="32"/>
        </w:rPr>
        <w:t>件，其中</w:t>
      </w:r>
      <w:r>
        <w:rPr>
          <w:rFonts w:hint="eastAsia" w:ascii="仿宋_GB2312" w:hAnsi="仿宋_GB2312" w:eastAsia="仿宋_GB2312" w:cs="仿宋_GB2312"/>
          <w:sz w:val="32"/>
          <w:szCs w:val="32"/>
          <w:lang w:val="en-US" w:eastAsia="zh-CN"/>
        </w:rPr>
        <w:t>其他发卡企业单用途商业预付卡备案16</w:t>
      </w:r>
      <w:r>
        <w:rPr>
          <w:rFonts w:hint="eastAsia" w:ascii="仿宋_GB2312" w:hAnsi="仿宋_GB2312" w:eastAsia="仿宋_GB2312" w:cs="仿宋_GB2312"/>
          <w:sz w:val="32"/>
          <w:szCs w:val="32"/>
        </w:rPr>
        <w:t>件，办结率为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未</w:t>
      </w:r>
      <w:r>
        <w:rPr>
          <w:rFonts w:hint="eastAsia" w:ascii="仿宋_GB2312" w:hAnsi="仿宋_GB2312" w:eastAsia="仿宋_GB2312" w:cs="仿宋_GB2312"/>
          <w:sz w:val="32"/>
          <w:szCs w:val="32"/>
        </w:rPr>
        <w:t>出现超期办结的情况，也没有因办理时间过长受到群众投诉的情况出现，得到了广大群众的一致好评。</w:t>
      </w:r>
    </w:p>
    <w:p w14:paraId="0ADE000C">
      <w:pPr>
        <w:keepNext w:val="0"/>
        <w:keepLines w:val="0"/>
        <w:pageBreakBefore w:val="0"/>
        <w:numPr>
          <w:ilvl w:val="0"/>
          <w:numId w:val="0"/>
        </w:numPr>
        <w:kinsoku/>
        <w:overflowPunct/>
        <w:topLinePunct w:val="0"/>
        <w:autoSpaceDE/>
        <w:autoSpaceDN/>
        <w:bidi w:val="0"/>
        <w:snapToGrid/>
        <w:spacing w:line="560" w:lineRule="exact"/>
        <w:ind w:leftChars="0"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3.开展“双随机、一公开”监管工作</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sz w:val="32"/>
          <w:szCs w:val="32"/>
        </w:rPr>
        <w:t>根据</w:t>
      </w:r>
      <w:r>
        <w:rPr>
          <w:rFonts w:hint="eastAsia" w:ascii="仿宋_GB2312" w:hAnsi="仿宋_GB2312" w:eastAsia="仿宋_GB2312" w:cs="仿宋_GB2312"/>
          <w:sz w:val="32"/>
          <w:szCs w:val="32"/>
          <w:lang w:val="en-US" w:eastAsia="zh-CN"/>
        </w:rPr>
        <w:t>晋州市市场监督管理局印发的</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晋州市</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25</w:t>
      </w:r>
      <w:r>
        <w:rPr>
          <w:rFonts w:hint="eastAsia" w:ascii="仿宋_GB2312" w:hAnsi="仿宋_GB2312" w:eastAsia="仿宋_GB2312" w:cs="仿宋_GB2312"/>
          <w:sz w:val="32"/>
          <w:szCs w:val="32"/>
        </w:rPr>
        <w:t>年度</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双随机、一公开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随机抽查工作</w:t>
      </w:r>
      <w:r>
        <w:rPr>
          <w:rFonts w:hint="eastAsia" w:ascii="仿宋_GB2312" w:hAnsi="仿宋_GB2312" w:eastAsia="仿宋_GB2312" w:cs="仿宋_GB2312"/>
          <w:sz w:val="32"/>
          <w:szCs w:val="32"/>
        </w:rPr>
        <w:t>计划》</w:t>
      </w:r>
      <w:r>
        <w:rPr>
          <w:rFonts w:hint="eastAsia" w:ascii="仿宋_GB2312" w:hAnsi="仿宋_GB2312" w:eastAsia="仿宋_GB2312" w:cs="仿宋_GB2312"/>
          <w:sz w:val="32"/>
          <w:szCs w:val="32"/>
          <w:lang w:val="en-US" w:eastAsia="zh-CN"/>
        </w:rPr>
        <w:t>和《晋州市2025年“双随机、一公开”监管工作实施方案》文件</w:t>
      </w:r>
      <w:r>
        <w:rPr>
          <w:rFonts w:hint="eastAsia" w:ascii="仿宋_GB2312" w:hAnsi="仿宋_GB2312" w:eastAsia="仿宋_GB2312" w:cs="仿宋_GB2312"/>
          <w:sz w:val="32"/>
          <w:szCs w:val="32"/>
        </w:rPr>
        <w:t>精神，</w:t>
      </w:r>
      <w:r>
        <w:rPr>
          <w:rFonts w:hint="eastAsia" w:ascii="仿宋_GB2312" w:hAnsi="仿宋_GB2312" w:eastAsia="仿宋_GB2312" w:cs="仿宋_GB2312"/>
          <w:sz w:val="32"/>
          <w:szCs w:val="32"/>
          <w:lang w:val="en-US" w:eastAsia="zh-CN"/>
        </w:rPr>
        <w:t>于2025年7月至11月由</w:t>
      </w:r>
      <w:r>
        <w:rPr>
          <w:rFonts w:hint="eastAsia" w:ascii="仿宋_GB2312" w:hAnsi="仿宋_GB2312" w:eastAsia="仿宋_GB2312" w:cs="仿宋_GB2312"/>
          <w:sz w:val="32"/>
          <w:szCs w:val="32"/>
        </w:rPr>
        <w:t>市商务局牵头</w:t>
      </w:r>
      <w:r>
        <w:rPr>
          <w:rFonts w:hint="eastAsia" w:ascii="仿宋_GB2312" w:hAnsi="仿宋_GB2312" w:eastAsia="仿宋_GB2312" w:cs="仿宋_GB2312"/>
          <w:sz w:val="32"/>
          <w:szCs w:val="32"/>
          <w:lang w:val="en-US" w:eastAsia="zh-CN"/>
        </w:rPr>
        <w:t>开展2025年度晋州市第十五次跨部门联合抽查，拟对商贸流通行业（商场、超市）、报废机动车回收（拆解）、家庭服务行业、洗染行业、家电维修行业、</w:t>
      </w:r>
      <w:r>
        <w:rPr>
          <w:rFonts w:hint="eastAsia" w:ascii="仿宋_GB2312" w:hAnsi="仿宋_GB2312" w:eastAsia="仿宋_GB2312" w:cs="仿宋_GB2312"/>
          <w:sz w:val="32"/>
          <w:szCs w:val="32"/>
        </w:rPr>
        <w:t>成品油经营</w:t>
      </w:r>
      <w:r>
        <w:rPr>
          <w:rFonts w:hint="eastAsia" w:ascii="仿宋_GB2312" w:hAnsi="仿宋_GB2312" w:eastAsia="仿宋_GB2312" w:cs="仿宋_GB2312"/>
          <w:sz w:val="32"/>
          <w:szCs w:val="32"/>
          <w:lang w:val="en-US" w:eastAsia="zh-CN"/>
        </w:rPr>
        <w:t>行</w:t>
      </w:r>
      <w:r>
        <w:rPr>
          <w:rFonts w:hint="eastAsia" w:ascii="仿宋_GB2312" w:hAnsi="仿宋_GB2312" w:eastAsia="仿宋_GB2312" w:cs="仿宋_GB2312"/>
          <w:sz w:val="32"/>
          <w:szCs w:val="32"/>
        </w:rPr>
        <w:t>业、</w:t>
      </w:r>
      <w:r>
        <w:rPr>
          <w:rFonts w:hint="eastAsia" w:ascii="仿宋_GB2312" w:hAnsi="仿宋_GB2312" w:eastAsia="仿宋_GB2312" w:cs="仿宋_GB2312"/>
          <w:sz w:val="32"/>
          <w:szCs w:val="32"/>
          <w:lang w:val="en-US" w:eastAsia="zh-CN"/>
        </w:rPr>
        <w:t>餐饮经营行业、</w:t>
      </w:r>
      <w:r>
        <w:rPr>
          <w:rFonts w:hint="eastAsia" w:ascii="仿宋_GB2312" w:hAnsi="仿宋_GB2312" w:eastAsia="仿宋_GB2312" w:cs="仿宋_GB2312"/>
          <w:sz w:val="32"/>
          <w:szCs w:val="32"/>
        </w:rPr>
        <w:t>二手车</w:t>
      </w:r>
      <w:r>
        <w:rPr>
          <w:rFonts w:hint="eastAsia" w:ascii="仿宋_GB2312" w:hAnsi="仿宋_GB2312" w:eastAsia="仿宋_GB2312" w:cs="仿宋_GB2312"/>
          <w:sz w:val="32"/>
          <w:szCs w:val="32"/>
          <w:lang w:val="en-US" w:eastAsia="zh-CN"/>
        </w:rPr>
        <w:t>流通行业</w:t>
      </w:r>
      <w:r>
        <w:rPr>
          <w:rFonts w:hint="eastAsia" w:ascii="仿宋_GB2312" w:hAnsi="仿宋_GB2312" w:eastAsia="仿宋_GB2312" w:cs="仿宋_GB2312"/>
          <w:sz w:val="32"/>
          <w:szCs w:val="32"/>
        </w:rPr>
        <w:t>、单用途预付卡业务、</w:t>
      </w:r>
      <w:r>
        <w:rPr>
          <w:rFonts w:hint="eastAsia" w:ascii="仿宋_GB2312" w:hAnsi="仿宋_GB2312" w:eastAsia="仿宋_GB2312" w:cs="仿宋_GB2312"/>
          <w:sz w:val="32"/>
          <w:szCs w:val="32"/>
          <w:lang w:val="en-US" w:eastAsia="zh-CN"/>
        </w:rPr>
        <w:t>汽</w:t>
      </w:r>
      <w:r>
        <w:rPr>
          <w:rFonts w:hint="eastAsia" w:ascii="仿宋_GB2312" w:hAnsi="仿宋_GB2312" w:eastAsia="仿宋_GB2312" w:cs="仿宋_GB2312"/>
          <w:sz w:val="32"/>
          <w:szCs w:val="32"/>
        </w:rPr>
        <w:t>车销售</w:t>
      </w:r>
      <w:r>
        <w:rPr>
          <w:rFonts w:hint="eastAsia" w:ascii="仿宋_GB2312" w:hAnsi="仿宋_GB2312" w:eastAsia="仿宋_GB2312" w:cs="仿宋_GB2312"/>
          <w:sz w:val="32"/>
          <w:szCs w:val="32"/>
          <w:lang w:val="en-US" w:eastAsia="zh-CN"/>
        </w:rPr>
        <w:t>行业按照信用风险分级分类等级抽取涉及行业共计不低于3%，</w:t>
      </w:r>
      <w:r>
        <w:rPr>
          <w:rFonts w:hint="eastAsia" w:ascii="仿宋_GB2312" w:hAnsi="仿宋_GB2312" w:eastAsia="仿宋_GB2312" w:cs="仿宋_GB2312"/>
          <w:sz w:val="32"/>
          <w:szCs w:val="32"/>
        </w:rPr>
        <w:t>开展“双随机、一公开”</w:t>
      </w:r>
      <w:r>
        <w:rPr>
          <w:rFonts w:hint="eastAsia" w:ascii="仿宋_GB2312" w:hAnsi="仿宋_GB2312" w:eastAsia="仿宋_GB2312" w:cs="仿宋_GB2312"/>
          <w:sz w:val="32"/>
          <w:szCs w:val="32"/>
          <w:lang w:val="en-US" w:eastAsia="zh-CN"/>
        </w:rPr>
        <w:t>跨部门</w:t>
      </w:r>
      <w:r>
        <w:rPr>
          <w:rFonts w:hint="eastAsia" w:ascii="仿宋_GB2312" w:hAnsi="仿宋_GB2312" w:eastAsia="仿宋_GB2312" w:cs="仿宋_GB2312"/>
          <w:sz w:val="32"/>
          <w:szCs w:val="32"/>
        </w:rPr>
        <w:t>联合</w:t>
      </w:r>
      <w:r>
        <w:rPr>
          <w:rFonts w:hint="eastAsia" w:ascii="仿宋_GB2312" w:hAnsi="仿宋_GB2312" w:eastAsia="仿宋_GB2312" w:cs="仿宋_GB2312"/>
          <w:sz w:val="32"/>
          <w:szCs w:val="32"/>
          <w:lang w:val="en-US" w:eastAsia="zh-CN"/>
        </w:rPr>
        <w:t>抽</w:t>
      </w:r>
      <w:r>
        <w:rPr>
          <w:rFonts w:hint="eastAsia" w:ascii="仿宋_GB2312" w:hAnsi="仿宋_GB2312" w:eastAsia="仿宋_GB2312" w:cs="仿宋_GB2312"/>
          <w:sz w:val="32"/>
          <w:szCs w:val="32"/>
        </w:rPr>
        <w:t>查工作</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共计抽查监管对象42家次，抽查结果通过“河北省双随机执法监管平台”进行公示</w:t>
      </w:r>
      <w:r>
        <w:rPr>
          <w:rFonts w:hint="eastAsia" w:ascii="仿宋_GB2312" w:hAnsi="仿宋_GB2312" w:eastAsia="仿宋_GB2312" w:cs="仿宋_GB2312"/>
          <w:sz w:val="32"/>
          <w:szCs w:val="32"/>
        </w:rPr>
        <w:t>。</w:t>
      </w:r>
    </w:p>
    <w:p w14:paraId="68648CB5">
      <w:pPr>
        <w:keepNext w:val="0"/>
        <w:keepLines w:val="0"/>
        <w:pageBreakBefore w:val="0"/>
        <w:numPr>
          <w:ilvl w:val="0"/>
          <w:numId w:val="0"/>
        </w:numPr>
        <w:kinsoku/>
        <w:wordWrap/>
        <w:overflowPunct/>
        <w:topLinePunct w:val="0"/>
        <w:autoSpaceDE/>
        <w:autoSpaceDN/>
        <w:bidi w:val="0"/>
        <w:adjustRightInd w:val="0"/>
        <w:snapToGrid/>
        <w:spacing w:line="560" w:lineRule="exact"/>
        <w:ind w:leftChars="0" w:firstLine="640" w:firstLineChars="200"/>
        <w:textAlignment w:val="auto"/>
        <w:rPr>
          <w:rFonts w:hint="eastAsia" w:ascii="楷体" w:hAnsi="楷体" w:eastAsia="楷体" w:cs="楷体"/>
          <w:color w:val="auto"/>
          <w:sz w:val="32"/>
          <w:szCs w:val="32"/>
          <w:lang w:val="en-US" w:eastAsia="zh-CN"/>
        </w:rPr>
      </w:pPr>
      <w:r>
        <w:rPr>
          <w:rFonts w:hint="eastAsia" w:ascii="楷体" w:hAnsi="楷体" w:eastAsia="楷体" w:cs="楷体"/>
          <w:color w:val="auto"/>
          <w:sz w:val="32"/>
          <w:szCs w:val="32"/>
          <w:lang w:val="en-US" w:eastAsia="zh-CN"/>
        </w:rPr>
        <w:t>（三）持续优化营商环境</w:t>
      </w:r>
    </w:p>
    <w:p w14:paraId="23F6BA3C">
      <w:pPr>
        <w:keepNext w:val="0"/>
        <w:keepLines w:val="0"/>
        <w:pageBreakBefore w:val="0"/>
        <w:widowControl w:val="0"/>
        <w:kinsoku/>
        <w:wordWrap/>
        <w:overflowPunct/>
        <w:topLinePunct w:val="0"/>
        <w:autoSpaceDE/>
        <w:autoSpaceDN/>
        <w:bidi w:val="0"/>
        <w:adjustRightInd/>
        <w:snapToGrid/>
        <w:spacing w:line="560" w:lineRule="exact"/>
        <w:ind w:leftChars="0"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全面落实公平竞争审查制度。</w:t>
      </w:r>
      <w:r>
        <w:rPr>
          <w:rFonts w:hint="eastAsia" w:ascii="仿宋_GB2312" w:hAnsi="仿宋_GB2312" w:eastAsia="仿宋_GB2312" w:cs="仿宋_GB2312"/>
          <w:sz w:val="32"/>
          <w:szCs w:val="32"/>
          <w:lang w:val="en-US" w:eastAsia="zh-CN"/>
        </w:rPr>
        <w:t>明确专人负责</w:t>
      </w:r>
      <w:r>
        <w:rPr>
          <w:rFonts w:hint="eastAsia" w:ascii="仿宋_GB2312" w:hAnsi="仿宋_GB2312" w:eastAsia="仿宋_GB2312" w:cs="仿宋_GB2312"/>
          <w:sz w:val="32"/>
          <w:szCs w:val="32"/>
        </w:rPr>
        <w:t>各业务</w:t>
      </w:r>
      <w:r>
        <w:rPr>
          <w:rFonts w:hint="eastAsia" w:ascii="仿宋_GB2312" w:hAnsi="仿宋_GB2312" w:eastAsia="仿宋_GB2312" w:cs="仿宋_GB2312"/>
          <w:sz w:val="32"/>
          <w:szCs w:val="32"/>
          <w:lang w:val="en-US" w:eastAsia="zh-CN"/>
        </w:rPr>
        <w:t>股</w:t>
      </w:r>
      <w:r>
        <w:rPr>
          <w:rFonts w:hint="eastAsia" w:ascii="仿宋_GB2312" w:hAnsi="仿宋_GB2312" w:eastAsia="仿宋_GB2312" w:cs="仿宋_GB2312"/>
          <w:sz w:val="32"/>
          <w:szCs w:val="32"/>
        </w:rPr>
        <w:t>室统筹协调公平竞争审查工作。</w:t>
      </w:r>
      <w:r>
        <w:rPr>
          <w:rFonts w:hint="eastAsia" w:ascii="仿宋_GB2312" w:hAnsi="仿宋_GB2312" w:eastAsia="仿宋_GB2312" w:cs="仿宋_GB2312"/>
          <w:sz w:val="32"/>
          <w:szCs w:val="32"/>
          <w:lang w:val="en-US" w:eastAsia="zh-CN"/>
        </w:rPr>
        <w:t>积极</w:t>
      </w:r>
      <w:r>
        <w:rPr>
          <w:rFonts w:hint="eastAsia" w:ascii="仿宋_GB2312" w:hAnsi="仿宋_GB2312" w:eastAsia="仿宋_GB2312" w:cs="仿宋_GB2312"/>
          <w:sz w:val="32"/>
          <w:szCs w:val="32"/>
        </w:rPr>
        <w:t>学习《公平竞争审查制度实施细则》</w:t>
      </w:r>
      <w:r>
        <w:rPr>
          <w:rFonts w:hint="eastAsia" w:ascii="仿宋_GB2312" w:hAnsi="仿宋_GB2312" w:eastAsia="仿宋_GB2312" w:cs="仿宋_GB2312"/>
          <w:sz w:val="32"/>
          <w:szCs w:val="32"/>
          <w:lang w:val="en-US" w:eastAsia="zh-CN"/>
        </w:rPr>
        <w:t>和《</w:t>
      </w:r>
      <w:r>
        <w:rPr>
          <w:rFonts w:hint="eastAsia" w:ascii="仿宋_GB2312" w:hAnsi="仿宋_GB2312" w:eastAsia="仿宋_GB2312" w:cs="仿宋_GB2312"/>
          <w:kern w:val="0"/>
          <w:sz w:val="32"/>
          <w:szCs w:val="32"/>
          <w:lang w:val="en-US" w:eastAsia="zh-CN"/>
        </w:rPr>
        <w:t>晋州市商务局公平竞争、合法性审查实施细则</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明确各业务</w:t>
      </w:r>
      <w:r>
        <w:rPr>
          <w:rFonts w:hint="eastAsia" w:ascii="仿宋_GB2312" w:hAnsi="仿宋_GB2312" w:eastAsia="仿宋_GB2312" w:cs="仿宋_GB2312"/>
          <w:sz w:val="32"/>
          <w:szCs w:val="32"/>
          <w:lang w:val="en-US" w:eastAsia="zh-CN"/>
        </w:rPr>
        <w:t>股</w:t>
      </w:r>
      <w:r>
        <w:rPr>
          <w:rFonts w:hint="eastAsia" w:ascii="仿宋_GB2312" w:hAnsi="仿宋_GB2312" w:eastAsia="仿宋_GB2312" w:cs="仿宋_GB2312"/>
          <w:sz w:val="32"/>
          <w:szCs w:val="32"/>
        </w:rPr>
        <w:t>室在规范性文件以及政策措施制定过程中</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严格对照限制竞争的规定进行自我审查，并按照要求一并提交公平竞争审查表。健全局内部公平竞争审查机制，规范公平竞争审查操作流程。对202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以来</w:t>
      </w:r>
      <w:r>
        <w:rPr>
          <w:rFonts w:hint="eastAsia" w:ascii="仿宋_GB2312" w:hAnsi="仿宋_GB2312" w:eastAsia="仿宋_GB2312" w:cs="仿宋_GB2312"/>
          <w:sz w:val="32"/>
          <w:szCs w:val="32"/>
        </w:rPr>
        <w:t>发文进行全面梳理，确保我局制定的有关政策措施符合公平竞争和相关法律法规要求，防止出现排除、限制竞争的情况。</w:t>
      </w:r>
    </w:p>
    <w:p w14:paraId="4612BD18">
      <w:pPr>
        <w:keepNext w:val="0"/>
        <w:keepLines w:val="0"/>
        <w:pageBreakBefore w:val="0"/>
        <w:widowControl w:val="0"/>
        <w:kinsoku/>
        <w:wordWrap/>
        <w:overflowPunct/>
        <w:topLinePunct w:val="0"/>
        <w:autoSpaceDE/>
        <w:autoSpaceDN/>
        <w:bidi w:val="0"/>
        <w:adjustRightInd/>
        <w:snapToGrid/>
        <w:spacing w:line="560" w:lineRule="exact"/>
        <w:ind w:leftChars="0" w:firstLine="640" w:firstLineChars="200"/>
        <w:textAlignment w:val="auto"/>
        <w:rPr>
          <w:rFonts w:hint="eastAsia" w:ascii="楷体" w:hAnsi="楷体" w:eastAsia="楷体" w:cs="楷体"/>
          <w:sz w:val="32"/>
          <w:szCs w:val="32"/>
        </w:rPr>
      </w:pPr>
      <w:r>
        <w:rPr>
          <w:rFonts w:hint="eastAsia" w:ascii="楷体" w:hAnsi="楷体" w:eastAsia="楷体" w:cs="楷体"/>
          <w:sz w:val="32"/>
          <w:szCs w:val="32"/>
          <w:lang w:eastAsia="zh-CN"/>
        </w:rPr>
        <w:t>（</w:t>
      </w:r>
      <w:r>
        <w:rPr>
          <w:rFonts w:hint="eastAsia" w:ascii="楷体" w:hAnsi="楷体" w:eastAsia="楷体" w:cs="楷体"/>
          <w:sz w:val="32"/>
          <w:szCs w:val="32"/>
          <w:lang w:val="en-US" w:eastAsia="zh-CN"/>
        </w:rPr>
        <w:t>四</w:t>
      </w:r>
      <w:r>
        <w:rPr>
          <w:rFonts w:hint="eastAsia" w:ascii="楷体" w:hAnsi="楷体" w:eastAsia="楷体" w:cs="楷体"/>
          <w:sz w:val="32"/>
          <w:szCs w:val="32"/>
          <w:lang w:eastAsia="zh-CN"/>
        </w:rPr>
        <w:t>）</w:t>
      </w:r>
      <w:r>
        <w:rPr>
          <w:rFonts w:hint="eastAsia" w:ascii="楷体" w:hAnsi="楷体" w:eastAsia="楷体" w:cs="楷体"/>
          <w:sz w:val="32"/>
          <w:szCs w:val="32"/>
          <w:lang w:val="en-US" w:eastAsia="zh-CN"/>
        </w:rPr>
        <w:t>强力服务经济建设和社会高质量发展</w:t>
      </w:r>
    </w:p>
    <w:p w14:paraId="174635B2">
      <w:pPr>
        <w:keepNext w:val="0"/>
        <w:keepLines w:val="0"/>
        <w:pageBreakBefore w:val="0"/>
        <w:widowControl w:val="0"/>
        <w:kinsoku/>
        <w:wordWrap/>
        <w:overflowPunct/>
        <w:topLinePunct w:val="0"/>
        <w:autoSpaceDE/>
        <w:autoSpaceDN/>
        <w:bidi w:val="0"/>
        <w:adjustRightInd/>
        <w:snapToGrid/>
        <w:spacing w:line="560" w:lineRule="exact"/>
        <w:ind w:leftChars="0" w:firstLine="643"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bCs w:val="0"/>
          <w:sz w:val="32"/>
          <w:szCs w:val="32"/>
          <w:lang w:val="en-US" w:eastAsia="zh-CN"/>
        </w:rPr>
        <w:t>1.</w:t>
      </w:r>
      <w:r>
        <w:rPr>
          <w:rFonts w:hint="eastAsia" w:ascii="仿宋_GB2312" w:hAnsi="仿宋_GB2312" w:eastAsia="仿宋_GB2312" w:cs="仿宋_GB2312"/>
          <w:b/>
          <w:bCs w:val="0"/>
          <w:sz w:val="32"/>
          <w:szCs w:val="32"/>
          <w:lang w:eastAsia="zh-CN"/>
        </w:rPr>
        <w:t>加强</w:t>
      </w:r>
      <w:r>
        <w:rPr>
          <w:rFonts w:hint="eastAsia" w:ascii="仿宋_GB2312" w:hAnsi="仿宋_GB2312" w:eastAsia="仿宋_GB2312" w:cs="仿宋_GB2312"/>
          <w:b/>
          <w:bCs w:val="0"/>
          <w:sz w:val="32"/>
          <w:szCs w:val="32"/>
          <w:lang w:val="en-US" w:eastAsia="zh-CN"/>
        </w:rPr>
        <w:t>企业</w:t>
      </w:r>
      <w:r>
        <w:rPr>
          <w:rFonts w:hint="eastAsia" w:ascii="仿宋_GB2312" w:hAnsi="仿宋_GB2312" w:eastAsia="仿宋_GB2312" w:cs="仿宋_GB2312"/>
          <w:b/>
          <w:bCs w:val="0"/>
          <w:sz w:val="32"/>
          <w:szCs w:val="32"/>
        </w:rPr>
        <w:t>培训</w:t>
      </w:r>
      <w:r>
        <w:rPr>
          <w:rFonts w:hint="eastAsia" w:ascii="仿宋_GB2312" w:hAnsi="仿宋_GB2312" w:eastAsia="仿宋_GB2312" w:cs="仿宋_GB2312"/>
          <w:b/>
          <w:bCs w:val="0"/>
          <w:sz w:val="32"/>
          <w:szCs w:val="32"/>
          <w:lang w:val="en-US" w:eastAsia="zh-CN"/>
        </w:rPr>
        <w:t>工作</w:t>
      </w:r>
      <w:r>
        <w:rPr>
          <w:rFonts w:hint="eastAsia" w:ascii="仿宋_GB2312" w:hAnsi="仿宋_GB2312" w:eastAsia="仿宋_GB2312" w:cs="仿宋_GB2312"/>
          <w:b/>
          <w:bCs w:val="0"/>
          <w:sz w:val="32"/>
          <w:szCs w:val="32"/>
          <w:lang w:eastAsia="zh-CN"/>
        </w:rPr>
        <w:t>。</w:t>
      </w:r>
      <w:r>
        <w:rPr>
          <w:rFonts w:hint="eastAsia" w:ascii="仿宋_GB2312" w:hAnsi="仿宋_GB2312" w:eastAsia="仿宋_GB2312" w:cs="仿宋_GB2312"/>
          <w:b w:val="0"/>
          <w:bCs/>
          <w:sz w:val="32"/>
          <w:szCs w:val="32"/>
          <w:lang w:val="en-US" w:eastAsia="zh-CN"/>
        </w:rPr>
        <w:t>一是先后组织100余家次外贸企业参加了河北省稳外贸促发展专项行动推进会、“BigBuy中国公司成立暨采购大会”、河北省跨境电商培训会、石家庄市外贸政策业务培训会及中银•晋州外贸政策宣讲会、河北省外贸政策业务巡回培训等，助力外贸企业发展。二是助力企业拓展海外市场。积极组织、引导外贸企业参加境内外专业性展会，拓展海内外市场。截至目前，已有96家次外贸企业参加了巴基斯坦涂料展览会、墨西哥国际面料辅料展览会及广交会等60余个境内外各类专业性展会，其中16家企业集中参加了在上海举办的中国国际纺织面料及辅料博览会。</w:t>
      </w:r>
    </w:p>
    <w:p w14:paraId="3125A09E">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3"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kern w:val="2"/>
          <w:sz w:val="32"/>
          <w:szCs w:val="32"/>
          <w:lang w:val="en-US" w:eastAsia="zh-CN" w:bidi="ar-SA"/>
        </w:rPr>
        <w:t>2.</w:t>
      </w:r>
      <w:r>
        <w:rPr>
          <w:rFonts w:hint="eastAsia" w:ascii="仿宋_GB2312" w:hAnsi="仿宋_GB2312" w:eastAsia="仿宋_GB2312" w:cs="仿宋_GB2312"/>
          <w:b/>
          <w:bCs/>
          <w:sz w:val="32"/>
          <w:szCs w:val="32"/>
          <w:lang w:val="en-US" w:eastAsia="zh-CN"/>
        </w:rPr>
        <w:t>开展惠民补贴促消费活动。</w:t>
      </w:r>
      <w:r>
        <w:rPr>
          <w:rFonts w:hint="eastAsia" w:ascii="仿宋_GB2312" w:hAnsi="仿宋_GB2312" w:eastAsia="仿宋_GB2312" w:cs="仿宋_GB2312"/>
          <w:sz w:val="32"/>
          <w:szCs w:val="32"/>
          <w:lang w:val="en-US" w:eastAsia="zh-CN"/>
        </w:rPr>
        <w:t>2025年以来，我市开展“惠民生促消费”购车补贴活动，为我市经济发展注入强劲动力。</w:t>
      </w:r>
    </w:p>
    <w:p w14:paraId="66DA0D5E">
      <w:pPr>
        <w:pStyle w:val="4"/>
        <w:keepNext w:val="0"/>
        <w:keepLines w:val="0"/>
        <w:pageBreakBefore w:val="0"/>
        <w:kinsoku/>
        <w:autoSpaceDE/>
        <w:bidi w:val="0"/>
        <w:snapToGrid/>
        <w:spacing w:line="560" w:lineRule="exact"/>
        <w:ind w:leftChars="0"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3.积极推动县域商业建设行动。</w:t>
      </w:r>
      <w:r>
        <w:rPr>
          <w:rFonts w:hint="eastAsia" w:ascii="仿宋_GB2312" w:hAnsi="仿宋_GB2312" w:eastAsia="仿宋_GB2312" w:cs="仿宋_GB2312"/>
          <w:sz w:val="32"/>
          <w:szCs w:val="32"/>
          <w:lang w:val="en-US" w:eastAsia="zh-CN"/>
        </w:rPr>
        <w:t>3月组织第三方审计机构对一个县级物流配送中心、10个乡镇商贸中心改造提升项目进行审计验收，该项目</w:t>
      </w:r>
      <w:r>
        <w:rPr>
          <w:rFonts w:hint="eastAsia" w:ascii="仿宋_GB2312" w:hAnsi="仿宋_GB2312" w:eastAsia="仿宋_GB2312" w:cs="仿宋_GB2312"/>
          <w:b w:val="0"/>
          <w:bCs w:val="0"/>
          <w:sz w:val="32"/>
          <w:szCs w:val="32"/>
          <w:lang w:val="en-US" w:eastAsia="zh-CN"/>
        </w:rPr>
        <w:t>顺利通过石家庄市商务局组织第三方验收。9月25日，我市入选成为</w:t>
      </w:r>
      <w:r>
        <w:rPr>
          <w:rFonts w:hint="eastAsia" w:ascii="仿宋_GB2312" w:hAnsi="仿宋_GB2312" w:eastAsia="仿宋_GB2312" w:cs="仿宋_GB2312"/>
          <w:sz w:val="32"/>
          <w:szCs w:val="32"/>
        </w:rPr>
        <w:t>河北省8个“领跑县”之一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为全国县域商业</w:t>
      </w:r>
      <w:r>
        <w:rPr>
          <w:rFonts w:hint="eastAsia" w:ascii="仿宋_GB2312" w:hAnsi="仿宋_GB2312" w:eastAsia="仿宋_GB2312" w:cs="仿宋_GB2312"/>
          <w:sz w:val="32"/>
          <w:szCs w:val="32"/>
          <w:lang w:val="en-US" w:eastAsia="zh-CN"/>
        </w:rPr>
        <w:t>建设</w:t>
      </w:r>
      <w:r>
        <w:rPr>
          <w:rFonts w:hint="eastAsia" w:ascii="仿宋_GB2312" w:hAnsi="仿宋_GB2312" w:eastAsia="仿宋_GB2312" w:cs="仿宋_GB2312"/>
          <w:sz w:val="32"/>
          <w:szCs w:val="32"/>
        </w:rPr>
        <w:t>高质量发展贡献了具有借鉴意义的“河北经验”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标志着我市在构建现代化县域流通网络、激发农村消费潜力、优化商业服务供给等方面</w:t>
      </w:r>
      <w:r>
        <w:rPr>
          <w:rFonts w:hint="eastAsia" w:ascii="仿宋_GB2312" w:hAnsi="仿宋_GB2312" w:eastAsia="仿宋_GB2312" w:cs="仿宋_GB2312"/>
          <w:sz w:val="32"/>
          <w:szCs w:val="32"/>
          <w:lang w:eastAsia="zh-CN"/>
        </w:rPr>
        <w:t>迈出了扎实的一步</w:t>
      </w:r>
      <w:r>
        <w:rPr>
          <w:rFonts w:hint="eastAsia" w:ascii="仿宋_GB2312" w:hAnsi="仿宋_GB2312" w:eastAsia="仿宋_GB2312" w:cs="仿宋_GB2312"/>
          <w:sz w:val="32"/>
          <w:szCs w:val="32"/>
        </w:rPr>
        <w:t>。</w:t>
      </w:r>
      <w:r>
        <w:rPr>
          <w:rFonts w:hint="eastAsia" w:ascii="仿宋_GB2312" w:hAnsi="仿宋_GB2312" w:eastAsia="仿宋_GB2312" w:cs="仿宋_GB2312"/>
          <w:b w:val="0"/>
          <w:bCs w:val="0"/>
          <w:sz w:val="32"/>
          <w:szCs w:val="32"/>
          <w:lang w:val="en-US" w:eastAsia="zh-CN"/>
        </w:rPr>
        <w:t>11月报送石家庄市现代商贸流通体系建设第二批试点项目：晋州信誉楼1楼超市改造升级项目，现已通过项目审核，目前改造工程第一期冷鲜肉熟食区域已经改造完成，二、三期正在稳步建设中。</w:t>
      </w:r>
    </w:p>
    <w:p w14:paraId="5EBDAA86">
      <w:pPr>
        <w:pStyle w:val="4"/>
        <w:keepNext w:val="0"/>
        <w:keepLines w:val="0"/>
        <w:pageBreakBefore w:val="0"/>
        <w:kinsoku/>
        <w:autoSpaceDE/>
        <w:bidi w:val="0"/>
        <w:snapToGrid/>
        <w:spacing w:line="560" w:lineRule="exact"/>
        <w:ind w:leftChars="0" w:firstLine="643" w:firstLineChars="200"/>
        <w:textAlignment w:val="auto"/>
        <w:rPr>
          <w:rFonts w:hint="eastAsia" w:ascii="仿宋_GB2312" w:hAnsi="仿宋_GB2312" w:eastAsia="仿宋_GB2312" w:cs="仿宋_GB2312"/>
          <w:b w:val="0"/>
          <w:bCs/>
          <w:i w:val="0"/>
          <w:iCs w:val="0"/>
          <w:color w:val="0000FF"/>
          <w:spacing w:val="0"/>
          <w:sz w:val="32"/>
          <w:szCs w:val="32"/>
          <w:shd w:val="clear" w:color="auto" w:fill="FFFFFF"/>
          <w:lang w:val="en-US" w:eastAsia="zh-CN"/>
        </w:rPr>
      </w:pPr>
      <w:r>
        <w:rPr>
          <w:rFonts w:hint="eastAsia" w:ascii="仿宋_GB2312" w:hAnsi="仿宋_GB2312" w:eastAsia="仿宋_GB2312" w:cs="仿宋_GB2312"/>
          <w:b/>
          <w:bCs/>
          <w:sz w:val="32"/>
          <w:szCs w:val="32"/>
          <w:lang w:val="en-US" w:eastAsia="zh-CN"/>
        </w:rPr>
        <w:t>4.扎实开展以旧换新活动。</w:t>
      </w:r>
      <w:r>
        <w:rPr>
          <w:rFonts w:hint="eastAsia" w:ascii="仿宋_GB2312" w:hAnsi="仿宋_GB2312" w:eastAsia="仿宋_GB2312" w:cs="仿宋_GB2312"/>
          <w:b w:val="0"/>
          <w:bCs/>
          <w:sz w:val="32"/>
          <w:szCs w:val="32"/>
        </w:rPr>
        <w:t>通过线上线下相结合的方式，广泛宣传以旧换新政策和活动信息。线上利用政府官网、微信公众号等平台发布活动海报、视频；线下在商场、社区、乡镇集市等地张贴宣传海报，发放宣传手册，并组织工作人员现场讲解，提高活动知晓度。</w:t>
      </w:r>
      <w:r>
        <w:rPr>
          <w:rFonts w:hint="eastAsia" w:ascii="仿宋_GB2312" w:hAnsi="仿宋_GB2312" w:eastAsia="仿宋_GB2312" w:cs="仿宋_GB2312"/>
          <w:b w:val="0"/>
          <w:bCs/>
          <w:i w:val="0"/>
          <w:color w:val="0D0D0D"/>
          <w:spacing w:val="0"/>
          <w:sz w:val="32"/>
          <w:shd w:val="clear" w:color="auto" w:fill="FFFFFF"/>
          <w:lang w:val="en-US" w:eastAsia="zh-CN"/>
        </w:rPr>
        <w:t>今年以来，</w:t>
      </w:r>
      <w:r>
        <w:rPr>
          <w:rFonts w:hint="eastAsia" w:ascii="仿宋_GB2312" w:hAnsi="仿宋_GB2312" w:eastAsia="仿宋_GB2312" w:cs="仿宋_GB2312"/>
          <w:b w:val="0"/>
          <w:bCs/>
          <w:i w:val="0"/>
          <w:iCs w:val="0"/>
          <w:color w:val="0D0D0D"/>
          <w:spacing w:val="0"/>
          <w:sz w:val="32"/>
          <w:szCs w:val="32"/>
          <w:shd w:val="clear" w:color="auto" w:fill="FFFFFF"/>
        </w:rPr>
        <w:t>我市共有2</w:t>
      </w:r>
      <w:r>
        <w:rPr>
          <w:rFonts w:hint="eastAsia" w:ascii="仿宋_GB2312" w:hAnsi="仿宋_GB2312" w:eastAsia="仿宋_GB2312" w:cs="仿宋_GB2312"/>
          <w:b w:val="0"/>
          <w:bCs/>
          <w:i w:val="0"/>
          <w:iCs w:val="0"/>
          <w:color w:val="0D0D0D"/>
          <w:spacing w:val="0"/>
          <w:sz w:val="32"/>
          <w:szCs w:val="32"/>
          <w:shd w:val="clear" w:color="auto" w:fill="FFFFFF"/>
          <w:lang w:val="en-US" w:eastAsia="zh-CN"/>
        </w:rPr>
        <w:t>52</w:t>
      </w:r>
      <w:r>
        <w:rPr>
          <w:rFonts w:hint="eastAsia" w:ascii="仿宋_GB2312" w:hAnsi="仿宋_GB2312" w:eastAsia="仿宋_GB2312" w:cs="仿宋_GB2312"/>
          <w:b w:val="0"/>
          <w:bCs/>
          <w:i w:val="0"/>
          <w:iCs w:val="0"/>
          <w:color w:val="0D0D0D"/>
          <w:spacing w:val="0"/>
          <w:sz w:val="32"/>
          <w:szCs w:val="32"/>
          <w:shd w:val="clear" w:color="auto" w:fill="FFFFFF"/>
        </w:rPr>
        <w:t>家企业成功入围，其中家电企业</w:t>
      </w:r>
      <w:r>
        <w:rPr>
          <w:rFonts w:hint="eastAsia" w:ascii="仿宋_GB2312" w:hAnsi="仿宋_GB2312" w:eastAsia="仿宋_GB2312" w:cs="仿宋_GB2312"/>
          <w:b w:val="0"/>
          <w:bCs/>
          <w:i w:val="0"/>
          <w:iCs w:val="0"/>
          <w:color w:val="0D0D0D"/>
          <w:spacing w:val="0"/>
          <w:sz w:val="32"/>
          <w:szCs w:val="32"/>
          <w:shd w:val="clear" w:color="auto" w:fill="FFFFFF"/>
          <w:lang w:val="en-US" w:eastAsia="zh-CN"/>
        </w:rPr>
        <w:t>114</w:t>
      </w:r>
      <w:r>
        <w:rPr>
          <w:rFonts w:hint="eastAsia" w:ascii="仿宋_GB2312" w:hAnsi="仿宋_GB2312" w:eastAsia="仿宋_GB2312" w:cs="仿宋_GB2312"/>
          <w:b w:val="0"/>
          <w:bCs/>
          <w:i w:val="0"/>
          <w:iCs w:val="0"/>
          <w:color w:val="0D0D0D"/>
          <w:spacing w:val="0"/>
          <w:sz w:val="32"/>
          <w:szCs w:val="32"/>
          <w:shd w:val="clear" w:color="auto" w:fill="FFFFFF"/>
        </w:rPr>
        <w:t>家，家装企业3</w:t>
      </w:r>
      <w:r>
        <w:rPr>
          <w:rFonts w:hint="eastAsia" w:ascii="仿宋_GB2312" w:hAnsi="仿宋_GB2312" w:eastAsia="仿宋_GB2312" w:cs="仿宋_GB2312"/>
          <w:b w:val="0"/>
          <w:bCs/>
          <w:i w:val="0"/>
          <w:iCs w:val="0"/>
          <w:color w:val="0D0D0D"/>
          <w:spacing w:val="0"/>
          <w:sz w:val="32"/>
          <w:szCs w:val="32"/>
          <w:shd w:val="clear" w:color="auto" w:fill="FFFFFF"/>
          <w:lang w:val="en-US" w:eastAsia="zh-CN"/>
        </w:rPr>
        <w:t>6</w:t>
      </w:r>
      <w:r>
        <w:rPr>
          <w:rFonts w:hint="eastAsia" w:ascii="仿宋_GB2312" w:hAnsi="仿宋_GB2312" w:eastAsia="仿宋_GB2312" w:cs="仿宋_GB2312"/>
          <w:b w:val="0"/>
          <w:bCs/>
          <w:i w:val="0"/>
          <w:iCs w:val="0"/>
          <w:color w:val="0D0D0D"/>
          <w:spacing w:val="0"/>
          <w:sz w:val="32"/>
          <w:szCs w:val="32"/>
          <w:shd w:val="clear" w:color="auto" w:fill="FFFFFF"/>
        </w:rPr>
        <w:t>家，电动自行车企业5</w:t>
      </w:r>
      <w:r>
        <w:rPr>
          <w:rFonts w:hint="eastAsia" w:ascii="仿宋_GB2312" w:hAnsi="仿宋_GB2312" w:eastAsia="仿宋_GB2312" w:cs="仿宋_GB2312"/>
          <w:b w:val="0"/>
          <w:bCs/>
          <w:i w:val="0"/>
          <w:iCs w:val="0"/>
          <w:color w:val="0D0D0D"/>
          <w:spacing w:val="0"/>
          <w:sz w:val="32"/>
          <w:szCs w:val="32"/>
          <w:shd w:val="clear" w:color="auto" w:fill="FFFFFF"/>
          <w:lang w:val="en-US" w:eastAsia="zh-CN"/>
        </w:rPr>
        <w:t>7</w:t>
      </w:r>
      <w:r>
        <w:rPr>
          <w:rFonts w:hint="eastAsia" w:ascii="仿宋_GB2312" w:hAnsi="仿宋_GB2312" w:eastAsia="仿宋_GB2312" w:cs="仿宋_GB2312"/>
          <w:b w:val="0"/>
          <w:bCs/>
          <w:i w:val="0"/>
          <w:iCs w:val="0"/>
          <w:color w:val="0D0D0D"/>
          <w:spacing w:val="0"/>
          <w:sz w:val="32"/>
          <w:szCs w:val="32"/>
          <w:shd w:val="clear" w:color="auto" w:fill="FFFFFF"/>
        </w:rPr>
        <w:t>家，3C数码企业4</w:t>
      </w:r>
      <w:r>
        <w:rPr>
          <w:rFonts w:hint="eastAsia" w:ascii="仿宋_GB2312" w:hAnsi="仿宋_GB2312" w:eastAsia="仿宋_GB2312" w:cs="仿宋_GB2312"/>
          <w:b w:val="0"/>
          <w:bCs/>
          <w:i w:val="0"/>
          <w:iCs w:val="0"/>
          <w:color w:val="0D0D0D"/>
          <w:spacing w:val="0"/>
          <w:sz w:val="32"/>
          <w:szCs w:val="32"/>
          <w:shd w:val="clear" w:color="auto" w:fill="FFFFFF"/>
          <w:lang w:val="en-US" w:eastAsia="zh-CN"/>
        </w:rPr>
        <w:t>5</w:t>
      </w:r>
      <w:r>
        <w:rPr>
          <w:rFonts w:hint="eastAsia" w:ascii="仿宋_GB2312" w:hAnsi="仿宋_GB2312" w:eastAsia="仿宋_GB2312" w:cs="仿宋_GB2312"/>
          <w:b w:val="0"/>
          <w:bCs/>
          <w:i w:val="0"/>
          <w:iCs w:val="0"/>
          <w:color w:val="0D0D0D"/>
          <w:spacing w:val="0"/>
          <w:sz w:val="32"/>
          <w:szCs w:val="32"/>
          <w:shd w:val="clear" w:color="auto" w:fill="FFFFFF"/>
        </w:rPr>
        <w:t>家。</w:t>
      </w:r>
    </w:p>
    <w:p w14:paraId="33772B12">
      <w:pPr>
        <w:keepNext w:val="0"/>
        <w:keepLines w:val="0"/>
        <w:pageBreakBefore w:val="0"/>
        <w:widowControl w:val="0"/>
        <w:numPr>
          <w:ilvl w:val="0"/>
          <w:numId w:val="0"/>
        </w:numPr>
        <w:pBdr>
          <w:bottom w:val="none" w:color="auto" w:sz="0" w:space="21"/>
        </w:pBdr>
        <w:kinsoku/>
        <w:wordWrap/>
        <w:overflowPunct/>
        <w:topLinePunct w:val="0"/>
        <w:autoSpaceDE/>
        <w:autoSpaceDN w:val="0"/>
        <w:bidi w:val="0"/>
        <w:adjustRightInd/>
        <w:snapToGrid/>
        <w:spacing w:line="560" w:lineRule="exact"/>
        <w:ind w:leftChars="0" w:firstLine="640" w:firstLineChars="200"/>
        <w:textAlignment w:val="auto"/>
        <w:rPr>
          <w:rFonts w:hint="eastAsia" w:ascii="楷体" w:hAnsi="楷体" w:eastAsia="楷体" w:cs="楷体"/>
          <w:sz w:val="32"/>
          <w:szCs w:val="32"/>
          <w:lang w:val="en-US" w:eastAsia="zh-CN"/>
        </w:rPr>
      </w:pPr>
      <w:r>
        <w:rPr>
          <w:rFonts w:hint="eastAsia" w:ascii="楷体" w:hAnsi="楷体" w:eastAsia="楷体" w:cs="楷体"/>
          <w:color w:val="auto"/>
          <w:sz w:val="32"/>
          <w:szCs w:val="32"/>
          <w:lang w:val="en-US" w:eastAsia="zh-CN"/>
        </w:rPr>
        <w:t>（五）强</w:t>
      </w:r>
      <w:r>
        <w:rPr>
          <w:rFonts w:hint="eastAsia" w:ascii="楷体" w:hAnsi="楷体" w:eastAsia="楷体" w:cs="楷体"/>
          <w:sz w:val="32"/>
          <w:szCs w:val="32"/>
          <w:lang w:val="en-US" w:eastAsia="zh-CN"/>
        </w:rPr>
        <w:t>化依法决策意识</w:t>
      </w:r>
    </w:p>
    <w:p w14:paraId="4E4ABCBF">
      <w:pPr>
        <w:keepNext w:val="0"/>
        <w:keepLines w:val="0"/>
        <w:pageBreakBefore w:val="0"/>
        <w:widowControl w:val="0"/>
        <w:numPr>
          <w:ilvl w:val="0"/>
          <w:numId w:val="0"/>
        </w:numPr>
        <w:pBdr>
          <w:bottom w:val="none" w:color="auto" w:sz="0" w:space="21"/>
        </w:pBdr>
        <w:kinsoku/>
        <w:wordWrap/>
        <w:overflowPunct/>
        <w:topLinePunct w:val="0"/>
        <w:autoSpaceDE/>
        <w:autoSpaceDN w:val="0"/>
        <w:bidi w:val="0"/>
        <w:adjustRightInd/>
        <w:snapToGrid/>
        <w:spacing w:line="560" w:lineRule="exact"/>
        <w:ind w:leftChars="0"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sz w:val="32"/>
          <w:szCs w:val="32"/>
        </w:rPr>
        <w:t>进一步建立健全合法性审查机制，切实规范全局合法性审查和公平竞争审查工作。</w:t>
      </w:r>
      <w:r>
        <w:rPr>
          <w:rFonts w:hint="eastAsia" w:ascii="仿宋_GB2312" w:hAnsi="仿宋_GB2312" w:eastAsia="仿宋_GB2312" w:cs="仿宋_GB2312"/>
          <w:color w:val="auto"/>
          <w:kern w:val="0"/>
          <w:sz w:val="32"/>
          <w:szCs w:val="32"/>
          <w:lang w:eastAsia="zh-CN" w:bidi="ar"/>
        </w:rPr>
        <w:t>全面推行</w:t>
      </w:r>
      <w:r>
        <w:rPr>
          <w:rFonts w:hint="eastAsia" w:ascii="仿宋_GB2312" w:hAnsi="仿宋_GB2312" w:eastAsia="仿宋_GB2312" w:cs="仿宋_GB2312"/>
          <w:color w:val="auto"/>
          <w:kern w:val="0"/>
          <w:sz w:val="32"/>
          <w:szCs w:val="32"/>
          <w:lang w:bidi="ar"/>
        </w:rPr>
        <w:t>法律顾问</w:t>
      </w:r>
      <w:r>
        <w:rPr>
          <w:rFonts w:hint="eastAsia" w:ascii="仿宋_GB2312" w:hAnsi="仿宋_GB2312" w:eastAsia="仿宋_GB2312" w:cs="仿宋_GB2312"/>
          <w:color w:val="auto"/>
          <w:kern w:val="0"/>
          <w:sz w:val="32"/>
          <w:szCs w:val="32"/>
          <w:lang w:eastAsia="zh-CN" w:bidi="ar"/>
        </w:rPr>
        <w:t>制度，</w:t>
      </w:r>
      <w:r>
        <w:rPr>
          <w:rFonts w:hint="eastAsia" w:ascii="仿宋_GB2312" w:hAnsi="仿宋_GB2312" w:eastAsia="仿宋_GB2312" w:cs="仿宋_GB2312"/>
          <w:color w:val="auto"/>
          <w:sz w:val="32"/>
          <w:szCs w:val="32"/>
          <w:lang w:val="en-US" w:eastAsia="zh-CN"/>
        </w:rPr>
        <w:t>聘请律师彭耀民为法律顾问，为我局依法执政、依法行政提供切实有力的法律保障。</w:t>
      </w:r>
    </w:p>
    <w:p w14:paraId="02EFDC4D">
      <w:pPr>
        <w:keepNext w:val="0"/>
        <w:keepLines w:val="0"/>
        <w:pageBreakBefore w:val="0"/>
        <w:widowControl w:val="0"/>
        <w:numPr>
          <w:ilvl w:val="0"/>
          <w:numId w:val="0"/>
        </w:numPr>
        <w:pBdr>
          <w:bottom w:val="none" w:color="auto" w:sz="0" w:space="21"/>
        </w:pBdr>
        <w:kinsoku/>
        <w:wordWrap/>
        <w:overflowPunct/>
        <w:topLinePunct w:val="0"/>
        <w:autoSpaceDE/>
        <w:autoSpaceDN w:val="0"/>
        <w:bidi w:val="0"/>
        <w:adjustRightInd/>
        <w:snapToGrid/>
        <w:spacing w:line="560" w:lineRule="exact"/>
        <w:ind w:left="0" w:leftChars="0" w:firstLine="616" w:firstLineChars="200"/>
        <w:textAlignment w:val="auto"/>
        <w:rPr>
          <w:rFonts w:hint="eastAsia" w:ascii="楷体" w:hAnsi="楷体" w:eastAsia="楷体" w:cs="楷体"/>
          <w:color w:val="auto"/>
          <w:sz w:val="32"/>
          <w:szCs w:val="32"/>
          <w:lang w:val="en-US" w:eastAsia="zh-CN"/>
        </w:rPr>
      </w:pPr>
      <w:r>
        <w:rPr>
          <w:rFonts w:hint="eastAsia" w:ascii="楷体" w:hAnsi="楷体" w:eastAsia="楷体" w:cs="楷体"/>
          <w:b w:val="0"/>
          <w:bCs w:val="0"/>
          <w:color w:val="auto"/>
          <w:spacing w:val="-6"/>
          <w:kern w:val="2"/>
          <w:sz w:val="32"/>
          <w:szCs w:val="32"/>
          <w:lang w:val="en-US" w:eastAsia="zh-CN" w:bidi="ar-SA"/>
        </w:rPr>
        <w:t>（六）</w:t>
      </w:r>
      <w:r>
        <w:rPr>
          <w:rFonts w:hint="eastAsia" w:ascii="楷体" w:hAnsi="楷体" w:eastAsia="楷体" w:cs="楷体"/>
          <w:color w:val="auto"/>
          <w:sz w:val="32"/>
          <w:szCs w:val="32"/>
          <w:lang w:val="en-US" w:eastAsia="zh-CN"/>
        </w:rPr>
        <w:t>严格落实重大行政决策程序，加强执行和评估</w:t>
      </w:r>
    </w:p>
    <w:p w14:paraId="7178592F">
      <w:pPr>
        <w:keepNext w:val="0"/>
        <w:keepLines w:val="0"/>
        <w:pageBreakBefore w:val="0"/>
        <w:widowControl w:val="0"/>
        <w:numPr>
          <w:ilvl w:val="0"/>
          <w:numId w:val="0"/>
        </w:numPr>
        <w:pBdr>
          <w:bottom w:val="none" w:color="auto" w:sz="0" w:space="21"/>
        </w:pBdr>
        <w:kinsoku/>
        <w:wordWrap/>
        <w:overflowPunct/>
        <w:topLinePunct w:val="0"/>
        <w:autoSpaceDE/>
        <w:autoSpaceDN w:val="0"/>
        <w:bidi w:val="0"/>
        <w:adjustRightInd/>
        <w:snapToGrid/>
        <w:spacing w:line="560" w:lineRule="exact"/>
        <w:ind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auto"/>
          <w:kern w:val="0"/>
          <w:sz w:val="32"/>
          <w:szCs w:val="32"/>
          <w:lang w:val="en-US" w:eastAsia="zh-CN" w:bidi="ar"/>
        </w:rPr>
        <w:t>结合我局《重大行政决策风险评估制度》，规范重大行政决策流程，及时公开重大行政决策事项。</w:t>
      </w:r>
      <w:r>
        <w:rPr>
          <w:rFonts w:hint="eastAsia" w:ascii="仿宋_GB2312" w:hAnsi="仿宋_GB2312" w:eastAsia="仿宋_GB2312" w:cs="仿宋_GB2312"/>
          <w:sz w:val="32"/>
          <w:szCs w:val="32"/>
        </w:rPr>
        <w:t>规范重大行政决策程序，深入推进依法科学民主决策。严格执行重大行政决策公众参与、合法性审查、集体讨论决定等法定程序制度，未经合法性审查或经审查不合法的，不得提交会议讨论。同时做好法律顾问的日常联络服务工作，有效发挥法律顾问职能作用，确保各项决策于法有据、合法合规。</w:t>
      </w:r>
    </w:p>
    <w:p w14:paraId="284095EA">
      <w:pPr>
        <w:keepNext w:val="0"/>
        <w:keepLines w:val="0"/>
        <w:pageBreakBefore w:val="0"/>
        <w:widowControl w:val="0"/>
        <w:numPr>
          <w:ilvl w:val="0"/>
          <w:numId w:val="0"/>
        </w:numPr>
        <w:pBdr>
          <w:bottom w:val="none" w:color="auto" w:sz="0" w:space="21"/>
        </w:pBdr>
        <w:kinsoku/>
        <w:wordWrap/>
        <w:overflowPunct/>
        <w:topLinePunct w:val="0"/>
        <w:autoSpaceDE/>
        <w:autoSpaceDN w:val="0"/>
        <w:bidi w:val="0"/>
        <w:adjustRightInd/>
        <w:snapToGrid/>
        <w:spacing w:line="560" w:lineRule="exact"/>
        <w:ind w:left="0" w:leftChars="0" w:firstLine="616" w:firstLineChars="200"/>
        <w:textAlignment w:val="auto"/>
        <w:rPr>
          <w:rFonts w:hint="eastAsia" w:ascii="楷体" w:hAnsi="楷体" w:eastAsia="楷体" w:cs="楷体"/>
          <w:color w:val="auto"/>
          <w:sz w:val="32"/>
          <w:szCs w:val="32"/>
          <w:lang w:val="en-US" w:eastAsia="zh-CN"/>
        </w:rPr>
      </w:pPr>
      <w:r>
        <w:rPr>
          <w:rFonts w:hint="eastAsia" w:ascii="楷体" w:hAnsi="楷体" w:eastAsia="楷体" w:cs="楷体"/>
          <w:b w:val="0"/>
          <w:bCs w:val="0"/>
          <w:color w:val="auto"/>
          <w:spacing w:val="-6"/>
          <w:kern w:val="2"/>
          <w:sz w:val="32"/>
          <w:szCs w:val="32"/>
          <w:lang w:val="en-US" w:eastAsia="zh-CN" w:bidi="ar-SA"/>
        </w:rPr>
        <w:t>（七）</w:t>
      </w:r>
      <w:r>
        <w:rPr>
          <w:rFonts w:hint="eastAsia" w:ascii="楷体" w:hAnsi="楷体" w:eastAsia="楷体" w:cs="楷体"/>
          <w:color w:val="auto"/>
          <w:sz w:val="32"/>
          <w:szCs w:val="32"/>
          <w:lang w:val="en-US" w:eastAsia="zh-CN"/>
        </w:rPr>
        <w:t>深化行政执法体制改革</w:t>
      </w:r>
    </w:p>
    <w:p w14:paraId="6C1BEC8D">
      <w:pPr>
        <w:keepNext w:val="0"/>
        <w:keepLines w:val="0"/>
        <w:pageBreakBefore w:val="0"/>
        <w:widowControl w:val="0"/>
        <w:numPr>
          <w:ilvl w:val="0"/>
          <w:numId w:val="0"/>
        </w:numPr>
        <w:pBdr>
          <w:bottom w:val="none" w:color="auto" w:sz="0" w:space="21"/>
        </w:pBdr>
        <w:kinsoku/>
        <w:wordWrap/>
        <w:overflowPunct/>
        <w:topLinePunct w:val="0"/>
        <w:autoSpaceDE/>
        <w:autoSpaceDN w:val="0"/>
        <w:bidi w:val="0"/>
        <w:adjustRightInd w:val="0"/>
        <w:snapToGrid w:val="0"/>
        <w:spacing w:line="560" w:lineRule="exact"/>
        <w:ind w:leftChars="0"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做好全局行政执法监督，推进行政执法规范化、信息化建设，做好</w:t>
      </w:r>
      <w:r>
        <w:rPr>
          <w:rFonts w:hint="eastAsia" w:ascii="仿宋_GB2312" w:hAnsi="仿宋_GB2312" w:eastAsia="仿宋_GB2312" w:cs="仿宋_GB2312"/>
          <w:sz w:val="32"/>
          <w:szCs w:val="32"/>
          <w:lang w:val="en-US" w:eastAsia="zh-CN"/>
        </w:rPr>
        <w:t>河北</w:t>
      </w:r>
      <w:r>
        <w:rPr>
          <w:rFonts w:hint="eastAsia" w:ascii="仿宋_GB2312" w:hAnsi="仿宋_GB2312" w:eastAsia="仿宋_GB2312" w:cs="仿宋_GB2312"/>
          <w:sz w:val="32"/>
          <w:szCs w:val="32"/>
        </w:rPr>
        <w:t>省行政执法综合管理监督信息系统的应用工作，按要求报送年度执法统计数据报告。同步严格落实行政执法责任制和责任</w:t>
      </w:r>
      <w:r>
        <w:rPr>
          <w:rFonts w:hint="eastAsia" w:ascii="仿宋_GB2312" w:hAnsi="仿宋_GB2312" w:eastAsia="仿宋_GB2312" w:cs="仿宋_GB2312"/>
          <w:spacing wpsCustomData:val="-6" w:val="1"/>
          <w:sz w:val="32"/>
          <w:szCs w:val="32"/>
        </w:rPr>
        <w:t>追究制度，加大对执法不作为乱作为、不</w:t>
      </w:r>
      <w:r>
        <w:rPr>
          <w:rFonts w:hint="eastAsia" w:ascii="仿宋_GB2312" w:hAnsi="仿宋_GB2312" w:eastAsia="仿宋_GB2312" w:cs="仿宋_GB2312"/>
          <w:spacing wpsCustomData:val="-6" w:val="1"/>
          <w:sz w:val="32"/>
          <w:szCs w:val="32"/>
          <w:lang w:val="en-US" w:eastAsia="zh-CN"/>
        </w:rPr>
        <w:t>当</w:t>
      </w:r>
      <w:r>
        <w:rPr>
          <w:rFonts w:hint="eastAsia" w:ascii="仿宋_GB2312" w:hAnsi="仿宋_GB2312" w:eastAsia="仿宋_GB2312" w:cs="仿宋_GB2312"/>
          <w:spacing wpsCustomData:val="-6" w:val="1"/>
          <w:sz w:val="32"/>
          <w:szCs w:val="32"/>
        </w:rPr>
        <w:t>行政行为的</w:t>
      </w:r>
      <w:r>
        <w:rPr>
          <w:rFonts w:hint="eastAsia" w:ascii="仿宋_GB2312" w:hAnsi="仿宋_GB2312" w:eastAsia="仿宋_GB2312" w:cs="仿宋_GB2312"/>
          <w:spacing wpsCustomData:val="-6" w:val="1"/>
          <w:sz w:val="32"/>
          <w:szCs w:val="32"/>
          <w:lang w:val="en-US" w:eastAsia="zh-CN"/>
        </w:rPr>
        <w:t>纠</w:t>
      </w:r>
      <w:r>
        <w:rPr>
          <w:rFonts w:hint="eastAsia" w:ascii="仿宋_GB2312" w:hAnsi="仿宋_GB2312" w:eastAsia="仿宋_GB2312" w:cs="仿宋_GB2312"/>
          <w:spacing wpsCustomData:val="-6" w:val="-6"/>
          <w:sz w:val="32"/>
          <w:szCs w:val="32"/>
          <w:lang w:val="en-US" w:eastAsia="zh-CN"/>
        </w:rPr>
        <w:t>错</w:t>
      </w:r>
      <w:r>
        <w:rPr>
          <w:rFonts w:hint="eastAsia" w:ascii="仿宋_GB2312" w:hAnsi="仿宋_GB2312" w:eastAsia="仿宋_GB2312" w:cs="仿宋_GB2312"/>
          <w:sz w:val="32"/>
          <w:szCs w:val="32"/>
        </w:rPr>
        <w:t>力度</w:t>
      </w:r>
      <w:r>
        <w:rPr>
          <w:rFonts w:hint="eastAsia" w:ascii="仿宋_GB2312" w:hAnsi="仿宋_GB2312" w:eastAsia="仿宋_GB2312" w:cs="仿宋_GB2312"/>
          <w:sz w:val="32"/>
          <w:szCs w:val="32"/>
          <w:lang w:eastAsia="zh-CN"/>
        </w:rPr>
        <w:t>。</w:t>
      </w:r>
    </w:p>
    <w:p w14:paraId="7D6295A9">
      <w:pPr>
        <w:keepNext w:val="0"/>
        <w:keepLines w:val="0"/>
        <w:pageBreakBefore w:val="0"/>
        <w:widowControl w:val="0"/>
        <w:numPr>
          <w:ilvl w:val="0"/>
          <w:numId w:val="0"/>
        </w:numPr>
        <w:pBdr>
          <w:bottom w:val="none" w:color="auto" w:sz="0" w:space="21"/>
        </w:pBdr>
        <w:kinsoku/>
        <w:wordWrap/>
        <w:overflowPunct/>
        <w:topLinePunct w:val="0"/>
        <w:autoSpaceDE/>
        <w:autoSpaceDN w:val="0"/>
        <w:bidi w:val="0"/>
        <w:adjustRightInd w:val="0"/>
        <w:snapToGrid w:val="0"/>
        <w:spacing w:line="560" w:lineRule="exact"/>
        <w:ind w:left="0" w:leftChars="0" w:firstLine="616" w:firstLineChars="200"/>
        <w:textAlignment w:val="auto"/>
        <w:rPr>
          <w:rFonts w:hint="eastAsia" w:ascii="楷体" w:hAnsi="楷体" w:eastAsia="楷体" w:cs="楷体"/>
          <w:sz w:val="32"/>
          <w:szCs w:val="32"/>
          <w:lang w:val="en-US" w:eastAsia="zh-CN"/>
        </w:rPr>
      </w:pPr>
      <w:r>
        <w:rPr>
          <w:rFonts w:hint="eastAsia" w:ascii="楷体" w:hAnsi="楷体" w:eastAsia="楷体" w:cs="楷体"/>
          <w:b w:val="0"/>
          <w:bCs w:val="0"/>
          <w:spacing w:val="-6"/>
          <w:kern w:val="2"/>
          <w:sz w:val="32"/>
          <w:szCs w:val="32"/>
          <w:lang w:val="en-US" w:eastAsia="zh-CN" w:bidi="ar-SA"/>
        </w:rPr>
        <w:t>（八）</w:t>
      </w:r>
      <w:r>
        <w:rPr>
          <w:rFonts w:hint="eastAsia" w:ascii="楷体" w:hAnsi="楷体" w:eastAsia="楷体" w:cs="楷体"/>
          <w:sz w:val="32"/>
          <w:szCs w:val="32"/>
          <w:lang w:val="en-US" w:eastAsia="zh-CN"/>
        </w:rPr>
        <w:t>加大重点领域执法力度</w:t>
      </w:r>
    </w:p>
    <w:p w14:paraId="5B5F64DA">
      <w:pPr>
        <w:keepNext w:val="0"/>
        <w:keepLines w:val="0"/>
        <w:pageBreakBefore w:val="0"/>
        <w:widowControl w:val="0"/>
        <w:numPr>
          <w:ilvl w:val="0"/>
          <w:numId w:val="0"/>
        </w:numPr>
        <w:pBdr>
          <w:bottom w:val="none" w:color="auto" w:sz="0" w:space="21"/>
        </w:pBdr>
        <w:kinsoku/>
        <w:wordWrap/>
        <w:overflowPunct/>
        <w:topLinePunct w:val="0"/>
        <w:autoSpaceDE/>
        <w:autoSpaceDN w:val="0"/>
        <w:bidi w:val="0"/>
        <w:adjustRightInd w:val="0"/>
        <w:snapToGrid w:val="0"/>
        <w:spacing w:line="560" w:lineRule="exact"/>
        <w:ind w:leftChars="0"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严格落实《中华人民共和国行政处罚法》《中华人民共和国安全生产法》，对商务领域安全生产工作按照省、市相关要求进行安全隐患专项排查整治，持续推进安全生产“双控”机制建设，严厉打击各类违法生产经营建设行为，对潜在风险大、可能造成严重不良后果的，加强日常监管和执法巡查。</w:t>
      </w:r>
    </w:p>
    <w:p w14:paraId="5CD2C47A">
      <w:pPr>
        <w:keepNext w:val="0"/>
        <w:keepLines w:val="0"/>
        <w:pageBreakBefore w:val="0"/>
        <w:widowControl w:val="0"/>
        <w:numPr>
          <w:ilvl w:val="0"/>
          <w:numId w:val="0"/>
        </w:numPr>
        <w:pBdr>
          <w:bottom w:val="none" w:color="auto" w:sz="0" w:space="21"/>
        </w:pBdr>
        <w:kinsoku/>
        <w:wordWrap/>
        <w:overflowPunct/>
        <w:topLinePunct w:val="0"/>
        <w:autoSpaceDE/>
        <w:autoSpaceDN w:val="0"/>
        <w:bidi w:val="0"/>
        <w:adjustRightInd w:val="0"/>
        <w:snapToGrid w:val="0"/>
        <w:spacing w:line="560" w:lineRule="exact"/>
        <w:ind w:left="0" w:leftChars="0" w:firstLine="616" w:firstLineChars="200"/>
        <w:textAlignment w:val="auto"/>
        <w:rPr>
          <w:rFonts w:hint="eastAsia" w:ascii="楷体" w:hAnsi="楷体" w:eastAsia="楷体" w:cs="楷体"/>
          <w:b w:val="0"/>
          <w:bCs w:val="0"/>
          <w:spacing w:val="-6"/>
          <w:kern w:val="2"/>
          <w:sz w:val="32"/>
          <w:szCs w:val="32"/>
          <w:lang w:val="en-US" w:eastAsia="zh-CN" w:bidi="ar-SA"/>
        </w:rPr>
      </w:pPr>
      <w:r>
        <w:rPr>
          <w:rFonts w:hint="eastAsia" w:ascii="楷体" w:hAnsi="楷体" w:eastAsia="楷体" w:cs="楷体"/>
          <w:b w:val="0"/>
          <w:bCs w:val="0"/>
          <w:spacing w:val="-6"/>
          <w:kern w:val="2"/>
          <w:sz w:val="32"/>
          <w:szCs w:val="32"/>
          <w:lang w:val="en-US" w:eastAsia="zh-CN" w:bidi="ar-SA"/>
        </w:rPr>
        <w:t>（九）完善行政执法程序</w:t>
      </w:r>
    </w:p>
    <w:p w14:paraId="57AAA215">
      <w:pPr>
        <w:keepNext w:val="0"/>
        <w:keepLines w:val="0"/>
        <w:pageBreakBefore w:val="0"/>
        <w:widowControl w:val="0"/>
        <w:numPr>
          <w:ilvl w:val="0"/>
          <w:numId w:val="0"/>
        </w:numPr>
        <w:pBdr>
          <w:bottom w:val="none" w:color="auto" w:sz="0" w:space="21"/>
        </w:pBdr>
        <w:kinsoku/>
        <w:wordWrap/>
        <w:overflowPunct/>
        <w:topLinePunct w:val="0"/>
        <w:autoSpaceDE/>
        <w:autoSpaceDN w:val="0"/>
        <w:bidi w:val="0"/>
        <w:adjustRightInd w:val="0"/>
        <w:snapToGrid w:val="0"/>
        <w:spacing w:line="560" w:lineRule="exact"/>
        <w:ind w:left="0" w:leftChars="0" w:firstLine="619" w:firstLineChars="200"/>
        <w:textAlignment w:val="auto"/>
        <w:rPr>
          <w:rFonts w:hint="eastAsia" w:ascii="仿宋_GB2312" w:hAnsi="仿宋_GB2312" w:eastAsia="仿宋_GB2312" w:cs="仿宋_GB2312"/>
          <w:b w:val="0"/>
          <w:bCs w:val="0"/>
          <w:spacing w:val="-6"/>
          <w:kern w:val="2"/>
          <w:sz w:val="32"/>
          <w:szCs w:val="32"/>
          <w:lang w:val="en-US" w:eastAsia="zh-CN" w:bidi="ar-SA"/>
        </w:rPr>
      </w:pPr>
      <w:r>
        <w:rPr>
          <w:rFonts w:hint="eastAsia" w:ascii="仿宋_GB2312" w:hAnsi="仿宋_GB2312" w:eastAsia="仿宋_GB2312" w:cs="仿宋_GB2312"/>
          <w:b/>
          <w:bCs/>
          <w:spacing w:val="-6"/>
          <w:kern w:val="2"/>
          <w:sz w:val="32"/>
          <w:szCs w:val="32"/>
          <w:lang w:val="en-US" w:eastAsia="zh-CN" w:bidi="ar-SA"/>
        </w:rPr>
        <w:t>1.加强行政执法证件管理。</w:t>
      </w:r>
      <w:r>
        <w:rPr>
          <w:rFonts w:hint="eastAsia" w:ascii="仿宋_GB2312" w:hAnsi="仿宋_GB2312" w:eastAsia="仿宋_GB2312" w:cs="仿宋_GB2312"/>
          <w:b w:val="0"/>
          <w:bCs w:val="0"/>
          <w:spacing w:val="-6"/>
          <w:kern w:val="2"/>
          <w:sz w:val="32"/>
          <w:szCs w:val="32"/>
          <w:lang w:val="en-US" w:eastAsia="zh-CN" w:bidi="ar-SA"/>
        </w:rPr>
        <w:t>认真做好行政执法证件管理系统的信息完善和持证人员的管理，严格执行持证上岗和资格管理，切实提高了执法人员的执法水平。</w:t>
      </w:r>
    </w:p>
    <w:p w14:paraId="38847BF9">
      <w:pPr>
        <w:keepNext w:val="0"/>
        <w:keepLines w:val="0"/>
        <w:pageBreakBefore w:val="0"/>
        <w:widowControl w:val="0"/>
        <w:numPr>
          <w:ilvl w:val="0"/>
          <w:numId w:val="0"/>
        </w:numPr>
        <w:pBdr>
          <w:bottom w:val="none" w:color="auto" w:sz="0" w:space="21"/>
        </w:pBdr>
        <w:kinsoku/>
        <w:wordWrap/>
        <w:overflowPunct/>
        <w:topLinePunct w:val="0"/>
        <w:autoSpaceDE/>
        <w:autoSpaceDN w:val="0"/>
        <w:bidi w:val="0"/>
        <w:adjustRightInd w:val="0"/>
        <w:snapToGrid w:val="0"/>
        <w:spacing w:line="560" w:lineRule="exact"/>
        <w:ind w:left="0" w:leftChars="0" w:firstLine="619" w:firstLineChars="200"/>
        <w:textAlignment w:val="auto"/>
        <w:rPr>
          <w:rFonts w:hint="eastAsia" w:ascii="仿宋_GB2312" w:hAnsi="仿宋_GB2312" w:eastAsia="仿宋_GB2312" w:cs="仿宋_GB2312"/>
          <w:b w:val="0"/>
          <w:bCs w:val="0"/>
          <w:spacing w:val="-6"/>
          <w:kern w:val="2"/>
          <w:sz w:val="32"/>
          <w:szCs w:val="32"/>
          <w:lang w:val="en-US" w:eastAsia="zh-CN" w:bidi="ar-SA"/>
        </w:rPr>
      </w:pPr>
      <w:r>
        <w:rPr>
          <w:rFonts w:hint="eastAsia" w:ascii="仿宋_GB2312" w:hAnsi="仿宋_GB2312" w:eastAsia="仿宋_GB2312" w:cs="仿宋_GB2312"/>
          <w:b/>
          <w:bCs/>
          <w:spacing w:val="-6"/>
          <w:kern w:val="2"/>
          <w:sz w:val="32"/>
          <w:szCs w:val="32"/>
          <w:lang w:val="en-US" w:eastAsia="zh-CN" w:bidi="ar-SA"/>
        </w:rPr>
        <w:t>2.推行行政执法“三项制度”。</w:t>
      </w:r>
      <w:r>
        <w:rPr>
          <w:rFonts w:hint="eastAsia" w:ascii="仿宋_GB2312" w:hAnsi="仿宋_GB2312" w:eastAsia="仿宋_GB2312" w:cs="仿宋_GB2312"/>
          <w:b w:val="0"/>
          <w:bCs w:val="0"/>
          <w:spacing w:val="-6"/>
          <w:kern w:val="2"/>
          <w:sz w:val="32"/>
          <w:szCs w:val="32"/>
          <w:lang w:val="en-US" w:eastAsia="zh-CN" w:bidi="ar-SA"/>
        </w:rPr>
        <w:t>深入贯彻落实行政执法“三项制度”工作要求，结合工作实际，全面推行行政执法公示制度、执法全过程记录制度、重大执法决定法制审核制度，以促进行政执法公开透明、合法规范为目标，将三项制度的落实作为依法行政的重要抓手，持续稳步推进。</w:t>
      </w:r>
    </w:p>
    <w:p w14:paraId="2895F138">
      <w:pPr>
        <w:keepNext w:val="0"/>
        <w:keepLines w:val="0"/>
        <w:pageBreakBefore w:val="0"/>
        <w:widowControl w:val="0"/>
        <w:numPr>
          <w:ilvl w:val="0"/>
          <w:numId w:val="0"/>
        </w:numPr>
        <w:pBdr>
          <w:bottom w:val="none" w:color="auto" w:sz="0" w:space="21"/>
        </w:pBdr>
        <w:kinsoku/>
        <w:wordWrap/>
        <w:overflowPunct/>
        <w:topLinePunct w:val="0"/>
        <w:autoSpaceDE/>
        <w:autoSpaceDN w:val="0"/>
        <w:bidi w:val="0"/>
        <w:adjustRightInd w:val="0"/>
        <w:snapToGrid w:val="0"/>
        <w:spacing w:line="560" w:lineRule="exact"/>
        <w:ind w:left="0" w:leftChars="0" w:firstLine="619" w:firstLineChars="200"/>
        <w:textAlignment w:val="auto"/>
        <w:rPr>
          <w:rFonts w:hint="eastAsia" w:ascii="仿宋_GB2312" w:hAnsi="仿宋_GB2312" w:eastAsia="仿宋_GB2312" w:cs="仿宋_GB2312"/>
          <w:b w:val="0"/>
          <w:bCs w:val="0"/>
          <w:spacing w:val="-6"/>
          <w:kern w:val="2"/>
          <w:sz w:val="32"/>
          <w:szCs w:val="32"/>
          <w:lang w:val="en-US" w:eastAsia="zh-CN" w:bidi="ar-SA"/>
        </w:rPr>
      </w:pPr>
      <w:r>
        <w:rPr>
          <w:rFonts w:hint="eastAsia" w:ascii="仿宋_GB2312" w:hAnsi="仿宋_GB2312" w:eastAsia="仿宋_GB2312" w:cs="仿宋_GB2312"/>
          <w:b/>
          <w:bCs/>
          <w:spacing w:val="-6"/>
          <w:kern w:val="2"/>
          <w:sz w:val="32"/>
          <w:szCs w:val="32"/>
          <w:lang w:val="en-US" w:eastAsia="zh-CN" w:bidi="ar-SA"/>
        </w:rPr>
        <w:t>3.规范行政裁量权。</w:t>
      </w:r>
      <w:r>
        <w:rPr>
          <w:rFonts w:hint="eastAsia" w:ascii="仿宋_GB2312" w:hAnsi="仿宋_GB2312" w:eastAsia="仿宋_GB2312" w:cs="仿宋_GB2312"/>
          <w:b w:val="0"/>
          <w:bCs w:val="0"/>
          <w:spacing w:val="-6"/>
          <w:kern w:val="2"/>
          <w:sz w:val="32"/>
          <w:szCs w:val="32"/>
          <w:lang w:val="en-US" w:eastAsia="zh-CN" w:bidi="ar-SA"/>
        </w:rPr>
        <w:t>根据职能调整情况，参照河北省商务厅自由裁量权对现有行政处罚自由裁量标准进行了全面梳理。</w:t>
      </w:r>
    </w:p>
    <w:p w14:paraId="3FCCEA8C">
      <w:pPr>
        <w:keepNext w:val="0"/>
        <w:keepLines w:val="0"/>
        <w:pageBreakBefore w:val="0"/>
        <w:widowControl w:val="0"/>
        <w:numPr>
          <w:ilvl w:val="0"/>
          <w:numId w:val="0"/>
        </w:numPr>
        <w:pBdr>
          <w:bottom w:val="none" w:color="auto" w:sz="0" w:space="21"/>
        </w:pBdr>
        <w:kinsoku/>
        <w:wordWrap/>
        <w:overflowPunct/>
        <w:topLinePunct w:val="0"/>
        <w:autoSpaceDE/>
        <w:autoSpaceDN w:val="0"/>
        <w:bidi w:val="0"/>
        <w:adjustRightInd w:val="0"/>
        <w:snapToGrid w:val="0"/>
        <w:spacing w:line="560" w:lineRule="exact"/>
        <w:ind w:left="0" w:leftChars="0" w:firstLine="619" w:firstLineChars="200"/>
        <w:textAlignment w:val="auto"/>
        <w:rPr>
          <w:rFonts w:hint="eastAsia" w:ascii="仿宋_GB2312" w:hAnsi="仿宋_GB2312" w:eastAsia="仿宋_GB2312" w:cs="仿宋_GB2312"/>
          <w:b w:val="0"/>
          <w:bCs w:val="0"/>
          <w:spacing w:val="-6"/>
          <w:kern w:val="2"/>
          <w:sz w:val="32"/>
          <w:szCs w:val="32"/>
          <w:lang w:val="en-US" w:eastAsia="zh-CN" w:bidi="ar-SA"/>
        </w:rPr>
      </w:pPr>
      <w:r>
        <w:rPr>
          <w:rFonts w:hint="eastAsia" w:ascii="仿宋_GB2312" w:hAnsi="仿宋_GB2312" w:eastAsia="仿宋_GB2312" w:cs="仿宋_GB2312"/>
          <w:b/>
          <w:bCs/>
          <w:spacing w:val="-6"/>
          <w:kern w:val="2"/>
          <w:sz w:val="32"/>
          <w:szCs w:val="32"/>
          <w:lang w:val="en-US" w:eastAsia="zh-CN" w:bidi="ar-SA"/>
        </w:rPr>
        <w:t>4.开展行政执法案卷评查。</w:t>
      </w:r>
      <w:r>
        <w:rPr>
          <w:rFonts w:hint="eastAsia" w:ascii="仿宋_GB2312" w:hAnsi="仿宋_GB2312" w:eastAsia="仿宋_GB2312" w:cs="仿宋_GB2312"/>
          <w:b w:val="0"/>
          <w:bCs w:val="0"/>
          <w:spacing w:val="-6"/>
          <w:kern w:val="2"/>
          <w:sz w:val="32"/>
          <w:szCs w:val="32"/>
          <w:lang w:val="en-US" w:eastAsia="zh-CN" w:bidi="ar-SA"/>
        </w:rPr>
        <w:t>按照市司法局的统一部署，组织开展了行政执法案卷评查，通过对案件的全面清理、评查，市商务局2022年至今年无行政许可、行政复议案件，有行政处罚案件3起，新形成案卷3卷，均为行政处罚类，案卷内容规范、材料齐全，评查自查均为优秀。</w:t>
      </w:r>
    </w:p>
    <w:p w14:paraId="79D2D677">
      <w:pPr>
        <w:keepNext w:val="0"/>
        <w:keepLines w:val="0"/>
        <w:pageBreakBefore w:val="0"/>
        <w:widowControl w:val="0"/>
        <w:numPr>
          <w:ilvl w:val="0"/>
          <w:numId w:val="0"/>
        </w:numPr>
        <w:pBdr>
          <w:bottom w:val="none" w:color="auto" w:sz="0" w:space="21"/>
        </w:pBdr>
        <w:kinsoku/>
        <w:wordWrap/>
        <w:overflowPunct/>
        <w:topLinePunct w:val="0"/>
        <w:autoSpaceDE/>
        <w:autoSpaceDN w:val="0"/>
        <w:bidi w:val="0"/>
        <w:adjustRightInd w:val="0"/>
        <w:snapToGrid w:val="0"/>
        <w:spacing w:line="560" w:lineRule="exact"/>
        <w:ind w:left="0" w:leftChars="0" w:firstLine="619" w:firstLineChars="200"/>
        <w:textAlignment w:val="auto"/>
        <w:rPr>
          <w:rFonts w:hint="eastAsia" w:ascii="仿宋_GB2312" w:hAnsi="仿宋_GB2312" w:eastAsia="仿宋_GB2312" w:cs="仿宋_GB2312"/>
          <w:b w:val="0"/>
          <w:bCs w:val="0"/>
          <w:spacing w:val="-6"/>
          <w:kern w:val="2"/>
          <w:sz w:val="32"/>
          <w:szCs w:val="32"/>
          <w:lang w:val="en-US" w:eastAsia="zh-CN" w:bidi="ar-SA"/>
        </w:rPr>
      </w:pPr>
      <w:r>
        <w:rPr>
          <w:rFonts w:hint="eastAsia" w:ascii="仿宋_GB2312" w:hAnsi="仿宋_GB2312" w:eastAsia="仿宋_GB2312" w:cs="仿宋_GB2312"/>
          <w:b/>
          <w:bCs/>
          <w:spacing w:val="-6"/>
          <w:kern w:val="2"/>
          <w:sz w:val="32"/>
          <w:szCs w:val="32"/>
          <w:lang w:val="en-US" w:eastAsia="zh-CN" w:bidi="ar-SA"/>
        </w:rPr>
        <w:t>5.严格落实“入企扫码”制度。</w:t>
      </w:r>
      <w:r>
        <w:rPr>
          <w:rFonts w:hint="eastAsia" w:ascii="仿宋_GB2312" w:hAnsi="仿宋_GB2312" w:eastAsia="仿宋_GB2312" w:cs="仿宋_GB2312"/>
          <w:b w:val="0"/>
          <w:bCs w:val="0"/>
          <w:spacing w:val="-6"/>
          <w:kern w:val="2"/>
          <w:sz w:val="32"/>
          <w:szCs w:val="32"/>
          <w:lang w:val="en-US" w:eastAsia="zh-CN" w:bidi="ar-SA"/>
        </w:rPr>
        <w:t>按市司法局有关要求，制定《晋州市商务局2025年度涉企行政检查计划》及《晋州市商务领域涉企行政检查事项清单》公示于晋州市人民政府网，并严格落实“入企扫码”制度及《行政检查计划》开展涉企检查。</w:t>
      </w:r>
    </w:p>
    <w:p w14:paraId="681A26E4">
      <w:pPr>
        <w:keepNext w:val="0"/>
        <w:keepLines w:val="0"/>
        <w:pageBreakBefore w:val="0"/>
        <w:widowControl w:val="0"/>
        <w:numPr>
          <w:ilvl w:val="0"/>
          <w:numId w:val="0"/>
        </w:numPr>
        <w:pBdr>
          <w:bottom w:val="none" w:color="auto" w:sz="0" w:space="21"/>
        </w:pBdr>
        <w:kinsoku/>
        <w:wordWrap/>
        <w:overflowPunct/>
        <w:topLinePunct w:val="0"/>
        <w:autoSpaceDE/>
        <w:autoSpaceDN w:val="0"/>
        <w:bidi w:val="0"/>
        <w:adjustRightInd w:val="0"/>
        <w:snapToGrid w:val="0"/>
        <w:spacing w:line="560" w:lineRule="exact"/>
        <w:ind w:left="0" w:leftChars="0" w:firstLine="640" w:firstLineChars="200"/>
        <w:textAlignment w:val="auto"/>
        <w:rPr>
          <w:rFonts w:hint="eastAsia" w:ascii="楷体" w:hAnsi="楷体" w:eastAsia="楷体" w:cs="楷体"/>
          <w:color w:val="auto"/>
          <w:sz w:val="32"/>
          <w:szCs w:val="32"/>
          <w:lang w:val="en-US" w:eastAsia="zh-CN"/>
        </w:rPr>
      </w:pPr>
      <w:r>
        <w:rPr>
          <w:rFonts w:hint="eastAsia" w:ascii="楷体" w:hAnsi="楷体" w:eastAsia="楷体" w:cs="楷体"/>
          <w:color w:val="auto"/>
          <w:sz w:val="32"/>
          <w:szCs w:val="32"/>
          <w:lang w:val="en-US" w:eastAsia="zh-CN"/>
        </w:rPr>
        <w:t>（十）创新行政执法方式</w:t>
      </w:r>
    </w:p>
    <w:p w14:paraId="401C6E26">
      <w:pPr>
        <w:keepNext w:val="0"/>
        <w:keepLines w:val="0"/>
        <w:pageBreakBefore w:val="0"/>
        <w:widowControl w:val="0"/>
        <w:numPr>
          <w:ilvl w:val="0"/>
          <w:numId w:val="0"/>
        </w:numPr>
        <w:pBdr>
          <w:bottom w:val="none" w:color="auto" w:sz="0" w:space="21"/>
        </w:pBdr>
        <w:kinsoku/>
        <w:wordWrap/>
        <w:overflowPunct/>
        <w:topLinePunct w:val="0"/>
        <w:autoSpaceDE/>
        <w:autoSpaceDN w:val="0"/>
        <w:bidi w:val="0"/>
        <w:adjustRightInd w:val="0"/>
        <w:snapToGrid w:val="0"/>
        <w:spacing w:line="560" w:lineRule="exact"/>
        <w:ind w:left="0"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进一步</w:t>
      </w:r>
      <w:r>
        <w:rPr>
          <w:rFonts w:hint="eastAsia" w:ascii="仿宋_GB2312" w:hAnsi="仿宋_GB2312" w:eastAsia="仿宋_GB2312" w:cs="仿宋_GB2312"/>
          <w:sz w:val="32"/>
          <w:szCs w:val="32"/>
        </w:rPr>
        <w:t>落实“包容审慎”监管要求，持续推进轻微违法行为包容免罚和不予行政强制措施落地落实。将轻微违法行为包容免罚和不予行政强制措施的适用情形纳入法制审核范围，通过社会监督和内部监督保障包容审慎监管执法理念得到贯彻执行。</w:t>
      </w:r>
    </w:p>
    <w:p w14:paraId="1C054BA0">
      <w:pPr>
        <w:keepNext w:val="0"/>
        <w:keepLines w:val="0"/>
        <w:pageBreakBefore w:val="0"/>
        <w:widowControl w:val="0"/>
        <w:numPr>
          <w:ilvl w:val="0"/>
          <w:numId w:val="0"/>
        </w:numPr>
        <w:pBdr>
          <w:bottom w:val="none" w:color="auto" w:sz="0" w:space="21"/>
        </w:pBdr>
        <w:kinsoku/>
        <w:wordWrap/>
        <w:overflowPunct/>
        <w:topLinePunct w:val="0"/>
        <w:autoSpaceDE/>
        <w:autoSpaceDN w:val="0"/>
        <w:bidi w:val="0"/>
        <w:adjustRightInd w:val="0"/>
        <w:snapToGrid w:val="0"/>
        <w:spacing w:line="560" w:lineRule="exact"/>
        <w:ind w:left="0" w:leftChars="0" w:firstLine="0" w:firstLineChars="0"/>
        <w:textAlignment w:val="auto"/>
        <w:rPr>
          <w:rFonts w:hint="eastAsia" w:ascii="仿宋_GB2312" w:hAnsi="仿宋_GB2312" w:eastAsia="仿宋_GB2312" w:cs="仿宋_GB2312"/>
          <w:i w:val="0"/>
          <w:iCs w:val="0"/>
          <w:caps w:val="0"/>
          <w:color w:val="191919"/>
          <w:spacing w:val="0"/>
          <w:sz w:val="32"/>
          <w:szCs w:val="32"/>
          <w:shd w:val="clear" w:fill="FFFFFF"/>
          <w:lang w:val="en-US" w:eastAsia="zh-CN"/>
        </w:rPr>
      </w:pPr>
      <w:r>
        <w:rPr>
          <w:rFonts w:hint="eastAsia" w:ascii="仿宋_GB2312" w:hAnsi="仿宋_GB2312" w:eastAsia="仿宋_GB2312" w:cs="仿宋_GB2312"/>
          <w:b w:val="0"/>
          <w:bCs w:val="0"/>
          <w:i w:val="0"/>
          <w:iCs w:val="0"/>
          <w:color w:val="000000"/>
          <w:kern w:val="0"/>
          <w:sz w:val="32"/>
          <w:szCs w:val="32"/>
          <w:u w:val="none"/>
          <w:lang w:val="en-US" w:eastAsia="zh-CN" w:bidi="ar"/>
        </w:rPr>
        <w:t>严格落实“谁执法谁普法”普法责任制，</w:t>
      </w:r>
      <w:r>
        <w:rPr>
          <w:rFonts w:hint="eastAsia" w:ascii="仿宋_GB2312" w:hAnsi="仿宋_GB2312" w:eastAsia="仿宋_GB2312" w:cs="仿宋_GB2312"/>
          <w:sz w:val="32"/>
          <w:szCs w:val="32"/>
          <w:lang w:val="en-US" w:eastAsia="zh-CN"/>
        </w:rPr>
        <w:t>以“315消费者权益日”“全国低碳日”“六五环境日”为契机，加强塑料污染治理宣传。加深广大人民群众对塑料污染的认识。</w:t>
      </w:r>
      <w:r>
        <w:rPr>
          <w:rFonts w:hint="eastAsia" w:ascii="仿宋_GB2312" w:hAnsi="仿宋_GB2312" w:eastAsia="仿宋_GB2312" w:cs="仿宋_GB2312"/>
          <w:i w:val="0"/>
          <w:iCs w:val="0"/>
          <w:caps w:val="0"/>
          <w:color w:val="191919"/>
          <w:spacing w:val="0"/>
          <w:sz w:val="32"/>
          <w:szCs w:val="32"/>
          <w:shd w:val="clear" w:fill="FFFFFF"/>
        </w:rPr>
        <w:t>为进一步倡导尊重自然、顺应自然、保护自然理念，积极践行生态文明思想，助力建设</w:t>
      </w:r>
      <w:r>
        <w:rPr>
          <w:rFonts w:hint="eastAsia" w:ascii="仿宋_GB2312" w:hAnsi="仿宋_GB2312" w:eastAsia="仿宋_GB2312" w:cs="仿宋_GB2312"/>
          <w:i w:val="0"/>
          <w:iCs w:val="0"/>
          <w:caps w:val="0"/>
          <w:color w:val="191919"/>
          <w:spacing w:val="0"/>
          <w:sz w:val="32"/>
          <w:szCs w:val="32"/>
          <w:shd w:val="clear" w:fill="FFFFFF"/>
          <w:lang w:val="en-US" w:eastAsia="zh-CN"/>
        </w:rPr>
        <w:t>幸福梨乡、魅力晋州。</w:t>
      </w:r>
    </w:p>
    <w:p w14:paraId="0F0219C0">
      <w:pPr>
        <w:keepNext w:val="0"/>
        <w:keepLines w:val="0"/>
        <w:pageBreakBefore w:val="0"/>
        <w:widowControl w:val="0"/>
        <w:numPr>
          <w:ilvl w:val="0"/>
          <w:numId w:val="0"/>
        </w:numPr>
        <w:pBdr>
          <w:bottom w:val="none" w:color="auto" w:sz="0" w:space="21"/>
        </w:pBdr>
        <w:kinsoku/>
        <w:wordWrap/>
        <w:overflowPunct/>
        <w:topLinePunct w:val="0"/>
        <w:autoSpaceDE/>
        <w:autoSpaceDN w:val="0"/>
        <w:bidi w:val="0"/>
        <w:adjustRightInd w:val="0"/>
        <w:snapToGrid w:val="0"/>
        <w:spacing w:line="560" w:lineRule="exact"/>
        <w:ind w:left="0" w:leftChars="0" w:firstLine="640" w:firstLineChars="200"/>
        <w:textAlignment w:val="auto"/>
        <w:rPr>
          <w:rFonts w:hint="eastAsia" w:ascii="楷体" w:hAnsi="楷体" w:eastAsia="楷体" w:cs="楷体"/>
          <w:i w:val="0"/>
          <w:iCs w:val="0"/>
          <w:caps w:val="0"/>
          <w:color w:val="191919"/>
          <w:spacing w:val="0"/>
          <w:sz w:val="32"/>
          <w:szCs w:val="32"/>
          <w:shd w:val="clear" w:fill="FFFFFF"/>
          <w:lang w:val="en-US" w:eastAsia="zh-CN"/>
        </w:rPr>
      </w:pPr>
      <w:r>
        <w:rPr>
          <w:rFonts w:hint="eastAsia" w:ascii="楷体" w:hAnsi="楷体" w:eastAsia="楷体" w:cs="楷体"/>
          <w:i w:val="0"/>
          <w:iCs w:val="0"/>
          <w:caps w:val="0"/>
          <w:color w:val="191919"/>
          <w:spacing w:val="0"/>
          <w:kern w:val="2"/>
          <w:sz w:val="32"/>
          <w:szCs w:val="32"/>
          <w:shd w:val="clear" w:fill="FFFFFF"/>
          <w:lang w:val="en-US" w:eastAsia="zh-CN" w:bidi="ar-SA"/>
        </w:rPr>
        <w:t>（十一）</w:t>
      </w:r>
      <w:r>
        <w:rPr>
          <w:rFonts w:hint="eastAsia" w:ascii="楷体" w:hAnsi="楷体" w:eastAsia="楷体" w:cs="楷体"/>
          <w:i w:val="0"/>
          <w:iCs w:val="0"/>
          <w:caps w:val="0"/>
          <w:color w:val="191919"/>
          <w:spacing w:val="0"/>
          <w:sz w:val="32"/>
          <w:szCs w:val="32"/>
          <w:shd w:val="clear" w:fill="FFFFFF"/>
          <w:lang w:val="en-US" w:eastAsia="zh-CN"/>
        </w:rPr>
        <w:t>健全行政权力制约和监督体系，形成监督体系</w:t>
      </w:r>
    </w:p>
    <w:p w14:paraId="637EA045">
      <w:pPr>
        <w:keepNext w:val="0"/>
        <w:keepLines w:val="0"/>
        <w:pageBreakBefore w:val="0"/>
        <w:widowControl w:val="0"/>
        <w:numPr>
          <w:ilvl w:val="0"/>
          <w:numId w:val="0"/>
        </w:numPr>
        <w:pBdr>
          <w:bottom w:val="none" w:color="auto" w:sz="0" w:space="21"/>
        </w:pBdr>
        <w:kinsoku/>
        <w:wordWrap/>
        <w:overflowPunct/>
        <w:topLinePunct w:val="0"/>
        <w:autoSpaceDE/>
        <w:autoSpaceDN w:val="0"/>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shd w:val="clear" w:fill="FFFFFF"/>
        </w:rPr>
      </w:pPr>
      <w:r>
        <w:rPr>
          <w:rFonts w:hint="eastAsia" w:ascii="仿宋_GB2312" w:hAnsi="仿宋_GB2312" w:eastAsia="仿宋_GB2312" w:cs="仿宋_GB2312"/>
          <w:color w:val="auto"/>
          <w:sz w:val="32"/>
          <w:szCs w:val="32"/>
          <w:shd w:val="clear" w:fill="FFFFFF"/>
          <w:lang w:val="en-US" w:eastAsia="zh-CN"/>
        </w:rPr>
        <w:t>依照《中华人民共和国行政处罚法》和</w:t>
      </w:r>
      <w:r>
        <w:rPr>
          <w:rFonts w:hint="eastAsia" w:ascii="仿宋_GB2312" w:hAnsi="仿宋_GB2312" w:eastAsia="仿宋_GB2312" w:cs="仿宋_GB2312"/>
          <w:color w:val="auto"/>
          <w:sz w:val="32"/>
          <w:szCs w:val="32"/>
          <w:shd w:val="clear" w:fill="FFFFFF"/>
        </w:rPr>
        <w:t>《</w:t>
      </w:r>
      <w:r>
        <w:rPr>
          <w:rFonts w:hint="eastAsia" w:ascii="仿宋_GB2312" w:hAnsi="仿宋_GB2312" w:eastAsia="仿宋_GB2312" w:cs="仿宋_GB2312"/>
          <w:color w:val="auto"/>
          <w:sz w:val="32"/>
          <w:szCs w:val="32"/>
          <w:shd w:val="clear" w:fill="FFFFFF"/>
          <w:lang w:val="en-US" w:eastAsia="zh-CN"/>
        </w:rPr>
        <w:t>商务部行政处罚实施办法</w:t>
      </w:r>
      <w:r>
        <w:rPr>
          <w:rFonts w:hint="eastAsia" w:ascii="仿宋_GB2312" w:hAnsi="仿宋_GB2312" w:eastAsia="仿宋_GB2312" w:cs="仿宋_GB2312"/>
          <w:color w:val="auto"/>
          <w:sz w:val="32"/>
          <w:szCs w:val="32"/>
          <w:shd w:val="clear" w:fill="FFFFFF"/>
        </w:rPr>
        <w:t>》</w:t>
      </w:r>
      <w:r>
        <w:rPr>
          <w:rFonts w:hint="eastAsia" w:ascii="仿宋_GB2312" w:hAnsi="仿宋_GB2312" w:eastAsia="仿宋_GB2312" w:cs="仿宋_GB2312"/>
          <w:color w:val="auto"/>
          <w:sz w:val="32"/>
          <w:szCs w:val="32"/>
          <w:shd w:val="clear" w:fill="FFFFFF"/>
          <w:lang w:val="en-US" w:eastAsia="zh-CN"/>
        </w:rPr>
        <w:t>及《河北省商务行政处罚自由裁量权细化标准》规定的</w:t>
      </w:r>
      <w:r>
        <w:rPr>
          <w:rFonts w:hint="eastAsia" w:ascii="仿宋_GB2312" w:hAnsi="仿宋_GB2312" w:eastAsia="仿宋_GB2312" w:cs="仿宋_GB2312"/>
          <w:color w:val="auto"/>
          <w:sz w:val="32"/>
          <w:szCs w:val="32"/>
          <w:shd w:val="clear" w:fill="FFFFFF"/>
        </w:rPr>
        <w:t>严格</w:t>
      </w:r>
      <w:r>
        <w:rPr>
          <w:rFonts w:hint="eastAsia" w:ascii="仿宋_GB2312" w:hAnsi="仿宋_GB2312" w:eastAsia="仿宋_GB2312" w:cs="仿宋_GB2312"/>
          <w:color w:val="auto"/>
          <w:sz w:val="32"/>
          <w:szCs w:val="32"/>
          <w:shd w:val="clear" w:fill="FFFFFF"/>
          <w:lang w:val="en-US" w:eastAsia="zh-CN"/>
        </w:rPr>
        <w:t>规范执法程序</w:t>
      </w:r>
      <w:r>
        <w:rPr>
          <w:rFonts w:hint="eastAsia" w:ascii="仿宋_GB2312" w:hAnsi="仿宋_GB2312" w:eastAsia="仿宋_GB2312" w:cs="仿宋_GB2312"/>
          <w:color w:val="auto"/>
          <w:sz w:val="32"/>
          <w:szCs w:val="32"/>
          <w:shd w:val="clear" w:fill="FFFFFF"/>
        </w:rPr>
        <w:t>的实施，确保我局行政处罚案件做到事实认定清楚、证据充分、适用法律依据准确、程序到位，案卷制作规范，文书使用齐全。</w:t>
      </w:r>
    </w:p>
    <w:p w14:paraId="0A7935F3">
      <w:pPr>
        <w:keepNext w:val="0"/>
        <w:keepLines w:val="0"/>
        <w:pageBreakBefore w:val="0"/>
        <w:widowControl w:val="0"/>
        <w:numPr>
          <w:ilvl w:val="0"/>
          <w:numId w:val="0"/>
        </w:numPr>
        <w:pBdr>
          <w:bottom w:val="none" w:color="auto" w:sz="0" w:space="21"/>
        </w:pBdr>
        <w:kinsoku/>
        <w:wordWrap/>
        <w:overflowPunct/>
        <w:topLinePunct w:val="0"/>
        <w:autoSpaceDE/>
        <w:autoSpaceDN w:val="0"/>
        <w:bidi w:val="0"/>
        <w:adjustRightInd w:val="0"/>
        <w:snapToGrid w:val="0"/>
        <w:spacing w:line="560" w:lineRule="exact"/>
        <w:ind w:left="0" w:leftChars="0" w:firstLine="640" w:firstLineChars="200"/>
        <w:textAlignment w:val="auto"/>
        <w:rPr>
          <w:rFonts w:hint="eastAsia" w:ascii="楷体" w:hAnsi="楷体" w:eastAsia="楷体" w:cs="楷体"/>
          <w:i w:val="0"/>
          <w:iCs w:val="0"/>
          <w:color w:val="000000"/>
          <w:kern w:val="0"/>
          <w:sz w:val="32"/>
          <w:szCs w:val="32"/>
          <w:u w:val="none"/>
          <w:lang w:val="en-US" w:eastAsia="zh-CN" w:bidi="ar"/>
        </w:rPr>
      </w:pPr>
      <w:r>
        <w:rPr>
          <w:rFonts w:hint="eastAsia" w:ascii="楷体" w:hAnsi="楷体" w:eastAsia="楷体" w:cs="楷体"/>
          <w:i w:val="0"/>
          <w:iCs w:val="0"/>
          <w:color w:val="000000"/>
          <w:kern w:val="0"/>
          <w:sz w:val="32"/>
          <w:szCs w:val="32"/>
          <w:u w:val="none"/>
          <w:lang w:val="en-US" w:eastAsia="zh-CN" w:bidi="ar"/>
        </w:rPr>
        <w:t>（十二）主动落实政务公开</w:t>
      </w:r>
    </w:p>
    <w:p w14:paraId="4AA5B671">
      <w:pPr>
        <w:pStyle w:val="11"/>
        <w:keepNext w:val="0"/>
        <w:keepLines w:val="0"/>
        <w:pageBreakBefore w:val="0"/>
        <w:widowControl/>
        <w:suppressLineNumbers w:val="0"/>
        <w:shd w:val="clear" w:fill="FFFFFF"/>
        <w:kinsoku/>
        <w:wordWrap w:val="0"/>
        <w:overflowPunct/>
        <w:topLinePunct w:val="0"/>
        <w:autoSpaceDE/>
        <w:autoSpaceDN/>
        <w:bidi w:val="0"/>
        <w:adjustRightInd/>
        <w:snapToGrid/>
        <w:spacing w:before="0" w:beforeAutospacing="0" w:after="0" w:afterAutospacing="0" w:line="560" w:lineRule="exact"/>
        <w:ind w:left="0" w:leftChars="0" w:right="0" w:firstLine="640" w:firstLineChars="200"/>
        <w:textAlignment w:val="auto"/>
        <w:rPr>
          <w:rFonts w:hint="eastAsia" w:ascii="仿宋_GB2312" w:hAnsi="仿宋_GB2312" w:eastAsia="仿宋_GB2312" w:cs="仿宋_GB2312"/>
          <w:b w:val="0"/>
          <w:color w:val="424242"/>
          <w:sz w:val="32"/>
        </w:rPr>
      </w:pPr>
      <w:r>
        <w:rPr>
          <w:rFonts w:hint="eastAsia" w:ascii="仿宋_GB2312" w:hAnsi="仿宋_GB2312" w:eastAsia="仿宋_GB2312" w:cs="仿宋_GB2312"/>
          <w:b w:val="0"/>
          <w:color w:val="333333"/>
          <w:sz w:val="32"/>
          <w:szCs w:val="19"/>
          <w:shd w:val="clear" w:fill="FFFFFF"/>
        </w:rPr>
        <w:t>认真贯彻落实《中华人民共和国政府信息公开条例》，紧紧围绕市委、市政府的政府信息公开工作有关要求，采取多种措施，按照公开、公正、高效、便民的基本要求，结合我局工作的实际，积极推进政府信息公开工作。</w:t>
      </w:r>
    </w:p>
    <w:p w14:paraId="1B3B9DED">
      <w:pPr>
        <w:keepNext w:val="0"/>
        <w:keepLines w:val="0"/>
        <w:pageBreakBefore w:val="0"/>
        <w:numPr>
          <w:ilvl w:val="0"/>
          <w:numId w:val="0"/>
        </w:numPr>
        <w:kinsoku/>
        <w:wordWrap/>
        <w:overflowPunct/>
        <w:topLinePunct w:val="0"/>
        <w:autoSpaceDE/>
        <w:autoSpaceDN/>
        <w:bidi w:val="0"/>
        <w:adjustRightInd/>
        <w:snapToGrid/>
        <w:spacing w:line="560" w:lineRule="exact"/>
        <w:ind w:leftChars="0" w:firstLine="640" w:firstLineChars="200"/>
        <w:jc w:val="left"/>
        <w:textAlignment w:val="auto"/>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（十三）推进政务诚信建设</w:t>
      </w:r>
    </w:p>
    <w:p w14:paraId="751BB62C">
      <w:pPr>
        <w:keepNext w:val="0"/>
        <w:keepLines w:val="0"/>
        <w:pageBreakBefore w:val="0"/>
        <w:numPr>
          <w:ilvl w:val="0"/>
          <w:numId w:val="0"/>
        </w:numPr>
        <w:kinsoku/>
        <w:wordWrap/>
        <w:overflowPunct/>
        <w:topLinePunct w:val="0"/>
        <w:autoSpaceDE/>
        <w:autoSpaceDN/>
        <w:bidi w:val="0"/>
        <w:adjustRightInd/>
        <w:snapToGrid/>
        <w:spacing w:line="560" w:lineRule="exact"/>
        <w:ind w:lef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严格落实《河北省社会信用信息条例》，健全守信践诺机制，</w:t>
      </w:r>
      <w:r>
        <w:rPr>
          <w:rFonts w:hint="eastAsia" w:ascii="仿宋_GB2312" w:hAnsi="仿宋_GB2312" w:eastAsia="仿宋_GB2312" w:cs="仿宋_GB2312"/>
          <w:sz w:val="32"/>
          <w:szCs w:val="32"/>
        </w:rPr>
        <w:t>将诚信建设具体举措纳入测评体系和考核标准中，把信用信息核查使用嵌入业务流程，对诚实守信者实施“绿色通道”，减少日常监管频次；对于诚信缺失个人及企业将从严审查，对已落户企业，将通过限制申请政府性资金等方法，提高守信收益和失信代价。</w:t>
      </w:r>
    </w:p>
    <w:p w14:paraId="1DFACA5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textAlignment w:val="auto"/>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（十四）加强党对法治政府建设的领导</w:t>
      </w:r>
    </w:p>
    <w:p w14:paraId="79C84C18">
      <w:pPr>
        <w:pStyle w:val="11"/>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Chars="0" w:right="0" w:firstLine="643" w:firstLineChars="200"/>
        <w:jc w:val="both"/>
        <w:textAlignment w:val="auto"/>
        <w:rPr>
          <w:rFonts w:hint="default" w:ascii="黑体" w:hAnsi="黑体" w:eastAsia="黑体" w:cs="黑体"/>
          <w:color w:val="auto"/>
          <w:sz w:val="32"/>
          <w:szCs w:val="32"/>
          <w:lang w:val="en-US" w:eastAsia="zh-CN"/>
        </w:rPr>
      </w:pPr>
      <w:r>
        <w:rPr>
          <w:rFonts w:hint="eastAsia" w:ascii="仿宋_GB2312" w:hAnsi="仿宋_GB2312" w:eastAsia="仿宋_GB2312" w:cs="仿宋_GB2312"/>
          <w:b/>
          <w:bCs/>
          <w:color w:val="auto"/>
          <w:sz w:val="32"/>
          <w:szCs w:val="32"/>
          <w:lang w:val="en-US" w:eastAsia="zh-CN"/>
        </w:rPr>
        <w:t>1.认真落实党政主要负责人履行推进法治建设第一责任人职责。</w:t>
      </w:r>
      <w:r>
        <w:rPr>
          <w:rFonts w:hint="eastAsia" w:ascii="仿宋_GB2312" w:hAnsi="仿宋_GB2312" w:eastAsia="仿宋_GB2312" w:cs="仿宋_GB2312"/>
          <w:color w:val="auto"/>
          <w:sz w:val="32"/>
          <w:szCs w:val="32"/>
          <w:lang w:val="en-US" w:eastAsia="zh-CN"/>
        </w:rPr>
        <w:t>成立以党组书记崔显同志为组长的法治建设领导小组，</w:t>
      </w:r>
      <w:r>
        <w:rPr>
          <w:rFonts w:hint="eastAsia" w:ascii="仿宋_GB2312" w:hAnsi="仿宋_GB2312" w:eastAsia="仿宋_GB2312" w:cs="仿宋_GB2312"/>
          <w:color w:val="auto"/>
          <w:kern w:val="0"/>
          <w:sz w:val="32"/>
          <w:szCs w:val="32"/>
          <w:lang w:val="en-US" w:eastAsia="zh-CN" w:bidi="ar"/>
        </w:rPr>
        <w:t>提高政治站位，加强组织领导，</w:t>
      </w:r>
      <w:r>
        <w:rPr>
          <w:rFonts w:hint="eastAsia" w:ascii="仿宋" w:hAnsi="仿宋" w:eastAsia="仿宋" w:cs="仿宋"/>
          <w:color w:val="auto"/>
          <w:kern w:val="0"/>
          <w:sz w:val="32"/>
          <w:szCs w:val="32"/>
          <w:lang w:bidi="ar"/>
        </w:rPr>
        <w:t>将法治政府建设纳入地区发展总体规划和年度工作计划，</w:t>
      </w:r>
      <w:r>
        <w:rPr>
          <w:rFonts w:hint="eastAsia" w:ascii="仿宋_GB2312" w:hAnsi="仿宋_GB2312" w:eastAsia="仿宋_GB2312" w:cs="仿宋_GB2312"/>
          <w:color w:val="auto"/>
          <w:kern w:val="0"/>
          <w:sz w:val="32"/>
          <w:szCs w:val="32"/>
          <w:lang w:val="en-US" w:eastAsia="zh-CN" w:bidi="ar"/>
        </w:rPr>
        <w:t>充分认识法治政府建设重大意义，强化开展法治政府建设落实，</w:t>
      </w:r>
      <w:r>
        <w:rPr>
          <w:rFonts w:hint="eastAsia" w:ascii="仿宋_GB2312" w:hAnsi="仿宋_GB2312" w:eastAsia="仿宋_GB2312" w:cs="仿宋_GB2312"/>
          <w:i w:val="0"/>
          <w:iCs w:val="0"/>
          <w:caps w:val="0"/>
          <w:color w:val="auto"/>
          <w:spacing w:val="0"/>
          <w:sz w:val="32"/>
          <w:szCs w:val="32"/>
          <w:shd w:val="clear" w:fill="FFFFFF"/>
        </w:rPr>
        <w:t>在集体学习过程中，带头授课，带头讲内容、做笔记、谈体会。注重学习和掌握经济、法律、社会管理方面的知识，认真研读</w:t>
      </w:r>
      <w:r>
        <w:rPr>
          <w:rFonts w:hint="eastAsia" w:ascii="仿宋_GB2312" w:hAnsi="仿宋_GB2312" w:eastAsia="仿宋_GB2312" w:cs="仿宋_GB2312"/>
          <w:i w:val="0"/>
          <w:iCs w:val="0"/>
          <w:caps w:val="0"/>
          <w:color w:val="auto"/>
          <w:spacing w:val="0"/>
          <w:sz w:val="32"/>
          <w:szCs w:val="32"/>
          <w:shd w:val="clear" w:fill="FFFFFF"/>
          <w:lang w:val="en-US" w:eastAsia="zh-CN"/>
        </w:rPr>
        <w:t>习近平新时代中国特色社会主义思想</w:t>
      </w:r>
      <w:r>
        <w:rPr>
          <w:rFonts w:hint="eastAsia" w:ascii="仿宋_GB2312" w:hAnsi="仿宋_GB2312" w:eastAsia="仿宋_GB2312" w:cs="仿宋_GB2312"/>
          <w:i w:val="0"/>
          <w:iCs w:val="0"/>
          <w:caps w:val="0"/>
          <w:color w:val="auto"/>
          <w:spacing w:val="0"/>
          <w:sz w:val="32"/>
          <w:szCs w:val="32"/>
          <w:shd w:val="clear" w:fill="FFFFFF"/>
        </w:rPr>
        <w:t>方面的学习读本，不断提高政策理论水平和分析问题、解决问题的能力。</w:t>
      </w:r>
      <w:r>
        <w:rPr>
          <w:rFonts w:hint="eastAsia" w:ascii="仿宋_GB2312" w:hAnsi="仿宋_GB2312" w:eastAsia="仿宋_GB2312" w:cs="仿宋_GB2312"/>
          <w:color w:val="auto"/>
          <w:kern w:val="0"/>
          <w:sz w:val="32"/>
          <w:szCs w:val="32"/>
          <w:lang w:val="en-US" w:eastAsia="zh-CN" w:bidi="ar"/>
        </w:rPr>
        <w:t>在市委、市政府的领导下，将法治政府建设放在工作全局重要位置，谋划和落实好法治政府建设的各项任务。</w:t>
      </w:r>
    </w:p>
    <w:p w14:paraId="650B57CC">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Chars="0" w:right="0" w:firstLine="643" w:firstLineChars="200"/>
        <w:jc w:val="both"/>
        <w:textAlignment w:val="auto"/>
        <w:rPr>
          <w:rFonts w:hint="eastAsia" w:ascii="楷体" w:hAnsi="楷体" w:eastAsia="楷体" w:cs="楷体"/>
          <w:color w:val="auto"/>
          <w:sz w:val="32"/>
          <w:szCs w:val="32"/>
          <w:lang w:val="en-US" w:eastAsia="zh-CN"/>
        </w:rPr>
      </w:pPr>
      <w:r>
        <w:rPr>
          <w:rFonts w:hint="eastAsia" w:ascii="仿宋_GB2312" w:hAnsi="仿宋_GB2312" w:eastAsia="仿宋_GB2312" w:cs="仿宋_GB2312"/>
          <w:b/>
          <w:bCs/>
          <w:color w:val="auto"/>
          <w:sz w:val="32"/>
          <w:szCs w:val="32"/>
          <w:lang w:val="en-US" w:eastAsia="zh-CN"/>
        </w:rPr>
        <w:t>2.</w:t>
      </w:r>
      <w:r>
        <w:rPr>
          <w:rFonts w:hint="eastAsia" w:ascii="仿宋_GB2312" w:hAnsi="仿宋_GB2312" w:eastAsia="仿宋_GB2312" w:cs="仿宋_GB2312"/>
          <w:b/>
          <w:bCs/>
          <w:color w:val="auto"/>
          <w:sz w:val="32"/>
          <w:szCs w:val="32"/>
        </w:rPr>
        <w:t>加强商务系统干部职工法</w:t>
      </w:r>
      <w:r>
        <w:rPr>
          <w:rFonts w:hint="eastAsia" w:ascii="仿宋_GB2312" w:hAnsi="仿宋_GB2312" w:eastAsia="仿宋_GB2312" w:cs="仿宋_GB2312"/>
          <w:b/>
          <w:bCs/>
          <w:color w:val="auto"/>
          <w:sz w:val="32"/>
          <w:szCs w:val="32"/>
          <w:lang w:val="en-US" w:eastAsia="zh-CN"/>
        </w:rPr>
        <w:t>治</w:t>
      </w:r>
      <w:r>
        <w:rPr>
          <w:rFonts w:hint="eastAsia" w:ascii="仿宋_GB2312" w:hAnsi="仿宋_GB2312" w:eastAsia="仿宋_GB2312" w:cs="仿宋_GB2312"/>
          <w:b/>
          <w:bCs/>
          <w:color w:val="auto"/>
          <w:sz w:val="32"/>
          <w:szCs w:val="32"/>
        </w:rPr>
        <w:t>教育工作</w:t>
      </w:r>
      <w:r>
        <w:rPr>
          <w:rFonts w:hint="eastAsia" w:ascii="仿宋_GB2312" w:hAnsi="仿宋_GB2312" w:eastAsia="仿宋_GB2312" w:cs="仿宋_GB2312"/>
          <w:b/>
          <w:bCs/>
          <w:color w:val="auto"/>
          <w:sz w:val="32"/>
          <w:szCs w:val="32"/>
          <w:lang w:eastAsia="zh-CN"/>
        </w:rPr>
        <w:t>。</w:t>
      </w:r>
      <w:r>
        <w:rPr>
          <w:rFonts w:hint="eastAsia" w:ascii="仿宋_GB2312" w:hAnsi="仿宋_GB2312" w:eastAsia="仿宋_GB2312" w:cs="仿宋_GB2312"/>
          <w:b w:val="0"/>
          <w:bCs w:val="0"/>
          <w:i w:val="0"/>
          <w:iCs w:val="0"/>
          <w:color w:val="auto"/>
          <w:kern w:val="0"/>
          <w:sz w:val="32"/>
          <w:szCs w:val="32"/>
          <w:u w:val="none"/>
          <w:lang w:val="en-US" w:eastAsia="zh-CN" w:bidi="ar"/>
        </w:rPr>
        <w:t>行政机关负责人带头遵守执行宪法法律，积极参加河北干部宪法法律知识考试，</w:t>
      </w:r>
      <w:r>
        <w:rPr>
          <w:rFonts w:hint="eastAsia" w:ascii="仿宋_GB2312" w:hAnsi="仿宋_GB2312" w:eastAsia="仿宋_GB2312" w:cs="仿宋_GB2312"/>
          <w:i w:val="0"/>
          <w:iCs w:val="0"/>
          <w:color w:val="auto"/>
          <w:kern w:val="0"/>
          <w:sz w:val="32"/>
          <w:szCs w:val="32"/>
          <w:u w:val="none"/>
          <w:lang w:val="en-US" w:eastAsia="zh-CN" w:bidi="ar"/>
        </w:rPr>
        <w:t>并以优异的成绩完成结业考试。积极参加</w:t>
      </w:r>
      <w:r>
        <w:rPr>
          <w:rFonts w:hint="eastAsia" w:ascii="仿宋_GB2312" w:hAnsi="仿宋_GB2312" w:eastAsia="仿宋_GB2312" w:cs="仿宋_GB2312"/>
          <w:sz w:val="32"/>
          <w:szCs w:val="32"/>
          <w:lang w:val="en-US" w:eastAsia="zh-CN"/>
        </w:rPr>
        <w:t>学习贯彻习近平法治思想强化行政执法能力建设专题培训班，深入学习践行习近平法治思想努力开创新时代全面依法治国新局面、深入学习贯彻习近平法治思想全面推进新时代法治政府建设、维护国家法治统一确保法律法规正确实施、强化执法监督扎实推进规范涉企执法专项行动、当前行政审判若干领域法律适用问题分析、从行政复议看行政执法常见问题、数字时代的法治政府建设等</w:t>
      </w:r>
      <w:r>
        <w:rPr>
          <w:rFonts w:hint="eastAsia" w:ascii="仿宋_GB2312" w:hAnsi="仿宋_GB2312" w:eastAsia="仿宋_GB2312" w:cs="仿宋_GB2312"/>
          <w:i w:val="0"/>
          <w:iCs w:val="0"/>
          <w:caps w:val="0"/>
          <w:color w:val="auto"/>
          <w:spacing w:val="0"/>
          <w:sz w:val="32"/>
          <w:szCs w:val="32"/>
          <w:shd w:val="clear" w:fill="FFFFFF"/>
        </w:rPr>
        <w:t>。</w:t>
      </w:r>
    </w:p>
    <w:p w14:paraId="577539E3">
      <w:pPr>
        <w:keepNext w:val="0"/>
        <w:keepLines w:val="0"/>
        <w:pageBreakBefore w:val="0"/>
        <w:numPr>
          <w:ilvl w:val="0"/>
          <w:numId w:val="0"/>
        </w:numPr>
        <w:kinsoku/>
        <w:wordWrap/>
        <w:overflowPunct/>
        <w:topLinePunct w:val="0"/>
        <w:autoSpaceDE/>
        <w:autoSpaceDN/>
        <w:bidi w:val="0"/>
        <w:adjustRightInd w:val="0"/>
        <w:snapToGrid/>
        <w:spacing w:line="560" w:lineRule="exact"/>
        <w:ind w:leftChars="0" w:firstLine="640" w:firstLineChars="200"/>
        <w:textAlignment w:val="auto"/>
        <w:rPr>
          <w:rFonts w:hint="eastAsia" w:ascii="楷体" w:hAnsi="楷体" w:eastAsia="楷体" w:cs="楷体"/>
          <w:b w:val="0"/>
          <w:bCs w:val="0"/>
          <w:i w:val="0"/>
          <w:iCs w:val="0"/>
          <w:color w:val="auto"/>
          <w:kern w:val="0"/>
          <w:sz w:val="32"/>
          <w:szCs w:val="32"/>
          <w:u w:val="none"/>
          <w:lang w:val="en-US" w:eastAsia="zh-CN" w:bidi="ar"/>
        </w:rPr>
      </w:pPr>
      <w:r>
        <w:rPr>
          <w:rFonts w:hint="eastAsia" w:ascii="楷体" w:hAnsi="楷体" w:eastAsia="楷体" w:cs="楷体"/>
          <w:b w:val="0"/>
          <w:bCs w:val="0"/>
          <w:i w:val="0"/>
          <w:iCs w:val="0"/>
          <w:color w:val="auto"/>
          <w:kern w:val="0"/>
          <w:sz w:val="32"/>
          <w:szCs w:val="32"/>
          <w:u w:val="none"/>
          <w:lang w:val="en-US" w:eastAsia="zh-CN" w:bidi="ar"/>
        </w:rPr>
        <w:t>（十五）全面加强依法行政能力建设</w:t>
      </w:r>
    </w:p>
    <w:p w14:paraId="6DB88DBC">
      <w:pPr>
        <w:keepNext w:val="0"/>
        <w:keepLines w:val="0"/>
        <w:pageBreakBefore w:val="0"/>
        <w:numPr>
          <w:ilvl w:val="0"/>
          <w:numId w:val="0"/>
        </w:numPr>
        <w:kinsoku/>
        <w:wordWrap/>
        <w:overflowPunct/>
        <w:topLinePunct w:val="0"/>
        <w:autoSpaceDE/>
        <w:autoSpaceDN/>
        <w:bidi w:val="0"/>
        <w:adjustRightInd w:val="0"/>
        <w:snapToGrid/>
        <w:spacing w:line="560" w:lineRule="exact"/>
        <w:ind w:leftChars="0" w:firstLine="643" w:firstLineChars="200"/>
        <w:textAlignment w:val="auto"/>
        <w:rPr>
          <w:rFonts w:hint="default" w:ascii="黑体" w:hAnsi="黑体" w:eastAsia="仿宋_GB2312" w:cs="黑体"/>
          <w:color w:val="FF0000"/>
          <w:sz w:val="32"/>
          <w:szCs w:val="32"/>
          <w:lang w:val="en-US" w:eastAsia="zh-CN"/>
        </w:rPr>
      </w:pPr>
      <w:r>
        <w:rPr>
          <w:rFonts w:hint="eastAsia" w:ascii="仿宋_GB2312" w:hAnsi="仿宋_GB2312" w:eastAsia="仿宋_GB2312" w:cs="仿宋_GB2312"/>
          <w:b/>
          <w:bCs/>
          <w:i w:val="0"/>
          <w:iCs w:val="0"/>
          <w:color w:val="auto"/>
          <w:kern w:val="0"/>
          <w:sz w:val="32"/>
          <w:szCs w:val="32"/>
          <w:u w:val="none"/>
          <w:lang w:val="en-US" w:eastAsia="zh-CN" w:bidi="ar"/>
        </w:rPr>
        <w:t>1.建立健全部门领导班子会议会前学法、领导干部依法行政等领导干部学法制度。</w:t>
      </w:r>
      <w:r>
        <w:rPr>
          <w:rFonts w:hint="eastAsia" w:ascii="仿宋_GB2312" w:hAnsi="仿宋_GB2312" w:eastAsia="仿宋_GB2312" w:cs="仿宋_GB2312"/>
          <w:i w:val="0"/>
          <w:iCs w:val="0"/>
          <w:caps w:val="0"/>
          <w:color w:val="auto"/>
          <w:spacing w:val="0"/>
          <w:sz w:val="32"/>
          <w:szCs w:val="32"/>
          <w:shd w:val="clear" w:fill="FFFFFF"/>
        </w:rPr>
        <w:t>加强领导班子</w:t>
      </w:r>
      <w:r>
        <w:rPr>
          <w:rFonts w:hint="eastAsia" w:ascii="仿宋_GB2312" w:hAnsi="仿宋_GB2312" w:eastAsia="仿宋_GB2312" w:cs="仿宋_GB2312"/>
          <w:i w:val="0"/>
          <w:iCs w:val="0"/>
          <w:caps w:val="0"/>
          <w:color w:val="auto"/>
          <w:spacing w:val="0"/>
          <w:sz w:val="32"/>
          <w:szCs w:val="32"/>
          <w:shd w:val="clear" w:fill="FFFFFF"/>
          <w:lang w:val="en-US" w:eastAsia="zh-CN"/>
        </w:rPr>
        <w:t>法治</w:t>
      </w:r>
      <w:r>
        <w:rPr>
          <w:rFonts w:hint="eastAsia" w:ascii="仿宋_GB2312" w:hAnsi="仿宋_GB2312" w:eastAsia="仿宋_GB2312" w:cs="仿宋_GB2312"/>
          <w:i w:val="0"/>
          <w:iCs w:val="0"/>
          <w:caps w:val="0"/>
          <w:color w:val="auto"/>
          <w:spacing w:val="0"/>
          <w:sz w:val="32"/>
          <w:szCs w:val="32"/>
          <w:shd w:val="clear" w:fill="FFFFFF"/>
        </w:rPr>
        <w:t>思想政治建设，不断提高执行力、战斗力和创造力。</w:t>
      </w:r>
      <w:r>
        <w:rPr>
          <w:rFonts w:hint="eastAsia" w:ascii="仿宋_GB2312" w:hAnsi="仿宋_GB2312" w:eastAsia="仿宋_GB2312" w:cs="仿宋_GB2312"/>
          <w:i w:val="0"/>
          <w:iCs w:val="0"/>
          <w:color w:val="auto"/>
          <w:kern w:val="0"/>
          <w:sz w:val="32"/>
          <w:szCs w:val="32"/>
          <w:u w:val="none"/>
          <w:lang w:val="en-US" w:eastAsia="zh-CN" w:bidi="ar"/>
        </w:rPr>
        <w:t>制定我局《党组理论学习中心组学习制度》，</w:t>
      </w:r>
      <w:r>
        <w:rPr>
          <w:rFonts w:hint="eastAsia" w:ascii="仿宋_GB2312" w:hAnsi="仿宋_GB2312" w:eastAsia="仿宋_GB2312" w:cs="仿宋_GB2312"/>
          <w:color w:val="auto"/>
          <w:sz w:val="32"/>
          <w:szCs w:val="32"/>
          <w:lang w:val="en-US" w:eastAsia="zh-CN"/>
        </w:rPr>
        <w:t>深入学习贯彻习近平新时代中国特色社会主义思想，落实《中国共产党党委（党组）理论学习中心组学习规则》，</w:t>
      </w:r>
      <w:r>
        <w:rPr>
          <w:rFonts w:hint="eastAsia" w:ascii="仿宋_GB2312" w:hAnsi="仿宋_GB2312" w:eastAsia="仿宋_GB2312" w:cs="仿宋_GB2312"/>
          <w:color w:val="auto"/>
          <w:sz w:val="32"/>
          <w:szCs w:val="32"/>
        </w:rPr>
        <w:t>按照</w:t>
      </w:r>
      <w:r>
        <w:rPr>
          <w:rFonts w:hint="eastAsia" w:ascii="仿宋_GB2312" w:hAnsi="仿宋_GB2312" w:eastAsia="仿宋_GB2312" w:cs="仿宋_GB2312"/>
          <w:color w:val="auto"/>
          <w:sz w:val="32"/>
          <w:szCs w:val="32"/>
          <w:lang w:val="en-US" w:eastAsia="zh-CN"/>
        </w:rPr>
        <w:t>中共晋州市委</w:t>
      </w:r>
      <w:r>
        <w:rPr>
          <w:rFonts w:hint="eastAsia" w:ascii="仿宋_GB2312" w:hAnsi="仿宋_GB2312" w:eastAsia="仿宋_GB2312" w:cs="仿宋_GB2312"/>
          <w:color w:val="auto"/>
          <w:sz w:val="32"/>
          <w:szCs w:val="32"/>
        </w:rPr>
        <w:t>宣传部、</w:t>
      </w:r>
      <w:r>
        <w:rPr>
          <w:rFonts w:hint="eastAsia" w:ascii="仿宋_GB2312" w:hAnsi="仿宋_GB2312" w:eastAsia="仿宋_GB2312" w:cs="仿宋_GB2312"/>
          <w:color w:val="auto"/>
          <w:sz w:val="32"/>
          <w:szCs w:val="32"/>
          <w:lang w:val="en-US" w:eastAsia="zh-CN"/>
        </w:rPr>
        <w:t>中共晋州市</w:t>
      </w:r>
      <w:r>
        <w:rPr>
          <w:rFonts w:hint="eastAsia" w:ascii="仿宋_GB2312" w:hAnsi="仿宋_GB2312" w:eastAsia="仿宋_GB2312" w:cs="仿宋_GB2312"/>
          <w:color w:val="auto"/>
          <w:sz w:val="32"/>
          <w:szCs w:val="32"/>
        </w:rPr>
        <w:t>委组织部</w:t>
      </w:r>
      <w:r>
        <w:rPr>
          <w:rFonts w:hint="eastAsia" w:ascii="仿宋_GB2312" w:hAnsi="仿宋_GB2312" w:eastAsia="仿宋_GB2312" w:cs="仿宋_GB2312"/>
          <w:color w:val="auto"/>
          <w:sz w:val="32"/>
          <w:szCs w:val="32"/>
          <w:lang w:val="en-US" w:eastAsia="zh-CN"/>
        </w:rPr>
        <w:t>关于印发</w:t>
      </w:r>
      <w:r>
        <w:rPr>
          <w:rFonts w:hint="eastAsia" w:ascii="仿宋_GB2312" w:hAnsi="仿宋_GB2312" w:eastAsia="仿宋_GB2312" w:cs="仿宋_GB2312"/>
          <w:color w:val="auto"/>
          <w:sz w:val="32"/>
          <w:szCs w:val="32"/>
        </w:rPr>
        <w:t>《202</w:t>
      </w:r>
      <w:r>
        <w:rPr>
          <w:rFonts w:hint="eastAsia" w:ascii="仿宋_GB2312" w:hAnsi="仿宋_GB2312" w:eastAsia="仿宋_GB2312" w:cs="仿宋_GB2312"/>
          <w:color w:val="auto"/>
          <w:sz w:val="32"/>
          <w:szCs w:val="32"/>
          <w:lang w:val="en-US" w:eastAsia="zh-CN"/>
        </w:rPr>
        <w:t>5</w:t>
      </w:r>
      <w:r>
        <w:rPr>
          <w:rFonts w:hint="eastAsia" w:ascii="仿宋_GB2312" w:hAnsi="仿宋_GB2312" w:eastAsia="仿宋_GB2312" w:cs="仿宋_GB2312"/>
          <w:color w:val="auto"/>
          <w:sz w:val="32"/>
          <w:szCs w:val="32"/>
        </w:rPr>
        <w:t>年全</w:t>
      </w:r>
      <w:r>
        <w:rPr>
          <w:rFonts w:hint="eastAsia" w:ascii="仿宋_GB2312" w:hAnsi="仿宋_GB2312" w:eastAsia="仿宋_GB2312" w:cs="仿宋_GB2312"/>
          <w:color w:val="auto"/>
          <w:sz w:val="32"/>
          <w:szCs w:val="32"/>
          <w:lang w:val="en-US" w:eastAsia="zh-CN"/>
        </w:rPr>
        <w:t>市</w:t>
      </w:r>
      <w:r>
        <w:rPr>
          <w:rFonts w:hint="eastAsia" w:ascii="仿宋_GB2312" w:hAnsi="仿宋_GB2312" w:eastAsia="仿宋_GB2312" w:cs="仿宋_GB2312"/>
          <w:color w:val="auto"/>
          <w:sz w:val="32"/>
          <w:szCs w:val="32"/>
        </w:rPr>
        <w:t>各级党委</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党组</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理论学习中心组专题学习重点内容安排》</w:t>
      </w:r>
      <w:r>
        <w:rPr>
          <w:rFonts w:hint="eastAsia" w:ascii="仿宋_GB2312" w:hAnsi="仿宋_GB2312" w:eastAsia="仿宋_GB2312" w:cs="仿宋_GB2312"/>
          <w:color w:val="auto"/>
          <w:sz w:val="32"/>
          <w:szCs w:val="32"/>
          <w:lang w:eastAsia="zh-CN"/>
        </w:rPr>
        <w:t>的</w:t>
      </w:r>
      <w:r>
        <w:rPr>
          <w:rFonts w:hint="eastAsia" w:ascii="仿宋_GB2312" w:hAnsi="仿宋_GB2312" w:eastAsia="仿宋_GB2312" w:cs="仿宋_GB2312"/>
          <w:color w:val="auto"/>
          <w:sz w:val="32"/>
          <w:szCs w:val="32"/>
          <w:lang w:val="en-US" w:eastAsia="zh-CN"/>
        </w:rPr>
        <w:t>通知</w:t>
      </w:r>
      <w:r>
        <w:rPr>
          <w:rFonts w:hint="eastAsia" w:ascii="仿宋_GB2312" w:hAnsi="仿宋_GB2312" w:eastAsia="仿宋_GB2312" w:cs="仿宋_GB2312"/>
          <w:color w:val="auto"/>
          <w:sz w:val="32"/>
          <w:szCs w:val="32"/>
        </w:rPr>
        <w:t>精神，结合我</w:t>
      </w:r>
      <w:r>
        <w:rPr>
          <w:rFonts w:hint="eastAsia" w:ascii="仿宋_GB2312" w:hAnsi="仿宋_GB2312" w:eastAsia="仿宋_GB2312" w:cs="仿宋_GB2312"/>
          <w:color w:val="auto"/>
          <w:sz w:val="32"/>
          <w:szCs w:val="32"/>
          <w:lang w:val="en-US" w:eastAsia="zh-CN"/>
        </w:rPr>
        <w:t>局</w:t>
      </w:r>
      <w:r>
        <w:rPr>
          <w:rFonts w:hint="eastAsia" w:ascii="仿宋_GB2312" w:hAnsi="仿宋_GB2312" w:eastAsia="仿宋_GB2312" w:cs="仿宋_GB2312"/>
          <w:color w:val="auto"/>
          <w:sz w:val="32"/>
          <w:szCs w:val="32"/>
        </w:rPr>
        <w:t>实际，</w:t>
      </w:r>
      <w:r>
        <w:rPr>
          <w:rFonts w:hint="eastAsia" w:ascii="仿宋_GB2312" w:hAnsi="仿宋_GB2312" w:eastAsia="仿宋_GB2312" w:cs="仿宋_GB2312"/>
          <w:color w:val="auto"/>
          <w:sz w:val="32"/>
          <w:szCs w:val="32"/>
          <w:lang w:val="en-US" w:eastAsia="zh-CN"/>
        </w:rPr>
        <w:t>组织领导班子和年轻干部开展学习。</w:t>
      </w:r>
    </w:p>
    <w:p w14:paraId="6DD84614">
      <w:pPr>
        <w:keepNext w:val="0"/>
        <w:keepLines w:val="0"/>
        <w:pageBreakBefore w:val="0"/>
        <w:kinsoku/>
        <w:overflowPunct/>
        <w:topLinePunct w:val="0"/>
        <w:autoSpaceDE/>
        <w:autoSpaceDN/>
        <w:bidi w:val="0"/>
        <w:snapToGrid/>
        <w:spacing w:line="560" w:lineRule="exact"/>
        <w:ind w:leftChars="0"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color w:val="auto"/>
          <w:sz w:val="32"/>
          <w:szCs w:val="32"/>
          <w:lang w:val="en-US" w:eastAsia="zh-CN"/>
        </w:rPr>
        <w:t>2.</w:t>
      </w:r>
      <w:r>
        <w:rPr>
          <w:rFonts w:hint="eastAsia" w:ascii="仿宋_GB2312" w:hAnsi="仿宋_GB2312" w:eastAsia="仿宋_GB2312" w:cs="仿宋_GB2312"/>
          <w:b/>
          <w:bCs/>
          <w:color w:val="auto"/>
          <w:sz w:val="32"/>
          <w:szCs w:val="32"/>
        </w:rPr>
        <w:t>加强法治宣传教育，</w:t>
      </w:r>
      <w:r>
        <w:rPr>
          <w:rFonts w:hint="eastAsia" w:ascii="仿宋_GB2312" w:hAnsi="仿宋_GB2312" w:eastAsia="仿宋_GB2312" w:cs="仿宋_GB2312"/>
          <w:b/>
          <w:bCs/>
          <w:color w:val="auto"/>
          <w:sz w:val="32"/>
          <w:szCs w:val="32"/>
          <w:lang w:val="en-US" w:eastAsia="zh-CN"/>
        </w:rPr>
        <w:t>培养新时代高素质法治人才。</w:t>
      </w:r>
      <w:r>
        <w:rPr>
          <w:rFonts w:hint="eastAsia" w:ascii="仿宋_GB2312" w:hAnsi="仿宋_GB2312" w:eastAsia="仿宋_GB2312" w:cs="仿宋_GB2312"/>
          <w:sz w:val="32"/>
          <w:szCs w:val="32"/>
        </w:rPr>
        <w:t>深入学习贯彻习近平法治思想，不断提高商务领域工作法治化水平。严格落实“谁执法谁普法”普法责任制，</w:t>
      </w:r>
      <w:r>
        <w:rPr>
          <w:rFonts w:hint="eastAsia" w:ascii="仿宋_GB2312" w:hAnsi="仿宋_GB2312" w:eastAsia="仿宋_GB2312" w:cs="仿宋_GB2312"/>
          <w:sz w:val="32"/>
          <w:szCs w:val="32"/>
          <w:lang w:val="en-US" w:eastAsia="zh-CN"/>
        </w:rPr>
        <w:t>在</w:t>
      </w:r>
      <w:r>
        <w:rPr>
          <w:rFonts w:hint="eastAsia" w:ascii="仿宋_GB2312" w:hAnsi="仿宋_GB2312" w:eastAsia="仿宋_GB2312" w:cs="仿宋_GB2312"/>
          <w:sz w:val="32"/>
          <w:szCs w:val="32"/>
        </w:rPr>
        <w:t>充分利用法宣自学的基础上，通过党组理论</w:t>
      </w:r>
      <w:r>
        <w:rPr>
          <w:rFonts w:hint="eastAsia" w:ascii="仿宋_GB2312" w:hAnsi="仿宋_GB2312" w:eastAsia="仿宋_GB2312" w:cs="仿宋_GB2312"/>
          <w:sz w:val="32"/>
          <w:szCs w:val="32"/>
          <w:lang w:val="en-US" w:eastAsia="zh-CN"/>
        </w:rPr>
        <w:t>学习</w:t>
      </w:r>
      <w:r>
        <w:rPr>
          <w:rFonts w:hint="eastAsia" w:ascii="仿宋_GB2312" w:hAnsi="仿宋_GB2312" w:eastAsia="仿宋_GB2312" w:cs="仿宋_GB2312"/>
          <w:sz w:val="32"/>
          <w:szCs w:val="32"/>
        </w:rPr>
        <w:t>中心组、专题法治讲座及</w:t>
      </w:r>
      <w:r>
        <w:rPr>
          <w:rFonts w:hint="eastAsia" w:ascii="仿宋_GB2312" w:hAnsi="仿宋_GB2312" w:eastAsia="仿宋_GB2312" w:cs="仿宋_GB2312"/>
          <w:sz w:val="32"/>
          <w:szCs w:val="32"/>
          <w:lang w:val="en-US" w:eastAsia="zh-CN"/>
        </w:rPr>
        <w:t>集中</w:t>
      </w:r>
      <w:r>
        <w:rPr>
          <w:rFonts w:hint="eastAsia" w:ascii="仿宋_GB2312" w:hAnsi="仿宋_GB2312" w:eastAsia="仿宋_GB2312" w:cs="仿宋_GB2312"/>
          <w:sz w:val="32"/>
          <w:szCs w:val="32"/>
        </w:rPr>
        <w:t>学习等形式开展法治宣传教育。今年以来组织学习了《</w:t>
      </w:r>
      <w:r>
        <w:rPr>
          <w:rFonts w:hint="eastAsia" w:ascii="仿宋_GB2312" w:hAnsi="仿宋_GB2312" w:eastAsia="仿宋_GB2312" w:cs="仿宋_GB2312"/>
          <w:sz w:val="32"/>
          <w:szCs w:val="32"/>
          <w:lang w:val="en-US" w:eastAsia="zh-CN"/>
        </w:rPr>
        <w:t>中华人民共和国</w:t>
      </w:r>
      <w:r>
        <w:rPr>
          <w:rFonts w:hint="eastAsia" w:ascii="仿宋_GB2312" w:hAnsi="仿宋_GB2312" w:eastAsia="仿宋_GB2312" w:cs="仿宋_GB2312"/>
          <w:sz w:val="32"/>
          <w:szCs w:val="32"/>
        </w:rPr>
        <w:t>宪法》《</w:t>
      </w:r>
      <w:r>
        <w:rPr>
          <w:rFonts w:hint="eastAsia" w:ascii="仿宋_GB2312" w:hAnsi="仿宋_GB2312" w:eastAsia="仿宋_GB2312" w:cs="仿宋_GB2312"/>
          <w:sz w:val="32"/>
          <w:szCs w:val="32"/>
          <w:lang w:val="en-US" w:eastAsia="zh-CN"/>
        </w:rPr>
        <w:t>中华人民共和国</w:t>
      </w:r>
      <w:r>
        <w:rPr>
          <w:rFonts w:hint="eastAsia" w:ascii="仿宋_GB2312" w:hAnsi="仿宋_GB2312" w:eastAsia="仿宋_GB2312" w:cs="仿宋_GB2312"/>
          <w:sz w:val="32"/>
          <w:szCs w:val="32"/>
        </w:rPr>
        <w:t>安全生产法》《</w:t>
      </w:r>
      <w:r>
        <w:rPr>
          <w:rFonts w:hint="eastAsia" w:ascii="仿宋_GB2312" w:hAnsi="仿宋_GB2312" w:eastAsia="仿宋_GB2312" w:cs="仿宋_GB2312"/>
          <w:sz w:val="32"/>
          <w:szCs w:val="32"/>
          <w:lang w:val="en-US" w:eastAsia="zh-CN"/>
        </w:rPr>
        <w:t>中华人民共和国</w:t>
      </w:r>
      <w:r>
        <w:rPr>
          <w:rFonts w:hint="eastAsia" w:ascii="仿宋_GB2312" w:hAnsi="仿宋_GB2312" w:eastAsia="仿宋_GB2312" w:cs="仿宋_GB2312"/>
          <w:sz w:val="32"/>
          <w:szCs w:val="32"/>
        </w:rPr>
        <w:t>民法典》《</w:t>
      </w:r>
      <w:r>
        <w:rPr>
          <w:rFonts w:hint="eastAsia" w:ascii="仿宋_GB2312" w:hAnsi="仿宋_GB2312" w:eastAsia="仿宋_GB2312" w:cs="仿宋_GB2312"/>
          <w:sz w:val="32"/>
          <w:szCs w:val="32"/>
          <w:lang w:val="en-US" w:eastAsia="zh-CN"/>
        </w:rPr>
        <w:t>中华人民共和国</w:t>
      </w:r>
      <w:r>
        <w:rPr>
          <w:rFonts w:hint="eastAsia" w:ascii="仿宋_GB2312" w:hAnsi="仿宋_GB2312" w:eastAsia="仿宋_GB2312" w:cs="仿宋_GB2312"/>
          <w:sz w:val="32"/>
          <w:szCs w:val="32"/>
        </w:rPr>
        <w:t>国家安全法》《国家秘密法》《</w:t>
      </w:r>
      <w:r>
        <w:rPr>
          <w:rFonts w:hint="eastAsia" w:ascii="仿宋_GB2312" w:hAnsi="仿宋_GB2312" w:eastAsia="仿宋_GB2312" w:cs="仿宋_GB2312"/>
          <w:sz w:val="32"/>
          <w:szCs w:val="32"/>
          <w:lang w:val="en-US" w:eastAsia="zh-CN"/>
        </w:rPr>
        <w:t>中国共产党纪律处分条例</w:t>
      </w:r>
      <w:r>
        <w:rPr>
          <w:rFonts w:hint="eastAsia" w:ascii="仿宋_GB2312" w:hAnsi="仿宋_GB2312" w:eastAsia="仿宋_GB2312" w:cs="仿宋_GB2312"/>
          <w:sz w:val="32"/>
          <w:szCs w:val="32"/>
        </w:rPr>
        <w:t>》等法律法规。</w:t>
      </w:r>
      <w:r>
        <w:rPr>
          <w:rFonts w:hint="eastAsia" w:ascii="仿宋_GB2312" w:hAnsi="仿宋_GB2312" w:eastAsia="仿宋_GB2312" w:cs="仿宋_GB2312"/>
          <w:sz w:val="32"/>
          <w:szCs w:val="32"/>
          <w:lang w:val="en-US" w:eastAsia="zh-CN"/>
        </w:rPr>
        <w:t>其中包含专业法律知识培训30个学时和公共知识学习40个学时。</w:t>
      </w:r>
      <w:r>
        <w:rPr>
          <w:rFonts w:hint="eastAsia" w:ascii="仿宋_GB2312" w:hAnsi="仿宋_GB2312" w:eastAsia="仿宋_GB2312" w:cs="仿宋_GB2312"/>
          <w:sz w:val="32"/>
          <w:szCs w:val="32"/>
        </w:rPr>
        <w:t>通过多种形式的法治宣传教育，把法</w:t>
      </w:r>
      <w:r>
        <w:rPr>
          <w:rFonts w:hint="eastAsia" w:ascii="仿宋_GB2312" w:hAnsi="仿宋_GB2312" w:eastAsia="仿宋_GB2312" w:cs="仿宋_GB2312"/>
          <w:spacing wpsCustomData:val="-6" w:val="0"/>
          <w:sz w:val="32"/>
          <w:szCs w:val="32"/>
        </w:rPr>
        <w:t>治理念融入具体工作中，有力提升干部职工依法行政能力</w:t>
      </w:r>
      <w:r>
        <w:rPr>
          <w:rFonts w:hint="eastAsia" w:ascii="仿宋_GB2312" w:hAnsi="仿宋_GB2312" w:eastAsia="仿宋_GB2312" w:cs="仿宋_GB2312"/>
          <w:spacing wpsCustomData:val="-6" w:val="-6"/>
          <w:sz w:val="32"/>
          <w:szCs w:val="32"/>
        </w:rPr>
        <w:t>和</w:t>
      </w:r>
      <w:r>
        <w:rPr>
          <w:rFonts w:hint="eastAsia" w:ascii="仿宋_GB2312" w:hAnsi="仿宋_GB2312" w:eastAsia="仿宋_GB2312" w:cs="仿宋_GB2312"/>
          <w:sz w:val="32"/>
          <w:szCs w:val="32"/>
        </w:rPr>
        <w:t>水平。</w:t>
      </w:r>
    </w:p>
    <w:p w14:paraId="69A4E903">
      <w:pPr>
        <w:keepNext w:val="0"/>
        <w:keepLines w:val="0"/>
        <w:pageBreakBefore w:val="0"/>
        <w:kinsoku/>
        <w:overflowPunct/>
        <w:topLinePunct w:val="0"/>
        <w:autoSpaceDE/>
        <w:autoSpaceDN/>
        <w:bidi w:val="0"/>
        <w:snapToGrid/>
        <w:spacing w:line="560" w:lineRule="exact"/>
        <w:ind w:leftChars="0"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三、下一步打算</w:t>
      </w:r>
    </w:p>
    <w:p w14:paraId="31AD06F4">
      <w:pPr>
        <w:keepNext w:val="0"/>
        <w:keepLines w:val="0"/>
        <w:pageBreakBefore w:val="0"/>
        <w:kinsoku/>
        <w:overflowPunct/>
        <w:topLinePunct w:val="0"/>
        <w:autoSpaceDE/>
        <w:autoSpaceDN/>
        <w:bidi w:val="0"/>
        <w:snapToGrid/>
        <w:spacing w:line="560" w:lineRule="exact"/>
        <w:ind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增强自身法治观念。</w:t>
      </w:r>
      <w:r>
        <w:rPr>
          <w:rFonts w:hint="eastAsia" w:ascii="仿宋_GB2312" w:hAnsi="仿宋_GB2312" w:eastAsia="仿宋_GB2312" w:cs="仿宋_GB2312"/>
          <w:sz w:val="32"/>
          <w:szCs w:val="32"/>
          <w:lang w:val="en-US" w:eastAsia="zh-CN"/>
        </w:rPr>
        <w:t>党政</w:t>
      </w:r>
      <w:r>
        <w:rPr>
          <w:rFonts w:hint="eastAsia" w:ascii="仿宋_GB2312" w:hAnsi="仿宋_GB2312" w:eastAsia="仿宋_GB2312" w:cs="仿宋_GB2312"/>
          <w:sz w:val="32"/>
          <w:szCs w:val="32"/>
        </w:rPr>
        <w:t>主要负责人</w:t>
      </w:r>
      <w:r>
        <w:rPr>
          <w:rFonts w:hint="eastAsia" w:ascii="仿宋_GB2312" w:hAnsi="仿宋_GB2312" w:eastAsia="仿宋_GB2312" w:cs="仿宋_GB2312"/>
          <w:sz w:val="32"/>
          <w:szCs w:val="32"/>
          <w:lang w:val="en-US" w:eastAsia="zh-CN"/>
        </w:rPr>
        <w:t>在</w:t>
      </w:r>
      <w:r>
        <w:rPr>
          <w:rFonts w:hint="eastAsia" w:ascii="仿宋_GB2312" w:hAnsi="仿宋_GB2312" w:eastAsia="仿宋_GB2312" w:cs="仿宋_GB2312"/>
          <w:sz w:val="32"/>
          <w:szCs w:val="32"/>
        </w:rPr>
        <w:t>工作中时刻警醒自己，坚持依法行政，规范行政行为，始终将自己的言行置于法规法纪的框架下、置于党和人民群众的监督下，不以权代法，严防乱作为和不作为，同时督促班子其他成员切实履行依法行政职责。</w:t>
      </w:r>
    </w:p>
    <w:p w14:paraId="6860CE62">
      <w:pPr>
        <w:keepNext w:val="0"/>
        <w:keepLines w:val="0"/>
        <w:pageBreakBefore w:val="0"/>
        <w:kinsoku/>
        <w:overflowPunct/>
        <w:topLinePunct w:val="0"/>
        <w:autoSpaceDE/>
        <w:autoSpaceDN/>
        <w:bidi w:val="0"/>
        <w:snapToGrid/>
        <w:spacing w:line="560" w:lineRule="exact"/>
        <w:ind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坚持民主集中，严格执行个人服从组织、少数服从多数、下级服从上级的工作原则，重大行政决策按程序依法决策。</w:t>
      </w:r>
    </w:p>
    <w:p w14:paraId="1685D26E">
      <w:pPr>
        <w:keepNext w:val="0"/>
        <w:keepLines w:val="0"/>
        <w:pageBreakBefore w:val="0"/>
        <w:kinsoku/>
        <w:overflowPunct/>
        <w:topLinePunct w:val="0"/>
        <w:autoSpaceDE/>
        <w:autoSpaceDN/>
        <w:bidi w:val="0"/>
        <w:snapToGrid/>
        <w:spacing w:line="560" w:lineRule="exact"/>
        <w:ind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强化自身法治观念，充分发挥自身带头作用，带好班子和队伍学法守法，提高依法决策、依法行政、依法办事的能力和水平，切实推进全局法治建设工作，推动</w:t>
      </w:r>
      <w:r>
        <w:rPr>
          <w:rFonts w:hint="eastAsia" w:ascii="仿宋_GB2312" w:hAnsi="仿宋_GB2312" w:eastAsia="仿宋_GB2312" w:cs="仿宋_GB2312"/>
          <w:sz w:val="32"/>
          <w:szCs w:val="32"/>
          <w:lang w:val="en-US" w:eastAsia="zh-CN"/>
        </w:rPr>
        <w:t>晋州市</w:t>
      </w:r>
      <w:r>
        <w:rPr>
          <w:rFonts w:hint="eastAsia" w:ascii="仿宋_GB2312" w:hAnsi="仿宋_GB2312" w:eastAsia="仿宋_GB2312" w:cs="仿宋_GB2312"/>
          <w:sz w:val="32"/>
          <w:szCs w:val="32"/>
        </w:rPr>
        <w:t>商务领域各项工作法治化、规范化。</w:t>
      </w:r>
    </w:p>
    <w:p w14:paraId="4FACBBB7">
      <w:pPr>
        <w:keepNext w:val="0"/>
        <w:keepLines w:val="0"/>
        <w:pageBreakBefore w:val="0"/>
        <w:widowControl w:val="0"/>
        <w:numPr>
          <w:ilvl w:val="0"/>
          <w:numId w:val="0"/>
        </w:numPr>
        <w:kinsoku/>
        <w:wordWrap/>
        <w:overflowPunct/>
        <w:topLinePunct w:val="0"/>
        <w:autoSpaceDE/>
        <w:autoSpaceDN/>
        <w:bidi w:val="0"/>
        <w:adjustRightInd w:val="0"/>
        <w:snapToGrid/>
        <w:spacing w:line="560" w:lineRule="exact"/>
        <w:ind w:leftChars="0" w:firstLine="5440" w:firstLineChars="1700"/>
        <w:textAlignment w:val="auto"/>
        <w:rPr>
          <w:rFonts w:hint="eastAsia" w:ascii="仿宋_GB2312" w:hAnsi="仿宋_GB2312" w:eastAsia="仿宋_GB2312" w:cs="仿宋_GB2312"/>
          <w:kern w:val="0"/>
          <w:sz w:val="32"/>
          <w:szCs w:val="32"/>
          <w:lang w:val="en-US" w:eastAsia="zh-CN" w:bidi="ar"/>
        </w:rPr>
      </w:pPr>
    </w:p>
    <w:p w14:paraId="026F2C3B">
      <w:pPr>
        <w:keepNext w:val="0"/>
        <w:keepLines w:val="0"/>
        <w:pageBreakBefore w:val="0"/>
        <w:widowControl w:val="0"/>
        <w:numPr>
          <w:ilvl w:val="0"/>
          <w:numId w:val="0"/>
        </w:numPr>
        <w:kinsoku/>
        <w:wordWrap/>
        <w:overflowPunct/>
        <w:topLinePunct w:val="0"/>
        <w:autoSpaceDE/>
        <w:autoSpaceDN/>
        <w:bidi w:val="0"/>
        <w:adjustRightInd w:val="0"/>
        <w:snapToGrid/>
        <w:spacing w:line="560" w:lineRule="exact"/>
        <w:ind w:leftChars="0" w:firstLine="5440" w:firstLineChars="1700"/>
        <w:textAlignment w:val="auto"/>
        <w:rPr>
          <w:rFonts w:hint="eastAsia" w:ascii="仿宋_GB2312" w:hAnsi="仿宋_GB2312" w:eastAsia="仿宋_GB2312" w:cs="仿宋_GB2312"/>
          <w:kern w:val="0"/>
          <w:sz w:val="32"/>
          <w:szCs w:val="32"/>
          <w:lang w:val="en-US" w:eastAsia="zh-CN" w:bidi="ar"/>
        </w:rPr>
      </w:pPr>
    </w:p>
    <w:p w14:paraId="132CF94E">
      <w:pPr>
        <w:keepNext w:val="0"/>
        <w:keepLines w:val="0"/>
        <w:pageBreakBefore w:val="0"/>
        <w:widowControl w:val="0"/>
        <w:numPr>
          <w:ilvl w:val="0"/>
          <w:numId w:val="0"/>
        </w:numPr>
        <w:kinsoku/>
        <w:wordWrap/>
        <w:overflowPunct/>
        <w:topLinePunct w:val="0"/>
        <w:autoSpaceDE/>
        <w:autoSpaceDN/>
        <w:bidi w:val="0"/>
        <w:adjustRightInd w:val="0"/>
        <w:snapToGrid/>
        <w:spacing w:line="560" w:lineRule="exact"/>
        <w:ind w:leftChars="0" w:firstLine="5440" w:firstLineChars="1700"/>
        <w:textAlignment w:val="auto"/>
        <w:rPr>
          <w:rFonts w:hint="eastAsia" w:ascii="仿宋_GB2312" w:hAnsi="仿宋_GB2312" w:eastAsia="仿宋_GB2312" w:cs="仿宋_GB2312"/>
          <w:kern w:val="0"/>
          <w:sz w:val="32"/>
          <w:szCs w:val="32"/>
          <w:lang w:val="en-US" w:eastAsia="zh-CN" w:bidi="ar"/>
        </w:rPr>
      </w:pPr>
      <w:r>
        <w:rPr>
          <w:rFonts w:hint="eastAsia" w:ascii="仿宋_GB2312" w:hAnsi="仿宋_GB2312" w:eastAsia="仿宋_GB2312" w:cs="仿宋_GB2312"/>
          <w:kern w:val="0"/>
          <w:sz w:val="32"/>
          <w:szCs w:val="32"/>
          <w:lang w:val="en-US" w:eastAsia="zh-CN" w:bidi="ar"/>
        </w:rPr>
        <w:t>晋州市商务局</w:t>
      </w:r>
    </w:p>
    <w:p w14:paraId="3249F4CE">
      <w:pPr>
        <w:keepNext w:val="0"/>
        <w:keepLines w:val="0"/>
        <w:pageBreakBefore w:val="0"/>
        <w:widowControl w:val="0"/>
        <w:numPr>
          <w:ilvl w:val="0"/>
          <w:numId w:val="0"/>
        </w:numPr>
        <w:kinsoku/>
        <w:wordWrap w:val="0"/>
        <w:overflowPunct/>
        <w:topLinePunct w:val="0"/>
        <w:autoSpaceDE/>
        <w:autoSpaceDN/>
        <w:bidi w:val="0"/>
        <w:adjustRightInd w:val="0"/>
        <w:snapToGrid/>
        <w:spacing w:line="560" w:lineRule="exact"/>
        <w:jc w:val="right"/>
        <w:textAlignment w:val="auto"/>
        <w:rPr>
          <w:rFonts w:hint="default" w:ascii="仿宋_GB2312" w:hAnsi="仿宋_GB2312" w:eastAsia="仿宋_GB2312" w:cs="仿宋_GB2312"/>
          <w:kern w:val="0"/>
          <w:sz w:val="32"/>
          <w:szCs w:val="32"/>
          <w:lang w:val="en-US" w:eastAsia="zh-CN" w:bidi="ar"/>
        </w:rPr>
      </w:pPr>
      <w:r>
        <w:rPr>
          <w:rFonts w:hint="eastAsia" w:ascii="仿宋_GB2312" w:hAnsi="仿宋_GB2312" w:eastAsia="仿宋_GB2312" w:cs="仿宋_GB2312"/>
          <w:kern w:val="0"/>
          <w:sz w:val="32"/>
          <w:szCs w:val="32"/>
          <w:lang w:val="en-US" w:eastAsia="zh-CN" w:bidi="ar"/>
        </w:rPr>
        <w:t>2026年1月8日</w:t>
      </w:r>
      <w:r>
        <w:rPr>
          <w:rFonts w:hint="eastAsia" w:ascii="仿宋_GB2312" w:hAnsi="仿宋_GB2312" w:cs="仿宋_GB2312"/>
          <w:kern w:val="0"/>
          <w:sz w:val="32"/>
          <w:szCs w:val="32"/>
          <w:lang w:val="en-US" w:eastAsia="zh-CN" w:bidi="ar"/>
        </w:rPr>
        <w:t xml:space="preserve">       </w:t>
      </w:r>
    </w:p>
    <mc:AlternateContent>
      <mc:Choice Requires="wpsCustomData">
        <wpsCustomData:docfieldEnd id="0"/>
      </mc:Choice>
    </mc:AlternateContent>
    <w:tbl>
      <w:tblPr>
        <w:tblStyle w:val="13"/>
        <w:tblpPr w:leftFromText="181" w:rightFromText="181" w:horzAnchor="margin" w:tblpXSpec="center" w:tblpYSpec="bottom"/>
        <w:tblOverlap w:val="never"/>
        <w:tblW w:w="0" w:type="auto"/>
        <w:jc w:val="center"/>
        <w:tblBorders>
          <w:top w:val="single" w:color="auto" w:sz="8"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408"/>
        <w:gridCol w:w="4436"/>
      </w:tblGrid>
      <w:tr w14:paraId="7FBF555F">
        <w:tblPrEx>
          <w:tblBorders>
            <w:top w:val="single" w:color="auto" w:sz="8"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408" w:type="dxa"/>
            <w:tcBorders>
              <w:top w:val="single" w:color="auto" w:sz="6" w:space="0"/>
              <w:bottom w:val="single" w:color="auto" w:sz="8" w:space="0"/>
            </w:tcBorders>
            <w:noWrap w:val="0"/>
            <w:tcMar>
              <w:right w:w="113" w:type="dxa"/>
            </w:tcMar>
            <w:vAlign w:val="center"/>
          </w:tcPr>
          <w:p w14:paraId="08864DDA">
            <w:pPr>
              <w:keepNext w:val="0"/>
              <w:keepLines w:val="0"/>
              <w:pageBreakBefore w:val="0"/>
              <w:widowControl w:val="0"/>
              <w:kinsoku/>
              <w:wordWrap/>
              <w:overflowPunct w:val="0"/>
              <w:topLinePunct/>
              <w:autoSpaceDE/>
              <w:autoSpaceDN/>
              <w:bidi w:val="0"/>
              <w:spacing w:line="240" w:lineRule="auto"/>
              <w:jc w:val="left"/>
              <w:textAlignment w:val="auto"/>
              <w:outlineLvl w:val="9"/>
              <w:rPr>
                <w:rFonts w:hint="default" w:ascii="GWZT-EN" w:hAnsi="仿宋" w:eastAsia="仿宋" w:cs="仿宋"/>
                <w:b w:val="0"/>
                <w:bCs w:val="0"/>
                <w:sz w:val="28"/>
                <w:szCs w:val="28"/>
                <w:lang w:val="en-US" w:eastAsia="zh-CN"/>
              </w:rPr>
            </w:pPr>
            <w:bookmarkStart w:id="0" w:name="_GoBack"/>
            <w:bookmarkEnd w:id="0"/>
            <mc:AlternateContent>
              <mc:Choice Requires="wpsCustomData">
                <wpsCustomData:docfieldStart id="1" docfieldname="印发机关" hidden="0" print="1" readonly="0" index="23"/>
              </mc:Choice>
            </mc:AlternateContent>
            <w:r>
              <w:rPr>
                <w:rFonts w:hint="eastAsia" w:hAnsi="仿宋" w:cs="仿宋"/>
                <w:b w:val="0"/>
                <w:bCs w:val="0"/>
                <w:sz w:val="32"/>
                <w:szCs w:val="32"/>
                <w:lang w:val="en-US" w:eastAsia="zh-CN"/>
              </w:rPr>
              <w:t>晋州市商务局</w:t>
            </w:r>
            <mc:AlternateContent>
              <mc:Choice Requires="wpsCustomData">
                <wpsCustomData:docfieldEnd id="1"/>
              </mc:Choice>
            </mc:AlternateContent>
          </w:p>
        </w:tc>
        <w:tc>
          <w:tcPr>
            <w:tcW w:w="4436" w:type="dxa"/>
            <w:tcBorders>
              <w:top w:val="single" w:color="auto" w:sz="6" w:space="0"/>
              <w:bottom w:val="single" w:color="auto" w:sz="8" w:space="0"/>
            </w:tcBorders>
            <w:noWrap w:val="0"/>
            <w:tcMar>
              <w:right w:w="113" w:type="dxa"/>
            </w:tcMar>
            <w:vAlign w:val="center"/>
          </w:tcPr>
          <w:p w14:paraId="4E5A13BB">
            <w:pPr>
              <w:keepNext w:val="0"/>
              <w:keepLines w:val="0"/>
              <w:pageBreakBefore w:val="0"/>
              <w:widowControl w:val="0"/>
              <w:kinsoku/>
              <w:wordWrap/>
              <w:overflowPunct w:val="0"/>
              <w:topLinePunct/>
              <w:autoSpaceDE/>
              <w:autoSpaceDN/>
              <w:bidi w:val="0"/>
              <w:spacing w:line="240" w:lineRule="auto"/>
              <w:ind w:right="320" w:rightChars="100"/>
              <w:jc w:val="center"/>
              <w:textAlignment w:val="auto"/>
              <w:outlineLvl w:val="9"/>
              <w:rPr>
                <w:rFonts w:hint="default" w:ascii="GWZT-EN" w:hAnsi="仿宋" w:eastAsia="仿宋" w:cs="仿宋"/>
                <w:b w:val="0"/>
                <w:bCs w:val="0"/>
                <w:sz w:val="28"/>
                <w:szCs w:val="28"/>
                <w:lang w:val="en-US"/>
              </w:rPr>
            </w:pPr>
            <mc:AlternateContent>
              <mc:Choice Requires="wpsCustomData">
                <wpsCustomData:docfieldStart id="2" docfieldname="印发日期" hidden="0" print="1" readonly="0" index="24"/>
              </mc:Choice>
            </mc:AlternateContent>
            <w:r>
              <w:rPr>
                <w:rFonts w:hint="eastAsia" w:hAnsi="仿宋" w:cs="仿宋"/>
                <w:b w:val="0"/>
                <w:bCs w:val="0"/>
                <w:sz w:val="28"/>
                <w:szCs w:val="28"/>
                <w:lang w:val="en-US" w:eastAsia="zh-CN"/>
              </w:rPr>
              <w:t xml:space="preserve">          2026年1月8日印发</w:t>
            </w:r>
            <mc:AlternateContent>
              <mc:Choice Requires="wpsCustomData">
                <wpsCustomData:docfieldEnd id="2"/>
              </mc:Choice>
            </mc:AlternateContent>
          </w:p>
        </w:tc>
      </w:tr>
    </w:tbl>
    <w:p w14:paraId="72F822C0">
      <w:pPr>
        <w:pStyle w:val="9"/>
        <w:jc w:val="both"/>
        <w:rPr>
          <w:rFonts w:hint="eastAsia" w:ascii="方正小标宋简体" w:hAnsi="方正小标宋简体" w:eastAsia="方正小标宋简体" w:cs="方正小标宋简体"/>
          <w:b w:val="0"/>
          <w:bCs w:val="0"/>
          <w:sz w:val="44"/>
          <w:szCs w:val="44"/>
          <w:lang w:val="en-US" w:eastAsia="zh-CN"/>
        </w:rPr>
      </w:pPr>
    </w:p>
    <w:sectPr>
      <w:headerReference r:id="rId7" w:type="default"/>
      <w:footerReference r:id="rId8" w:type="default"/>
      <w:pgSz w:w="11906" w:h="16838"/>
      <w:pgMar w:top="2041" w:right="1531" w:bottom="2041" w:left="1531" w:header="851" w:footer="992" w:gutter="0"/>
      <w:pgNumType w:fmt="decimal" w:start="2"/>
      <w:cols w:space="720" w:num="1"/>
      <w:rtlGutter w:val="0"/>
      <w:docGrid w:type="lines" w:linePitch="43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E87DF0C-97F4-42AE-8D3F-767EA573A9F7}"/>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embedRegular r:id="rId2" w:fontKey="{8EEABD18-23F7-45C5-BD03-84369B7299FE}"/>
  </w:font>
  <w:font w:name="Cambria">
    <w:panose1 w:val="02040503050406030204"/>
    <w:charset w:val="00"/>
    <w:family w:val="roman"/>
    <w:pitch w:val="default"/>
    <w:sig w:usb0="E00006FF" w:usb1="420024FF" w:usb2="02000000" w:usb3="00000000" w:csb0="2000019F" w:csb1="00000000"/>
  </w:font>
  <w:font w:name="方正小标宋简体">
    <w:panose1 w:val="03000509000000000000"/>
    <w:charset w:val="86"/>
    <w:family w:val="auto"/>
    <w:pitch w:val="default"/>
    <w:sig w:usb0="00000001" w:usb1="080E0000" w:usb2="00000000" w:usb3="00000000" w:csb0="00040000" w:csb1="00000000"/>
    <w:embedRegular r:id="rId3" w:fontKey="{FDFB335E-4001-4D7C-9C35-036F9A2DF378}"/>
  </w:font>
  <w:font w:name="楷体_GB2312">
    <w:altName w:val="楷体"/>
    <w:panose1 w:val="02010609030101010101"/>
    <w:charset w:val="86"/>
    <w:family w:val="auto"/>
    <w:pitch w:val="default"/>
    <w:sig w:usb0="00000000" w:usb1="00000000" w:usb2="00000000" w:usb3="00000000" w:csb0="00040000" w:csb1="00000000"/>
    <w:embedRegular r:id="rId4" w:fontKey="{DA95B331-240C-4B83-8318-9470B5D67593}"/>
  </w:font>
  <w:font w:name="楷体">
    <w:panose1 w:val="02010609060101010101"/>
    <w:charset w:val="86"/>
    <w:family w:val="auto"/>
    <w:pitch w:val="default"/>
    <w:sig w:usb0="800002BF" w:usb1="38CF7CFA" w:usb2="00000016" w:usb3="00000000" w:csb0="00040001" w:csb1="00000000"/>
    <w:embedRegular r:id="rId5" w:fontKey="{1CBC8FE6-7FE0-416A-B06F-106EB532F44D}"/>
  </w:font>
  <w:font w:name="新宋体">
    <w:panose1 w:val="02010609030101010101"/>
    <w:charset w:val="86"/>
    <w:family w:val="modern"/>
    <w:pitch w:val="default"/>
    <w:sig w:usb0="00000203" w:usb1="288F0000" w:usb2="00000006" w:usb3="00000000" w:csb0="00040001" w:csb1="00000000"/>
    <w:embedRegular r:id="rId6" w:fontKey="{0D917328-9A36-4FB8-9D1D-75E4293D537B}"/>
  </w:font>
  <w:font w:name="仿宋">
    <w:panose1 w:val="02010609060101010101"/>
    <w:charset w:val="86"/>
    <w:family w:val="auto"/>
    <w:pitch w:val="default"/>
    <w:sig w:usb0="800002BF" w:usb1="38CF7CFA" w:usb2="00000016" w:usb3="00000000" w:csb0="00040001" w:csb1="00000000"/>
    <w:embedRegular r:id="rId7" w:fontKey="{657B6FBC-8B7A-483D-AD4A-B294C3BFB348}"/>
  </w:font>
  <w:font w:name="GWZT-EN">
    <w:panose1 w:val="02020400000000000000"/>
    <w:charset w:val="00"/>
    <w:family w:val="auto"/>
    <w:pitch w:val="default"/>
    <w:sig w:usb0="A00002BF" w:usb1="38CF7CFA" w:usb2="00082016" w:usb3="00000000" w:csb0="00000003" w:csb1="00000000"/>
    <w:embedRegular r:id="rId8" w:fontKey="{D8B95A60-1916-44D3-B080-42DE871D9C7B}"/>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6333D6">
    <w:pPr>
      <w:pStyle w:val="7"/>
      <w:wordWrap w:val="0"/>
      <w:spacing w:line="471" w:lineRule="auto"/>
      <w:ind w:right="320" w:rightChars="100"/>
      <w:rPr>
        <w:rFonts w:hint="eastAsia" w:ascii="GWZT-EN" w:hAnsi="GWZT-EN" w:eastAsia="GWZT-EN" w:cs="GWZT-EN"/>
        <w:b w:val="0"/>
        <w:bCs w:val="0"/>
        <w:sz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69407B">
    <w:pPr>
      <w:pStyle w:val="7"/>
      <w:spacing w:line="471" w:lineRule="auto"/>
      <w:ind w:left="320" w:leftChars="100"/>
      <w:rPr>
        <w:rStyle w:val="17"/>
        <w:rFonts w:hint="eastAsia" w:ascii="GWZT-EN" w:hAnsi="GWZT-EN" w:eastAsia="GWZT-EN" w:cs="GWZT-EN"/>
        <w:b w:val="0"/>
        <w:bCs w:val="0"/>
        <w:sz w:val="2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8CACED">
    <w:pPr>
      <w:pStyle w:val="7"/>
      <w:tabs>
        <w:tab w:val="left" w:pos="1010"/>
        <w:tab w:val="clear" w:pos="4153"/>
      </w:tabs>
      <w:wordWrap w:val="0"/>
      <w:spacing w:line="471" w:lineRule="auto"/>
      <w:ind w:right="320" w:rightChars="100"/>
      <w:rPr>
        <w:rFonts w:hint="eastAsia" w:ascii="GWZT-EN" w:hAnsi="GWZT-EN" w:eastAsia="GWZT-EN" w:cs="GWZT-EN"/>
        <w:b w:val="0"/>
        <w:bCs w:val="0"/>
        <w:sz w:val="28"/>
      </w:rPr>
    </w:pPr>
    <w:r>
      <w:rPr>
        <w:sz w:val="2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3BEB3D2">
                          <w:pPr>
                            <w:pStyle w:val="7"/>
                          </w:pPr>
                          <w:r>
                            <w:t xml:space="preserve">— </w:t>
                          </w: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63BEB3D2">
                    <w:pPr>
                      <w:pStyle w:val="7"/>
                    </w:pPr>
                    <w:r>
                      <w:t xml:space="preserve">— </w:t>
                    </w: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r>
                      <w:t xml:space="preserve"> —</w:t>
                    </w:r>
                  </w:p>
                </w:txbxContent>
              </v:textbox>
            </v:shape>
          </w:pict>
        </mc:Fallback>
      </mc:AlternateContent>
    </w:r>
    <w:r>
      <w:rPr>
        <w:rFonts w:hint="eastAsia" w:ascii="GWZT-EN" w:hAnsi="GWZT-EN" w:eastAsia="宋体" w:cs="GWZT-EN"/>
        <w:b w:val="0"/>
        <w:bCs w:val="0"/>
        <w:sz w:val="28"/>
        <w:lang w:eastAsia="zh-CN"/>
      </w:rPr>
      <w:tab/>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10B451">
    <w:pPr>
      <w:pStyle w:val="8"/>
      <w:pBdr>
        <w:bottom w:val="none" w:color="auto" w:sz="0" w:space="0"/>
      </w:pBdr>
      <w:rPr>
        <w:rFonts w:ascii="GWZT-EN"/>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E4F5DE">
    <w:pPr>
      <w:pStyle w:val="8"/>
      <w:pBdr>
        <w:bottom w:val="none" w:color="auto" w:sz="0" w:space="0"/>
      </w:pBdr>
      <w:rPr>
        <w:rFonts w:ascii="GWZT-EN"/>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42C8D9">
    <w:pPr>
      <w:pStyle w:val="8"/>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F96ADB8"/>
    <w:multiLevelType w:val="singleLevel"/>
    <w:tmpl w:val="8F96ADB8"/>
    <w:lvl w:ilvl="0" w:tentative="0">
      <w:start w:val="1"/>
      <w:numFmt w:val="chineseCounting"/>
      <w:suff w:val="nothing"/>
      <w:lvlText w:val="%1、"/>
      <w:lvlJc w:val="left"/>
      <w:rPr>
        <w:rFonts w:hint="eastAsia"/>
      </w:rPr>
    </w:lvl>
  </w:abstractNum>
  <w:abstractNum w:abstractNumId="1">
    <w:nsid w:val="098087B0"/>
    <w:multiLevelType w:val="singleLevel"/>
    <w:tmpl w:val="098087B0"/>
    <w:lvl w:ilvl="0" w:tentative="0">
      <w:start w:val="2"/>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3"/>
  <w:bordersDoNotSurroundHeader w:val="0"/>
  <w:bordersDoNotSurroundFooter w:val="0"/>
  <w:documentProtection w:enforcement="0"/>
  <w:defaultTabStop w:val="420"/>
  <w:hyphenationZone w:val="360"/>
  <w:drawingGridHorizontalSpacing w:val="160"/>
  <w:drawingGridVerticalSpacing w:val="435"/>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E5MDZkYzRlMzcwNTcwMTc0NmE5MGIyNThjMjM5MjIifQ=="/>
  </w:docVars>
  <w:rsids>
    <w:rsidRoot w:val="00986771"/>
    <w:rsid w:val="00000D14"/>
    <w:rsid w:val="00004078"/>
    <w:rsid w:val="0002036F"/>
    <w:rsid w:val="000221F5"/>
    <w:rsid w:val="00027E5A"/>
    <w:rsid w:val="00031493"/>
    <w:rsid w:val="0003404A"/>
    <w:rsid w:val="00056DAC"/>
    <w:rsid w:val="000679D8"/>
    <w:rsid w:val="000706BB"/>
    <w:rsid w:val="00074732"/>
    <w:rsid w:val="00081625"/>
    <w:rsid w:val="000872BB"/>
    <w:rsid w:val="000900FE"/>
    <w:rsid w:val="000B765E"/>
    <w:rsid w:val="000C2F37"/>
    <w:rsid w:val="000C748B"/>
    <w:rsid w:val="000E1033"/>
    <w:rsid w:val="000F1F5F"/>
    <w:rsid w:val="00100884"/>
    <w:rsid w:val="001134F4"/>
    <w:rsid w:val="00113DC2"/>
    <w:rsid w:val="0011490E"/>
    <w:rsid w:val="00120279"/>
    <w:rsid w:val="00130803"/>
    <w:rsid w:val="001629A0"/>
    <w:rsid w:val="001B33CF"/>
    <w:rsid w:val="00203819"/>
    <w:rsid w:val="00215996"/>
    <w:rsid w:val="0021712A"/>
    <w:rsid w:val="00222355"/>
    <w:rsid w:val="002273D3"/>
    <w:rsid w:val="00265333"/>
    <w:rsid w:val="002905D8"/>
    <w:rsid w:val="002B24C2"/>
    <w:rsid w:val="002B6A15"/>
    <w:rsid w:val="002C01C2"/>
    <w:rsid w:val="002D7953"/>
    <w:rsid w:val="00311929"/>
    <w:rsid w:val="00311FCE"/>
    <w:rsid w:val="00317349"/>
    <w:rsid w:val="003235D3"/>
    <w:rsid w:val="003355E2"/>
    <w:rsid w:val="00370DFA"/>
    <w:rsid w:val="00371C12"/>
    <w:rsid w:val="00375F22"/>
    <w:rsid w:val="003860B8"/>
    <w:rsid w:val="003D1DC7"/>
    <w:rsid w:val="003E2961"/>
    <w:rsid w:val="00405247"/>
    <w:rsid w:val="004116D4"/>
    <w:rsid w:val="00432D1E"/>
    <w:rsid w:val="00441706"/>
    <w:rsid w:val="0045524B"/>
    <w:rsid w:val="0049020E"/>
    <w:rsid w:val="004979EB"/>
    <w:rsid w:val="004A40B2"/>
    <w:rsid w:val="004C1992"/>
    <w:rsid w:val="004D724C"/>
    <w:rsid w:val="004E7DA0"/>
    <w:rsid w:val="004F4B99"/>
    <w:rsid w:val="0051090B"/>
    <w:rsid w:val="005175F4"/>
    <w:rsid w:val="00532E85"/>
    <w:rsid w:val="00562D65"/>
    <w:rsid w:val="005712A5"/>
    <w:rsid w:val="005E348B"/>
    <w:rsid w:val="0061283F"/>
    <w:rsid w:val="00626743"/>
    <w:rsid w:val="00630E24"/>
    <w:rsid w:val="006353C4"/>
    <w:rsid w:val="006470DD"/>
    <w:rsid w:val="00654480"/>
    <w:rsid w:val="00667A10"/>
    <w:rsid w:val="006703A3"/>
    <w:rsid w:val="006703E4"/>
    <w:rsid w:val="00680CAB"/>
    <w:rsid w:val="006925E7"/>
    <w:rsid w:val="006B416C"/>
    <w:rsid w:val="006C0AE0"/>
    <w:rsid w:val="006C4C8D"/>
    <w:rsid w:val="006D55AF"/>
    <w:rsid w:val="006F2B54"/>
    <w:rsid w:val="006F365A"/>
    <w:rsid w:val="00711FFE"/>
    <w:rsid w:val="00717405"/>
    <w:rsid w:val="00722FF9"/>
    <w:rsid w:val="00743179"/>
    <w:rsid w:val="00750AB4"/>
    <w:rsid w:val="00750D23"/>
    <w:rsid w:val="00761F15"/>
    <w:rsid w:val="0078094C"/>
    <w:rsid w:val="00792AC2"/>
    <w:rsid w:val="007A1CDD"/>
    <w:rsid w:val="007A58D8"/>
    <w:rsid w:val="007E4B8C"/>
    <w:rsid w:val="00800270"/>
    <w:rsid w:val="008053A6"/>
    <w:rsid w:val="00860106"/>
    <w:rsid w:val="00860D39"/>
    <w:rsid w:val="008612D8"/>
    <w:rsid w:val="0086282A"/>
    <w:rsid w:val="00865C72"/>
    <w:rsid w:val="00871E6D"/>
    <w:rsid w:val="008A3480"/>
    <w:rsid w:val="008C40FE"/>
    <w:rsid w:val="008D4608"/>
    <w:rsid w:val="008E123F"/>
    <w:rsid w:val="008E1C38"/>
    <w:rsid w:val="008F5232"/>
    <w:rsid w:val="008F6D61"/>
    <w:rsid w:val="00921D80"/>
    <w:rsid w:val="00923381"/>
    <w:rsid w:val="0093322D"/>
    <w:rsid w:val="009345F2"/>
    <w:rsid w:val="00976EFD"/>
    <w:rsid w:val="00981403"/>
    <w:rsid w:val="00986771"/>
    <w:rsid w:val="00986C79"/>
    <w:rsid w:val="009E4B9A"/>
    <w:rsid w:val="00A260A2"/>
    <w:rsid w:val="00A60079"/>
    <w:rsid w:val="00A600B7"/>
    <w:rsid w:val="00A7071B"/>
    <w:rsid w:val="00A93F09"/>
    <w:rsid w:val="00A94E11"/>
    <w:rsid w:val="00A95D07"/>
    <w:rsid w:val="00AE4C3E"/>
    <w:rsid w:val="00AF5140"/>
    <w:rsid w:val="00AF52E0"/>
    <w:rsid w:val="00AF5F95"/>
    <w:rsid w:val="00B00827"/>
    <w:rsid w:val="00B335C4"/>
    <w:rsid w:val="00B37046"/>
    <w:rsid w:val="00B37E35"/>
    <w:rsid w:val="00B456A0"/>
    <w:rsid w:val="00B4666B"/>
    <w:rsid w:val="00B70048"/>
    <w:rsid w:val="00B878A8"/>
    <w:rsid w:val="00B92F8D"/>
    <w:rsid w:val="00B97FDF"/>
    <w:rsid w:val="00BC5B47"/>
    <w:rsid w:val="00BD371F"/>
    <w:rsid w:val="00BD65DF"/>
    <w:rsid w:val="00BE16D4"/>
    <w:rsid w:val="00BE7755"/>
    <w:rsid w:val="00BF0411"/>
    <w:rsid w:val="00BF77FA"/>
    <w:rsid w:val="00C03C49"/>
    <w:rsid w:val="00C253FA"/>
    <w:rsid w:val="00C36D35"/>
    <w:rsid w:val="00C41189"/>
    <w:rsid w:val="00C524F4"/>
    <w:rsid w:val="00C5499C"/>
    <w:rsid w:val="00C55D02"/>
    <w:rsid w:val="00C562FE"/>
    <w:rsid w:val="00C655B7"/>
    <w:rsid w:val="00C70B64"/>
    <w:rsid w:val="00C7555A"/>
    <w:rsid w:val="00C75E1A"/>
    <w:rsid w:val="00C9402E"/>
    <w:rsid w:val="00CC3E63"/>
    <w:rsid w:val="00CD19C4"/>
    <w:rsid w:val="00CD7C5C"/>
    <w:rsid w:val="00CE565E"/>
    <w:rsid w:val="00CF6532"/>
    <w:rsid w:val="00D000BB"/>
    <w:rsid w:val="00D01C4F"/>
    <w:rsid w:val="00D11633"/>
    <w:rsid w:val="00D2218C"/>
    <w:rsid w:val="00D3737A"/>
    <w:rsid w:val="00D47E74"/>
    <w:rsid w:val="00D51115"/>
    <w:rsid w:val="00D66F2C"/>
    <w:rsid w:val="00D84EC5"/>
    <w:rsid w:val="00D866FA"/>
    <w:rsid w:val="00DB28D1"/>
    <w:rsid w:val="00DC5247"/>
    <w:rsid w:val="00E11B7C"/>
    <w:rsid w:val="00E51F62"/>
    <w:rsid w:val="00E72956"/>
    <w:rsid w:val="00E77D11"/>
    <w:rsid w:val="00E96316"/>
    <w:rsid w:val="00EB22F2"/>
    <w:rsid w:val="00ED4794"/>
    <w:rsid w:val="00ED72E0"/>
    <w:rsid w:val="00F41049"/>
    <w:rsid w:val="00FA0AA7"/>
    <w:rsid w:val="00FA280D"/>
    <w:rsid w:val="00FA2FF3"/>
    <w:rsid w:val="00FC7BEA"/>
    <w:rsid w:val="00FE188C"/>
    <w:rsid w:val="00FE6E1F"/>
    <w:rsid w:val="01651487"/>
    <w:rsid w:val="01EB31DD"/>
    <w:rsid w:val="04D63782"/>
    <w:rsid w:val="05932A85"/>
    <w:rsid w:val="05B0434F"/>
    <w:rsid w:val="06972D6E"/>
    <w:rsid w:val="06CD5D7A"/>
    <w:rsid w:val="07764EC4"/>
    <w:rsid w:val="07EE4698"/>
    <w:rsid w:val="08D952DA"/>
    <w:rsid w:val="09647408"/>
    <w:rsid w:val="09EA24EE"/>
    <w:rsid w:val="0AAC744F"/>
    <w:rsid w:val="0BE53437"/>
    <w:rsid w:val="0C3D412D"/>
    <w:rsid w:val="0C4F446A"/>
    <w:rsid w:val="0D081D58"/>
    <w:rsid w:val="0D2F5628"/>
    <w:rsid w:val="0D3C290D"/>
    <w:rsid w:val="0D4115A6"/>
    <w:rsid w:val="0DAB6113"/>
    <w:rsid w:val="0DB3086F"/>
    <w:rsid w:val="0EF25CE6"/>
    <w:rsid w:val="10C41AC3"/>
    <w:rsid w:val="10CD79BE"/>
    <w:rsid w:val="11C73999"/>
    <w:rsid w:val="12600398"/>
    <w:rsid w:val="127B4044"/>
    <w:rsid w:val="12FE03B6"/>
    <w:rsid w:val="1344604C"/>
    <w:rsid w:val="137D023B"/>
    <w:rsid w:val="15377B41"/>
    <w:rsid w:val="15DC2E0B"/>
    <w:rsid w:val="1662592A"/>
    <w:rsid w:val="16BB4A2D"/>
    <w:rsid w:val="177C161B"/>
    <w:rsid w:val="17977894"/>
    <w:rsid w:val="190E2A00"/>
    <w:rsid w:val="1BA86C22"/>
    <w:rsid w:val="1BD323E5"/>
    <w:rsid w:val="1C7B03C8"/>
    <w:rsid w:val="1D583F2B"/>
    <w:rsid w:val="1D8F3D65"/>
    <w:rsid w:val="1DA32E1E"/>
    <w:rsid w:val="1F5925D1"/>
    <w:rsid w:val="1FB22F9A"/>
    <w:rsid w:val="1FD67A33"/>
    <w:rsid w:val="21F27C93"/>
    <w:rsid w:val="225E0648"/>
    <w:rsid w:val="229D708B"/>
    <w:rsid w:val="23FD61A7"/>
    <w:rsid w:val="24697F1A"/>
    <w:rsid w:val="251C5E0C"/>
    <w:rsid w:val="25D45AAB"/>
    <w:rsid w:val="26B2370E"/>
    <w:rsid w:val="271E5F40"/>
    <w:rsid w:val="28676DC1"/>
    <w:rsid w:val="28942865"/>
    <w:rsid w:val="28A947D2"/>
    <w:rsid w:val="28E575B3"/>
    <w:rsid w:val="2A7F024F"/>
    <w:rsid w:val="2C15172A"/>
    <w:rsid w:val="2C4209CD"/>
    <w:rsid w:val="2C482226"/>
    <w:rsid w:val="2C6E329B"/>
    <w:rsid w:val="2C724519"/>
    <w:rsid w:val="2CF241A1"/>
    <w:rsid w:val="2D201470"/>
    <w:rsid w:val="2E150147"/>
    <w:rsid w:val="2EA24B8B"/>
    <w:rsid w:val="300C5F9A"/>
    <w:rsid w:val="301C19AA"/>
    <w:rsid w:val="30240E5A"/>
    <w:rsid w:val="314E373E"/>
    <w:rsid w:val="318D73A3"/>
    <w:rsid w:val="32BA750F"/>
    <w:rsid w:val="332E2E92"/>
    <w:rsid w:val="34A36A1A"/>
    <w:rsid w:val="35B95F9F"/>
    <w:rsid w:val="36277025"/>
    <w:rsid w:val="362E593B"/>
    <w:rsid w:val="363C7F4B"/>
    <w:rsid w:val="374756F9"/>
    <w:rsid w:val="378754C6"/>
    <w:rsid w:val="38C462CC"/>
    <w:rsid w:val="394B7113"/>
    <w:rsid w:val="397F6DBC"/>
    <w:rsid w:val="3997564A"/>
    <w:rsid w:val="39DB6854"/>
    <w:rsid w:val="3AE535E2"/>
    <w:rsid w:val="3BCB40FB"/>
    <w:rsid w:val="3BE25427"/>
    <w:rsid w:val="3CAF50AF"/>
    <w:rsid w:val="3CBB151C"/>
    <w:rsid w:val="3EAB7126"/>
    <w:rsid w:val="3EDE7B8A"/>
    <w:rsid w:val="3FD61690"/>
    <w:rsid w:val="40596335"/>
    <w:rsid w:val="42527979"/>
    <w:rsid w:val="42531823"/>
    <w:rsid w:val="42710B51"/>
    <w:rsid w:val="42D56CEC"/>
    <w:rsid w:val="4460375D"/>
    <w:rsid w:val="46E45866"/>
    <w:rsid w:val="476B3302"/>
    <w:rsid w:val="48A979B2"/>
    <w:rsid w:val="490602DB"/>
    <w:rsid w:val="4920683C"/>
    <w:rsid w:val="493300AD"/>
    <w:rsid w:val="49B36517"/>
    <w:rsid w:val="49D56914"/>
    <w:rsid w:val="4A1F1AAE"/>
    <w:rsid w:val="4AA36551"/>
    <w:rsid w:val="4B173EF6"/>
    <w:rsid w:val="4C7379D2"/>
    <w:rsid w:val="4C7F13F3"/>
    <w:rsid w:val="4D0474E2"/>
    <w:rsid w:val="4D2923D3"/>
    <w:rsid w:val="4DA348DD"/>
    <w:rsid w:val="4DE95686"/>
    <w:rsid w:val="4E404AAE"/>
    <w:rsid w:val="4E9B066A"/>
    <w:rsid w:val="4EAB1614"/>
    <w:rsid w:val="4F8A4AAA"/>
    <w:rsid w:val="4FD23AA1"/>
    <w:rsid w:val="5089772F"/>
    <w:rsid w:val="51A82085"/>
    <w:rsid w:val="51EC562F"/>
    <w:rsid w:val="52D26581"/>
    <w:rsid w:val="53925035"/>
    <w:rsid w:val="53CC6C4A"/>
    <w:rsid w:val="53D55AFF"/>
    <w:rsid w:val="5436783A"/>
    <w:rsid w:val="55635792"/>
    <w:rsid w:val="55A368E1"/>
    <w:rsid w:val="55EC1E75"/>
    <w:rsid w:val="569C75E7"/>
    <w:rsid w:val="57267409"/>
    <w:rsid w:val="573E204E"/>
    <w:rsid w:val="57AE1C9C"/>
    <w:rsid w:val="5890078A"/>
    <w:rsid w:val="58915DCF"/>
    <w:rsid w:val="58E05545"/>
    <w:rsid w:val="58E77CA2"/>
    <w:rsid w:val="58EB2A6D"/>
    <w:rsid w:val="592A03F7"/>
    <w:rsid w:val="59310144"/>
    <w:rsid w:val="59C75F52"/>
    <w:rsid w:val="59FC2061"/>
    <w:rsid w:val="5ACA3DB5"/>
    <w:rsid w:val="5C3513C3"/>
    <w:rsid w:val="5C41746C"/>
    <w:rsid w:val="5C687E1F"/>
    <w:rsid w:val="5CAD14FC"/>
    <w:rsid w:val="5D845E1D"/>
    <w:rsid w:val="5D9C2C0B"/>
    <w:rsid w:val="5E47245C"/>
    <w:rsid w:val="5EA62EA5"/>
    <w:rsid w:val="5EB80C29"/>
    <w:rsid w:val="5F496FD8"/>
    <w:rsid w:val="5F7D4D37"/>
    <w:rsid w:val="5FF06E38"/>
    <w:rsid w:val="61F95B52"/>
    <w:rsid w:val="620278AE"/>
    <w:rsid w:val="62F501E2"/>
    <w:rsid w:val="62FF66F4"/>
    <w:rsid w:val="636F222D"/>
    <w:rsid w:val="63EB4ECB"/>
    <w:rsid w:val="63F3218E"/>
    <w:rsid w:val="643676E6"/>
    <w:rsid w:val="65DE423F"/>
    <w:rsid w:val="65E478B3"/>
    <w:rsid w:val="666C6A9D"/>
    <w:rsid w:val="678A7A30"/>
    <w:rsid w:val="679E1D19"/>
    <w:rsid w:val="69F763B9"/>
    <w:rsid w:val="6A1621AB"/>
    <w:rsid w:val="6A9E5982"/>
    <w:rsid w:val="6C876468"/>
    <w:rsid w:val="6D4931E6"/>
    <w:rsid w:val="6DED5626"/>
    <w:rsid w:val="6E4401DE"/>
    <w:rsid w:val="6EDB6741"/>
    <w:rsid w:val="6EEA533C"/>
    <w:rsid w:val="6F6006D8"/>
    <w:rsid w:val="6F650270"/>
    <w:rsid w:val="6FBE75C6"/>
    <w:rsid w:val="70DE797C"/>
    <w:rsid w:val="71306842"/>
    <w:rsid w:val="715D4DC7"/>
    <w:rsid w:val="71B2721E"/>
    <w:rsid w:val="71C67AE3"/>
    <w:rsid w:val="71E57242"/>
    <w:rsid w:val="722872EA"/>
    <w:rsid w:val="723C311D"/>
    <w:rsid w:val="746E36DA"/>
    <w:rsid w:val="750E27E9"/>
    <w:rsid w:val="757E69B9"/>
    <w:rsid w:val="762A7040"/>
    <w:rsid w:val="76756D26"/>
    <w:rsid w:val="786960F3"/>
    <w:rsid w:val="78B74ABD"/>
    <w:rsid w:val="78F65992"/>
    <w:rsid w:val="79C50B4D"/>
    <w:rsid w:val="79CF72F1"/>
    <w:rsid w:val="79EF789A"/>
    <w:rsid w:val="7A5F2201"/>
    <w:rsid w:val="7B291700"/>
    <w:rsid w:val="7B434722"/>
    <w:rsid w:val="7C543B28"/>
    <w:rsid w:val="7C55195A"/>
    <w:rsid w:val="7CC00607"/>
    <w:rsid w:val="7CDF6958"/>
    <w:rsid w:val="7D430E75"/>
    <w:rsid w:val="7DF6255A"/>
    <w:rsid w:val="7E29110E"/>
    <w:rsid w:val="7F6467FB"/>
    <w:rsid w:val="7F94249B"/>
    <w:rsid w:val="7FC1228D"/>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24"/>
      <w:lang w:val="en-US" w:eastAsia="zh-CN" w:bidi="ar-SA"/>
    </w:rPr>
  </w:style>
  <w:style w:type="paragraph" w:styleId="2">
    <w:name w:val="heading 1"/>
    <w:basedOn w:val="1"/>
    <w:next w:val="1"/>
    <w:qFormat/>
    <w:uiPriority w:val="0"/>
    <w:pPr>
      <w:spacing w:before="100" w:beforeAutospacing="1" w:after="100" w:afterAutospacing="1"/>
      <w:jc w:val="left"/>
      <w:outlineLvl w:val="0"/>
    </w:pPr>
    <w:rPr>
      <w:rFonts w:hint="eastAsia" w:ascii="宋体" w:hAnsi="宋体" w:eastAsia="宋体" w:cs="宋体"/>
      <w:b/>
      <w:bCs/>
      <w:kern w:val="44"/>
      <w:sz w:val="48"/>
      <w:szCs w:val="48"/>
      <w:lang w:val="en-US" w:eastAsia="zh-CN" w:bidi="ar"/>
    </w:rPr>
  </w:style>
  <w:style w:type="paragraph" w:styleId="3">
    <w:name w:val="heading 2"/>
    <w:basedOn w:val="1"/>
    <w:next w:val="1"/>
    <w:unhideWhenUsed/>
    <w:qFormat/>
    <w:uiPriority w:val="0"/>
    <w:pPr>
      <w:spacing w:before="100" w:beforeAutospacing="1" w:after="100" w:afterAutospacing="1"/>
      <w:jc w:val="left"/>
      <w:outlineLvl w:val="1"/>
    </w:pPr>
    <w:rPr>
      <w:rFonts w:hint="eastAsia" w:ascii="宋体" w:hAnsi="宋体" w:eastAsia="宋体" w:cs="宋体"/>
      <w:b/>
      <w:bCs/>
      <w:kern w:val="0"/>
      <w:sz w:val="36"/>
      <w:szCs w:val="36"/>
      <w:lang w:val="en-US" w:eastAsia="zh-CN" w:bidi="ar"/>
    </w:rPr>
  </w:style>
  <w:style w:type="character" w:default="1" w:styleId="15">
    <w:name w:val="Default Paragraph Font"/>
    <w:semiHidden/>
    <w:qFormat/>
    <w:uiPriority w:val="0"/>
  </w:style>
  <w:style w:type="table" w:default="1" w:styleId="13">
    <w:name w:val="Normal Table"/>
    <w:semiHidden/>
    <w:qFormat/>
    <w:uiPriority w:val="0"/>
    <w:tblPr>
      <w:tblCellMar>
        <w:top w:w="0" w:type="dxa"/>
        <w:left w:w="108" w:type="dxa"/>
        <w:bottom w:w="0" w:type="dxa"/>
        <w:right w:w="108" w:type="dxa"/>
      </w:tblCellMar>
    </w:tblPr>
  </w:style>
  <w:style w:type="paragraph" w:styleId="4">
    <w:name w:val="Normal Indent"/>
    <w:basedOn w:val="1"/>
    <w:qFormat/>
    <w:uiPriority w:val="0"/>
    <w:pPr>
      <w:ind w:firstLine="420" w:firstLineChars="200"/>
    </w:pPr>
    <w:rPr>
      <w:rFonts w:eastAsia="仿宋_GB2312"/>
      <w:sz w:val="30"/>
    </w:rPr>
  </w:style>
  <w:style w:type="paragraph" w:styleId="5">
    <w:name w:val="toa heading"/>
    <w:basedOn w:val="1"/>
    <w:next w:val="1"/>
    <w:qFormat/>
    <w:uiPriority w:val="0"/>
    <w:pPr>
      <w:spacing w:before="120" w:beforeAutospacing="0" w:after="0" w:afterAutospacing="0"/>
      <w:ind w:left="0" w:right="0"/>
      <w:jc w:val="left"/>
    </w:pPr>
    <w:rPr>
      <w:rFonts w:hint="default" w:ascii="Cambria" w:hAnsi="Cambria" w:eastAsia="宋体" w:cs="Times New Roman"/>
      <w:kern w:val="0"/>
      <w:sz w:val="24"/>
      <w:szCs w:val="24"/>
      <w:lang w:val="en-US" w:eastAsia="zh-CN" w:bidi="ar"/>
    </w:rPr>
  </w:style>
  <w:style w:type="paragraph" w:styleId="6">
    <w:name w:val="Body Text"/>
    <w:basedOn w:val="1"/>
    <w:next w:val="1"/>
    <w:qFormat/>
    <w:uiPriority w:val="0"/>
    <w:pPr>
      <w:spacing w:before="190"/>
      <w:ind w:left="104"/>
    </w:pPr>
    <w:rPr>
      <w:rFonts w:ascii="宋体" w:hAnsi="宋体" w:eastAsia="宋体" w:cs="宋体"/>
      <w:sz w:val="32"/>
      <w:szCs w:val="32"/>
      <w:lang w:val="zh-CN" w:eastAsia="zh-CN" w:bidi="zh-CN"/>
    </w:rPr>
  </w:style>
  <w:style w:type="paragraph" w:styleId="7">
    <w:name w:val="footer"/>
    <w:basedOn w:val="1"/>
    <w:link w:val="20"/>
    <w:qFormat/>
    <w:uiPriority w:val="0"/>
    <w:pPr>
      <w:tabs>
        <w:tab w:val="center" w:pos="4153"/>
        <w:tab w:val="right" w:pos="8306"/>
      </w:tabs>
      <w:snapToGrid w:val="0"/>
      <w:jc w:val="left"/>
    </w:pPr>
    <w:rPr>
      <w:sz w:val="18"/>
      <w:szCs w:val="18"/>
    </w:rPr>
  </w:style>
  <w:style w:type="paragraph" w:styleId="8">
    <w:name w:val="header"/>
    <w:basedOn w:val="1"/>
    <w:link w:val="21"/>
    <w:qFormat/>
    <w:uiPriority w:val="0"/>
    <w:pPr>
      <w:pBdr>
        <w:bottom w:val="single" w:color="auto" w:sz="6" w:space="1"/>
      </w:pBdr>
      <w:tabs>
        <w:tab w:val="center" w:pos="4153"/>
        <w:tab w:val="right" w:pos="8306"/>
      </w:tabs>
      <w:snapToGrid w:val="0"/>
      <w:jc w:val="center"/>
    </w:pPr>
    <w:rPr>
      <w:sz w:val="18"/>
      <w:szCs w:val="18"/>
    </w:rPr>
  </w:style>
  <w:style w:type="paragraph" w:styleId="9">
    <w:name w:val="Subtitle"/>
    <w:basedOn w:val="1"/>
    <w:qFormat/>
    <w:uiPriority w:val="0"/>
    <w:pPr>
      <w:spacing w:line="700" w:lineRule="exact"/>
      <w:jc w:val="center"/>
      <w:outlineLvl w:val="1"/>
    </w:pPr>
    <w:rPr>
      <w:rFonts w:ascii="Arial" w:hAnsi="Arial" w:eastAsia="方正小标宋简体" w:cs="Arial"/>
      <w:b/>
      <w:bCs/>
      <w:kern w:val="28"/>
      <w:sz w:val="44"/>
      <w:szCs w:val="44"/>
    </w:rPr>
  </w:style>
  <w:style w:type="paragraph" w:styleId="10">
    <w:name w:val="toc 2"/>
    <w:basedOn w:val="1"/>
    <w:next w:val="1"/>
    <w:qFormat/>
    <w:uiPriority w:val="0"/>
    <w:pPr>
      <w:widowControl w:val="0"/>
      <w:kinsoku w:val="0"/>
      <w:overflowPunct w:val="0"/>
      <w:autoSpaceDE w:val="0"/>
      <w:autoSpaceDN w:val="0"/>
      <w:spacing w:line="20" w:lineRule="exact"/>
      <w:ind w:firstLine="640" w:firstLineChars="200"/>
      <w:jc w:val="both"/>
    </w:pPr>
    <w:rPr>
      <w:rFonts w:ascii="楷体_GB2312" w:hAnsi="黑体" w:eastAsia="楷体_GB2312" w:cs="楷体_GB2312"/>
      <w:kern w:val="0"/>
      <w:sz w:val="32"/>
      <w:szCs w:val="32"/>
      <w:lang w:val="en-US" w:eastAsia="zh-CN"/>
    </w:rPr>
  </w:style>
  <w:style w:type="paragraph" w:styleId="11">
    <w:name w:val="Normal (Web)"/>
    <w:basedOn w:val="1"/>
    <w:qFormat/>
    <w:uiPriority w:val="0"/>
    <w:pPr>
      <w:spacing w:before="100" w:beforeAutospacing="1" w:after="100" w:afterAutospacing="1"/>
      <w:ind w:left="0" w:right="0"/>
      <w:jc w:val="left"/>
    </w:pPr>
    <w:rPr>
      <w:kern w:val="0"/>
      <w:sz w:val="24"/>
      <w:lang w:val="en-US" w:eastAsia="zh-CN" w:bidi="ar"/>
    </w:rPr>
  </w:style>
  <w:style w:type="paragraph" w:styleId="12">
    <w:name w:val="Title"/>
    <w:basedOn w:val="1"/>
    <w:next w:val="1"/>
    <w:qFormat/>
    <w:uiPriority w:val="0"/>
    <w:pPr>
      <w:spacing w:before="240" w:after="60"/>
      <w:jc w:val="center"/>
      <w:outlineLvl w:val="0"/>
    </w:pPr>
    <w:rPr>
      <w:rFonts w:ascii="Cambria" w:hAnsi="Cambria" w:cs="Cambria"/>
      <w:b/>
      <w:bCs/>
      <w:kern w:val="0"/>
      <w:sz w:val="32"/>
      <w:szCs w:val="32"/>
    </w:rPr>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6">
    <w:name w:val="Strong"/>
    <w:basedOn w:val="15"/>
    <w:qFormat/>
    <w:uiPriority w:val="0"/>
    <w:rPr>
      <w:b/>
      <w:bCs/>
    </w:rPr>
  </w:style>
  <w:style w:type="character" w:styleId="17">
    <w:name w:val="page number"/>
    <w:basedOn w:val="15"/>
    <w:qFormat/>
    <w:uiPriority w:val="0"/>
  </w:style>
  <w:style w:type="character" w:styleId="18">
    <w:name w:val="Hyperlink"/>
    <w:basedOn w:val="15"/>
    <w:qFormat/>
    <w:uiPriority w:val="0"/>
    <w:rPr>
      <w:color w:val="0000FF"/>
      <w:u w:val="single"/>
    </w:rPr>
  </w:style>
  <w:style w:type="paragraph" w:customStyle="1" w:styleId="19">
    <w:name w:val="toa heading1"/>
    <w:basedOn w:val="1"/>
    <w:next w:val="1"/>
    <w:qFormat/>
    <w:uiPriority w:val="99"/>
    <w:pPr>
      <w:spacing w:before="120"/>
    </w:pPr>
    <w:rPr>
      <w:rFonts w:ascii="Arial" w:hAnsi="Arial" w:cs="Arial"/>
      <w:sz w:val="24"/>
      <w:szCs w:val="24"/>
    </w:rPr>
  </w:style>
  <w:style w:type="character" w:customStyle="1" w:styleId="20">
    <w:name w:val="页脚 Char"/>
    <w:basedOn w:val="15"/>
    <w:link w:val="7"/>
    <w:qFormat/>
    <w:uiPriority w:val="0"/>
    <w:rPr>
      <w:rFonts w:eastAsia="仿宋_GB2312"/>
      <w:kern w:val="2"/>
      <w:sz w:val="18"/>
      <w:szCs w:val="18"/>
      <w:lang w:val="en-US" w:eastAsia="zh-CN" w:bidi="ar-SA"/>
    </w:rPr>
  </w:style>
  <w:style w:type="character" w:customStyle="1" w:styleId="21">
    <w:name w:val="页眉 Char"/>
    <w:basedOn w:val="15"/>
    <w:link w:val="8"/>
    <w:qFormat/>
    <w:uiPriority w:val="0"/>
    <w:rPr>
      <w:rFonts w:eastAsia="仿宋_GB2312"/>
      <w:kern w:val="2"/>
      <w:sz w:val="18"/>
      <w:szCs w:val="18"/>
      <w:lang w:val="en-US" w:eastAsia="zh-CN" w:bidi="ar-SA"/>
    </w:rPr>
  </w:style>
  <w:style w:type="character" w:customStyle="1" w:styleId="22">
    <w:name w:val="bjh-strong2"/>
    <w:basedOn w:val="15"/>
    <w:qFormat/>
    <w:uiPriority w:val="0"/>
    <w:rPr>
      <w:b/>
      <w:color w:val="333333"/>
      <w:sz w:val="27"/>
      <w:szCs w:val="27"/>
    </w:rPr>
  </w:style>
  <w:style w:type="character" w:customStyle="1" w:styleId="23">
    <w:name w:val="NormalCharacter"/>
    <w:link w:val="24"/>
    <w:semiHidden/>
    <w:qFormat/>
    <w:uiPriority w:val="0"/>
    <w:rPr>
      <w:rFonts w:ascii="Times New Roman" w:hAnsi="Times New Roman"/>
      <w:kern w:val="2"/>
      <w:sz w:val="21"/>
      <w:szCs w:val="24"/>
      <w:lang w:val="en-US" w:eastAsia="zh-CN" w:bidi="ar-SA"/>
    </w:rPr>
  </w:style>
  <w:style w:type="paragraph" w:customStyle="1" w:styleId="24">
    <w:name w:val="UserStyle_3"/>
    <w:basedOn w:val="1"/>
    <w:link w:val="23"/>
    <w:qFormat/>
    <w:uiPriority w:val="0"/>
    <w:pPr>
      <w:widowControl/>
      <w:spacing w:after="160" w:line="240" w:lineRule="exact"/>
      <w:jc w:val="left"/>
      <w:textAlignment w:val="baseline"/>
    </w:pPr>
    <w:rPr>
      <w:rFonts w:ascii="Times New Roman" w:hAnsi="Times New Roman"/>
      <w:kern w:val="2"/>
      <w:sz w:val="21"/>
      <w:szCs w:val="24"/>
      <w:lang w:val="en-US" w:eastAsia="zh-CN" w:bidi="ar-SA"/>
    </w:rPr>
  </w:style>
  <w:style w:type="character" w:customStyle="1" w:styleId="25">
    <w:name w:val="16"/>
    <w:basedOn w:val="15"/>
    <w:qFormat/>
    <w:uiPriority w:val="0"/>
    <w:rPr>
      <w:rFonts w:hint="default" w:ascii="Times New Roman" w:hAnsi="Times New Roman" w:cs="Times New Roman"/>
      <w:b/>
    </w:rPr>
  </w:style>
  <w:style w:type="paragraph" w:customStyle="1" w:styleId="26">
    <w:name w:val="Default"/>
    <w:qFormat/>
    <w:uiPriority w:val="0"/>
    <w:pPr>
      <w:widowControl w:val="0"/>
      <w:autoSpaceDE w:val="0"/>
      <w:autoSpaceDN w:val="0"/>
      <w:adjustRightInd w:val="0"/>
    </w:pPr>
    <w:rPr>
      <w:rFonts w:ascii="仿宋_GB2312" w:hAnsi="Times New Roman" w:eastAsia="仿宋_GB2312" w:cs="Times New Roman"/>
      <w:color w:val="000000"/>
      <w:sz w:val="24"/>
      <w:szCs w:val="22"/>
      <w:lang w:val="en-US" w:eastAsia="zh-CN" w:bidi="ar-SA"/>
    </w:rPr>
  </w:style>
  <w:style w:type="paragraph" w:customStyle="1" w:styleId="27">
    <w:name w:val="Body text|1"/>
    <w:basedOn w:val="1"/>
    <w:qFormat/>
    <w:uiPriority w:val="0"/>
    <w:pPr>
      <w:widowControl w:val="0"/>
      <w:shd w:val="clear" w:color="auto" w:fill="auto"/>
      <w:spacing w:line="420" w:lineRule="auto"/>
      <w:ind w:firstLine="400"/>
    </w:pPr>
    <w:rPr>
      <w:rFonts w:ascii="宋体" w:hAnsi="宋体" w:eastAsia="宋体" w:cs="宋体"/>
      <w:sz w:val="30"/>
      <w:szCs w:val="30"/>
      <w:u w:val="none"/>
      <w:shd w:val="clear" w:color="auto" w:fill="auto"/>
      <w:lang w:val="zh-TW" w:eastAsia="zh-TW" w:bidi="zh-TW"/>
    </w:rPr>
  </w:style>
  <w:style w:type="paragraph" w:customStyle="1" w:styleId="28">
    <w:name w:val="正文部分 Char Char Char"/>
    <w:basedOn w:val="6"/>
    <w:next w:val="29"/>
    <w:qFormat/>
    <w:uiPriority w:val="0"/>
    <w:pPr>
      <w:adjustRightInd w:val="0"/>
      <w:spacing w:line="460" w:lineRule="exact"/>
      <w:textAlignment w:val="baseline"/>
    </w:pPr>
    <w:rPr>
      <w:rFonts w:hAnsi="Calibri"/>
      <w:sz w:val="24"/>
      <w:szCs w:val="24"/>
    </w:rPr>
  </w:style>
  <w:style w:type="paragraph" w:customStyle="1" w:styleId="29">
    <w:name w:val="章标题"/>
    <w:basedOn w:val="12"/>
    <w:qFormat/>
    <w:uiPriority w:val="0"/>
    <w:pPr>
      <w:spacing w:line="360" w:lineRule="auto"/>
    </w:pPr>
  </w:style>
  <w:style w:type="paragraph" w:customStyle="1" w:styleId="30">
    <w:name w:val="纯文本1"/>
    <w:qFormat/>
    <w:uiPriority w:val="0"/>
    <w:rPr>
      <w:rFonts w:ascii="宋体" w:hAnsi="Courier New" w:eastAsia="宋体" w:cs="Times New Roman"/>
      <w:sz w:val="21"/>
      <w:szCs w:val="22"/>
      <w:lang w:val="en-US" w:eastAsia="zh-CN" w:bidi="ar-SA"/>
    </w:rPr>
  </w:style>
  <w:style w:type="paragraph" w:customStyle="1" w:styleId="31">
    <w:name w:val="Other|2"/>
    <w:basedOn w:val="1"/>
    <w:qFormat/>
    <w:uiPriority w:val="0"/>
    <w:pPr>
      <w:widowControl w:val="0"/>
      <w:shd w:val="clear" w:color="auto" w:fill="auto"/>
      <w:spacing w:line="184" w:lineRule="exact"/>
      <w:jc w:val="center"/>
    </w:pPr>
    <w:rPr>
      <w:rFonts w:ascii="宋体" w:hAnsi="宋体" w:eastAsia="宋体" w:cs="宋体"/>
      <w:sz w:val="20"/>
      <w:szCs w:val="20"/>
      <w:u w:val="none"/>
      <w:shd w:val="clear" w:color="auto" w:fill="auto"/>
      <w:lang w:val="zh-TW" w:eastAsia="zh-TW" w:bidi="zh-TW"/>
    </w:rPr>
  </w:style>
  <w:style w:type="paragraph" w:customStyle="1" w:styleId="32">
    <w:name w:val="Other|1"/>
    <w:basedOn w:val="1"/>
    <w:qFormat/>
    <w:uiPriority w:val="0"/>
    <w:pPr>
      <w:widowControl w:val="0"/>
      <w:shd w:val="clear" w:color="auto" w:fill="auto"/>
      <w:spacing w:line="389" w:lineRule="auto"/>
      <w:ind w:firstLine="400"/>
    </w:pPr>
    <w:rPr>
      <w:rFonts w:ascii="宋体" w:hAnsi="宋体" w:eastAsia="宋体" w:cs="宋体"/>
      <w:sz w:val="32"/>
      <w:szCs w:val="32"/>
      <w:u w:val="none"/>
      <w:shd w:val="clear" w:color="auto" w:fill="auto"/>
      <w:lang w:val="zh-TW" w:eastAsia="zh-TW" w:bidi="zh-TW"/>
    </w:rPr>
  </w:style>
  <w:style w:type="paragraph" w:customStyle="1" w:styleId="33">
    <w:name w:val="普通(网站) Char"/>
    <w:basedOn w:val="1"/>
    <w:qFormat/>
    <w:uiPriority w:val="0"/>
    <w:pPr>
      <w:spacing w:before="100" w:beforeAutospacing="1" w:after="100" w:afterAutospacing="1"/>
      <w:ind w:left="0" w:right="0"/>
      <w:jc w:val="left"/>
    </w:pPr>
    <w:rPr>
      <w:rFonts w:hint="eastAsia" w:ascii="宋体" w:hAnsi="宋体" w:eastAsia="宋体" w:cs="宋体"/>
      <w:kern w:val="0"/>
      <w:sz w:val="24"/>
      <w:szCs w:val="24"/>
      <w:lang w:val="en-US" w:eastAsia="zh-CN" w:bidi="ar"/>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www.ftpdown.com</Company>
  <Pages>11</Pages>
  <Words>5383</Words>
  <Characters>5500</Characters>
  <Lines>3</Lines>
  <Paragraphs>1</Paragraphs>
  <TotalTime>24</TotalTime>
  <ScaleCrop>false</ScaleCrop>
  <LinksUpToDate>false</LinksUpToDate>
  <CharactersWithSpaces>5542</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2018-01-04T01:32:00Z</dcterms:created>
  <dc:creator>Microsoft</dc:creator>
  <cp:lastModifiedBy>WPS_1620463685</cp:lastModifiedBy>
  <cp:lastPrinted>2026-01-12T02:23:00Z</cp:lastPrinted>
  <dcterms:modified xsi:type="dcterms:W3CDTF">2026-01-16T07:26:40Z</dcterms:modified>
  <dc:title>晋州市商务局文件</dc:title>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94EC0F0CAA9B4C378E1A3DC1B7BCBE99_13</vt:lpwstr>
  </property>
  <property fmtid="{D5CDD505-2E9C-101B-9397-08002B2CF9AE}" pid="4" name="KSOTemplateDocerSaveRecord">
    <vt:lpwstr>eyJoZGlkIjoiZjhiZGE4NGNhYTUzOTFkOWJiZThhNTk1YjgzZTZiMzUiLCJ1c2VySWQiOiIxMjA4MTI0NDk0In0=</vt:lpwstr>
  </property>
</Properties>
</file>