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2C21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简体" w:hAnsi="新宋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新宋体" w:eastAsia="方正小标宋简体" w:cs="方正小标宋简体"/>
          <w:sz w:val="44"/>
          <w:szCs w:val="44"/>
          <w:lang w:val="en-US" w:eastAsia="zh-CN"/>
        </w:rPr>
        <w:t>晋州市市场监督管理局</w:t>
      </w:r>
    </w:p>
    <w:p w14:paraId="2D9D53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简体" w:hAnsi="新宋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新宋体" w:eastAsia="方正小标宋简体" w:cs="方正小标宋简体"/>
          <w:sz w:val="44"/>
          <w:szCs w:val="44"/>
          <w:lang w:val="en-US" w:eastAsia="zh-CN"/>
        </w:rPr>
        <w:t>关于不合格餐饮具、食品核查处置结果的通告</w:t>
      </w:r>
    </w:p>
    <w:p w14:paraId="5669C423">
      <w:pPr>
        <w:jc w:val="center"/>
        <w:rPr>
          <w:rFonts w:hint="eastAsia" w:ascii="方正小标宋简体" w:eastAsia="方正小标宋简体" w:cs="方正小标宋简体"/>
          <w:sz w:val="28"/>
          <w:szCs w:val="28"/>
          <w:lang w:val="en-US" w:eastAsia="zh-CN"/>
        </w:rPr>
      </w:pPr>
      <w:r>
        <w:rPr>
          <w:rFonts w:ascii="方正小标宋简体" w:eastAsia="方正小标宋简体" w:cs="方正小标宋简体"/>
          <w:sz w:val="28"/>
          <w:szCs w:val="28"/>
          <w:lang w:val="en-US" w:eastAsia="zh-CN"/>
        </w:rPr>
        <w:t>（</w:t>
      </w:r>
      <w:r>
        <w:rPr>
          <w:rFonts w:hint="eastAsia" w:ascii="方正小标宋简体" w:eastAsia="方正小标宋简体" w:cs="方正小标宋简体"/>
          <w:sz w:val="28"/>
          <w:szCs w:val="28"/>
          <w:lang w:val="en-US" w:eastAsia="zh-CN"/>
        </w:rPr>
        <w:t>202</w:t>
      </w:r>
      <w:r>
        <w:rPr>
          <w:rFonts w:ascii="方正小标宋简体" w:eastAsia="方正小标宋简体" w:cs="方正小标宋简体"/>
          <w:sz w:val="28"/>
          <w:szCs w:val="28"/>
          <w:lang w:val="en-US" w:eastAsia="zh-CN"/>
        </w:rPr>
        <w:t>5</w:t>
      </w:r>
      <w:r>
        <w:rPr>
          <w:rFonts w:hint="eastAsia" w:ascii="方正小标宋简体" w:eastAsia="方正小标宋简体" w:cs="方正小标宋简体"/>
          <w:sz w:val="28"/>
          <w:szCs w:val="28"/>
          <w:lang w:val="en-US" w:eastAsia="zh-CN"/>
        </w:rPr>
        <w:t>年</w:t>
      </w:r>
      <w:r>
        <w:rPr>
          <w:rFonts w:ascii="方正小标宋简体" w:eastAsia="方正小标宋简体" w:cs="方正小标宋简体"/>
          <w:sz w:val="28"/>
          <w:szCs w:val="28"/>
          <w:lang w:val="en-US" w:eastAsia="zh-CN"/>
        </w:rPr>
        <w:t>餐饮环节</w:t>
      </w:r>
      <w:r>
        <w:rPr>
          <w:rFonts w:hint="eastAsia" w:ascii="方正小标宋简体" w:eastAsia="方正小标宋简体" w:cs="方正小标宋简体"/>
          <w:sz w:val="28"/>
          <w:szCs w:val="28"/>
          <w:lang w:val="en-US" w:eastAsia="zh-CN"/>
        </w:rPr>
        <w:t>7-12月</w:t>
      </w:r>
      <w:r>
        <w:rPr>
          <w:rFonts w:ascii="方正小标宋简体" w:eastAsia="方正小标宋简体" w:cs="方正小标宋简体"/>
          <w:sz w:val="28"/>
          <w:szCs w:val="28"/>
          <w:lang w:val="en-US" w:eastAsia="zh-CN"/>
        </w:rPr>
        <w:t>）</w:t>
      </w:r>
    </w:p>
    <w:p w14:paraId="66814C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按照有关要求，现将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晋州市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市场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监督管理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局202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年7-12月抽检发现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的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4批次不合格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食品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风险控制</w:t>
      </w:r>
      <w:bookmarkStart w:id="0" w:name="_GoBack"/>
      <w:bookmarkEnd w:id="0"/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和处置情况通告如下：</w:t>
      </w:r>
    </w:p>
    <w:p w14:paraId="61AF16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一、白色椭圆形海浪图案瓷盘</w:t>
      </w:r>
    </w:p>
    <w:p w14:paraId="2A4EB3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（一）基本情况</w:t>
      </w:r>
    </w:p>
    <w:p w14:paraId="05C603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 w:cs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仿宋" w:eastAsia="仿宋_GB2312" w:cs="仿宋_GB2312"/>
          <w:color w:val="000000"/>
          <w:sz w:val="32"/>
          <w:szCs w:val="32"/>
          <w:lang w:val="en-US" w:eastAsia="zh-CN"/>
        </w:rPr>
        <w:t>样品名称：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白色椭圆形海浪图案瓷盘</w:t>
      </w:r>
      <w:r>
        <w:rPr>
          <w:rFonts w:hint="eastAsia" w:ascii="仿宋_GB2312" w:hAnsi="仿宋" w:eastAsia="仿宋_GB2312" w:cs="仿宋_GB2312"/>
          <w:color w:val="000000"/>
          <w:sz w:val="32"/>
          <w:szCs w:val="32"/>
          <w:lang w:val="en-US" w:eastAsia="zh-CN"/>
        </w:rPr>
        <w:t>。被抽样单位：</w:t>
      </w:r>
      <w:r>
        <w:rPr>
          <w:rFonts w:hint="eastAsia" w:ascii="仿宋_GB2312" w:eastAsia="仿宋_GB2312" w:cs="仿宋_GB2312"/>
          <w:b w:val="0"/>
          <w:bCs w:val="0"/>
          <w:i w:val="0"/>
          <w:iCs w:val="0"/>
          <w:caps w:val="0"/>
          <w:smallCaps w:val="0"/>
          <w:color w:val="000000"/>
          <w:spacing w:val="0"/>
          <w:sz w:val="32"/>
          <w:szCs w:val="32"/>
          <w:shd w:val="clear" w:color="auto" w:fill="FFFFFF"/>
        </w:rPr>
        <w:t>晋州市</w:t>
      </w:r>
      <w:r>
        <w:rPr>
          <w:rFonts w:hint="eastAsia" w:ascii="仿宋_GB2312" w:eastAsia="仿宋_GB2312" w:cs="仿宋_GB2312"/>
          <w:b w:val="0"/>
          <w:bCs w:val="0"/>
          <w:i w:val="0"/>
          <w:iCs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eastAsia="zh-CN"/>
        </w:rPr>
        <w:t>仟禧饭店</w:t>
      </w:r>
      <w:r>
        <w:rPr>
          <w:rFonts w:hint="eastAsia" w:ascii="仿宋_GB2312" w:hAnsi="仿宋" w:eastAsia="仿宋_GB2312" w:cs="仿宋_GB2312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。抽样日期202</w:t>
      </w:r>
      <w:r>
        <w:rPr>
          <w:rFonts w:ascii="仿宋_GB2312" w:hAnsi="仿宋" w:eastAsia="仿宋_GB2312" w:cs="仿宋_GB2312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5</w:t>
      </w:r>
      <w:r>
        <w:rPr>
          <w:rFonts w:hint="eastAsia" w:ascii="仿宋_GB2312" w:hAnsi="仿宋" w:eastAsia="仿宋_GB2312" w:cs="仿宋_GB2312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年10月29日，不合格项目：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经抽样检验，</w:t>
      </w:r>
      <w:r>
        <w:rPr>
          <w:rFonts w:hint="eastAsia" w:ascii="仿宋_GB2312" w:eastAsia="仿宋_GB2312" w:cs="仿宋_GB2312"/>
          <w:color w:val="000000"/>
          <w:sz w:val="32"/>
          <w:szCs w:val="32"/>
          <w:lang w:eastAsia="zh-CN"/>
        </w:rPr>
        <w:t>大肠杆菌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项目不符合GB 14934-2016《食品安全国家标准 消毒餐(饮)具》要求，检验结论为不合格。</w:t>
      </w:r>
      <w:r>
        <w:rPr>
          <w:rFonts w:hint="eastAsia" w:ascii="仿宋_GB2312" w:eastAsia="仿宋_GB2312" w:cs="仿宋_GB2312"/>
          <w:snapToGrid w:val="0"/>
          <w:color w:val="000000"/>
          <w:kern w:val="0"/>
          <w:sz w:val="32"/>
          <w:szCs w:val="32"/>
          <w:lang w:val="en-US" w:eastAsia="zh-CN" w:bidi="ar-SA"/>
        </w:rPr>
        <w:t>承检机构：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河北</w:t>
      </w:r>
      <w:r>
        <w:rPr>
          <w:rFonts w:hint="eastAsia" w:ascii="仿宋_GB2312" w:eastAsia="仿宋_GB2312" w:cs="仿宋_GB2312"/>
          <w:color w:val="000000"/>
          <w:sz w:val="32"/>
          <w:szCs w:val="32"/>
          <w:lang w:eastAsia="zh-CN"/>
        </w:rPr>
        <w:t>立诚检测科技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有限公司</w:t>
      </w:r>
      <w:r>
        <w:rPr>
          <w:rFonts w:hint="eastAsia" w:ascii="仿宋_GB2312" w:eastAsia="仿宋_GB2312" w:cs="仿宋_GB2312"/>
          <w:color w:val="000000"/>
          <w:sz w:val="32"/>
          <w:szCs w:val="32"/>
          <w:lang w:bidi="ar-SA"/>
        </w:rPr>
        <w:t>。</w:t>
      </w:r>
    </w:p>
    <w:p w14:paraId="536B15F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（二）风险控制及核查情况</w:t>
      </w:r>
    </w:p>
    <w:p w14:paraId="0E1B6D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hAnsi="仿宋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我局执法人员收到检验报告后立即送达被抽样单位，开展现场检查，被抽样单位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的不合格餐具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已经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全部使用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。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我局依据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《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中华人民共和国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食品安全法》第三十三条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第一款第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（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五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）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项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规定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责令被抽样单位改正违法行为，给予警告处罚。2025年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12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月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26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日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。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我局对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被抽样单位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的整改情况进行复查，对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被抽样单位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的</w:t>
      </w:r>
      <w:r>
        <w:rPr>
          <w:rFonts w:hint="eastAsia" w:ascii="仿宋_GB2312" w:eastAsia="仿宋_GB2312" w:cs="仿宋_GB2312"/>
          <w:b w:val="0"/>
          <w:bCs w:val="0"/>
          <w:i w:val="0"/>
          <w:iCs w:val="0"/>
          <w:caps w:val="0"/>
          <w:smallCaps w:val="0"/>
          <w:color w:val="000000"/>
          <w:spacing w:val="0"/>
          <w:sz w:val="32"/>
          <w:szCs w:val="32"/>
          <w:shd w:val="clear" w:color="auto" w:fill="FFFFFF"/>
        </w:rPr>
        <w:t>餐碗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再次送检，检验结果为合格，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被抽样单位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整改完毕。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依据《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中华人民共和国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食品安全法》第二十条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第一款第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（一）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项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规定，当事人符合不予立案条件，建议不予立案。</w:t>
      </w:r>
    </w:p>
    <w:p w14:paraId="1D161F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二、自消毒餐碗</w:t>
      </w:r>
    </w:p>
    <w:p w14:paraId="7A0250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（一）基本情况</w:t>
      </w:r>
    </w:p>
    <w:p w14:paraId="05D493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 w:cs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仿宋" w:eastAsia="仿宋_GB2312" w:cs="仿宋_GB2312"/>
          <w:color w:val="000000"/>
          <w:sz w:val="32"/>
          <w:szCs w:val="32"/>
          <w:lang w:val="en-US" w:eastAsia="zh-CN"/>
        </w:rPr>
        <w:t>样品名称：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自消毒餐碗</w:t>
      </w:r>
      <w:r>
        <w:rPr>
          <w:rFonts w:hint="eastAsia" w:ascii="仿宋_GB2312" w:hAnsi="仿宋" w:eastAsia="仿宋_GB2312" w:cs="仿宋_GB2312"/>
          <w:color w:val="000000"/>
          <w:sz w:val="32"/>
          <w:szCs w:val="32"/>
          <w:lang w:val="en-US" w:eastAsia="zh-CN"/>
        </w:rPr>
        <w:t>。被抽样单位：</w:t>
      </w:r>
      <w:r>
        <w:rPr>
          <w:rFonts w:hint="eastAsia" w:ascii="仿宋_GB2312" w:eastAsia="仿宋_GB2312" w:cs="仿宋_GB2312"/>
          <w:b w:val="0"/>
          <w:bCs w:val="0"/>
          <w:i w:val="0"/>
          <w:iCs w:val="0"/>
          <w:caps w:val="0"/>
          <w:smallCaps w:val="0"/>
          <w:color w:val="000000"/>
          <w:spacing w:val="0"/>
          <w:sz w:val="32"/>
          <w:szCs w:val="32"/>
          <w:shd w:val="clear" w:color="auto" w:fill="FFFFFF"/>
        </w:rPr>
        <w:t>晋州市</w:t>
      </w:r>
      <w:r>
        <w:rPr>
          <w:rFonts w:hint="eastAsia" w:ascii="仿宋_GB2312" w:eastAsia="仿宋_GB2312" w:cs="仿宋_GB2312"/>
          <w:b w:val="0"/>
          <w:bCs w:val="0"/>
          <w:i w:val="0"/>
          <w:iCs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eastAsia="zh-CN"/>
        </w:rPr>
        <w:t>小精灵托育服务有限公司</w:t>
      </w:r>
      <w:r>
        <w:rPr>
          <w:rFonts w:hint="eastAsia" w:ascii="仿宋_GB2312" w:hAnsi="仿宋" w:eastAsia="仿宋_GB2312" w:cs="仿宋_GB2312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。抽样日期202</w:t>
      </w:r>
      <w:r>
        <w:rPr>
          <w:rFonts w:ascii="仿宋_GB2312" w:hAnsi="仿宋" w:eastAsia="仿宋_GB2312" w:cs="仿宋_GB2312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5</w:t>
      </w:r>
      <w:r>
        <w:rPr>
          <w:rFonts w:hint="eastAsia" w:ascii="仿宋_GB2312" w:hAnsi="仿宋" w:eastAsia="仿宋_GB2312" w:cs="仿宋_GB2312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年10月14日，不合格项目：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经抽样检验，</w:t>
      </w:r>
      <w:r>
        <w:rPr>
          <w:rFonts w:hint="eastAsia" w:ascii="仿宋_GB2312" w:eastAsia="仿宋_GB2312" w:cs="仿宋_GB2312"/>
          <w:color w:val="000000"/>
          <w:sz w:val="32"/>
          <w:szCs w:val="32"/>
          <w:lang w:eastAsia="zh-CN"/>
        </w:rPr>
        <w:t>大肠杆菌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项目不符合GB</w:t>
      </w:r>
      <w:r>
        <w:rPr>
          <w:rFonts w:hint="eastAsia" w:ascii="仿宋_GB2312" w:eastAsia="仿宋_GB2312" w:cs="仿宋_GB2312"/>
          <w:color w:val="000000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14934-2016《食品安全国家标准 消毒餐(饮)具》要求，检验结论为不合格。</w:t>
      </w:r>
      <w:r>
        <w:rPr>
          <w:rFonts w:hint="eastAsia" w:ascii="仿宋_GB2312" w:eastAsia="仿宋_GB2312" w:cs="仿宋_GB2312"/>
          <w:snapToGrid w:val="0"/>
          <w:color w:val="000000"/>
          <w:kern w:val="0"/>
          <w:sz w:val="32"/>
          <w:szCs w:val="32"/>
          <w:lang w:val="en-US" w:eastAsia="zh-CN" w:bidi="ar-SA"/>
        </w:rPr>
        <w:t>承检机构：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山东润达检测技术有限公司</w:t>
      </w:r>
      <w:r>
        <w:rPr>
          <w:rFonts w:hint="eastAsia" w:ascii="仿宋_GB2312" w:eastAsia="仿宋_GB2312" w:cs="仿宋_GB2312"/>
          <w:color w:val="000000"/>
          <w:sz w:val="32"/>
          <w:szCs w:val="32"/>
          <w:lang w:bidi="ar-SA"/>
        </w:rPr>
        <w:t>。</w:t>
      </w:r>
    </w:p>
    <w:p w14:paraId="3114067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（二）风险控制及核查情况</w:t>
      </w:r>
    </w:p>
    <w:p w14:paraId="62FE56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hAnsi="仿宋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我局执法人员收到检验报告后立即送达被抽样单位，开展现场检查，被抽样单位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的不合格餐具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已经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全部使用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。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我局依据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《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中华人民共和国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食品安全法》第三十三条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第一款第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（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五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）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项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规定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责令被抽样单位改正违法行为，给予警告处罚。2025年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11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月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15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日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。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我局对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被抽样单位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的整改情况进行复查，对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被抽样单位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的</w:t>
      </w:r>
      <w:r>
        <w:rPr>
          <w:rFonts w:hint="eastAsia" w:ascii="仿宋_GB2312" w:eastAsia="仿宋_GB2312" w:cs="仿宋_GB2312"/>
          <w:b w:val="0"/>
          <w:bCs w:val="0"/>
          <w:i w:val="0"/>
          <w:iCs w:val="0"/>
          <w:caps w:val="0"/>
          <w:smallCaps w:val="0"/>
          <w:color w:val="000000"/>
          <w:spacing w:val="0"/>
          <w:sz w:val="32"/>
          <w:szCs w:val="32"/>
          <w:shd w:val="clear" w:color="auto" w:fill="FFFFFF"/>
        </w:rPr>
        <w:t>餐碗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再次送检，检验结果为合格，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被抽样单位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整改完毕。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依据《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中华人民共和国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食品安全法》第二十条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第一款第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（一）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项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规定，当事人符合不予立案条件，建议不予立案。</w:t>
      </w:r>
    </w:p>
    <w:p w14:paraId="77BE0E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三、白色长方形瓷盘</w:t>
      </w:r>
    </w:p>
    <w:p w14:paraId="25F829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（一）基本情况</w:t>
      </w:r>
    </w:p>
    <w:p w14:paraId="2DBD12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 w:cs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仿宋" w:eastAsia="仿宋_GB2312" w:cs="仿宋_GB2312"/>
          <w:color w:val="000000"/>
          <w:sz w:val="32"/>
          <w:szCs w:val="32"/>
          <w:lang w:val="en-US" w:eastAsia="zh-CN"/>
        </w:rPr>
        <w:t>样品名称：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白色长方形瓷盘</w:t>
      </w:r>
      <w:r>
        <w:rPr>
          <w:rFonts w:hint="eastAsia" w:ascii="仿宋_GB2312" w:hAnsi="仿宋" w:eastAsia="仿宋_GB2312" w:cs="仿宋_GB2312"/>
          <w:color w:val="000000"/>
          <w:sz w:val="32"/>
          <w:szCs w:val="32"/>
          <w:lang w:val="en-US" w:eastAsia="zh-CN"/>
        </w:rPr>
        <w:t>。被抽样单位：</w:t>
      </w:r>
      <w:r>
        <w:rPr>
          <w:rFonts w:hint="eastAsia" w:ascii="仿宋_GB2312" w:eastAsia="仿宋_GB2312" w:cs="仿宋_GB2312"/>
          <w:b w:val="0"/>
          <w:bCs w:val="0"/>
          <w:i w:val="0"/>
          <w:iCs w:val="0"/>
          <w:caps w:val="0"/>
          <w:smallCaps w:val="0"/>
          <w:color w:val="000000"/>
          <w:spacing w:val="0"/>
          <w:sz w:val="32"/>
          <w:szCs w:val="32"/>
          <w:shd w:val="clear" w:color="auto" w:fill="FFFFFF"/>
        </w:rPr>
        <w:t>晋州市</w:t>
      </w:r>
      <w:r>
        <w:rPr>
          <w:rFonts w:hint="eastAsia" w:ascii="仿宋_GB2312" w:eastAsia="仿宋_GB2312" w:cs="仿宋_GB2312"/>
          <w:b w:val="0"/>
          <w:bCs w:val="0"/>
          <w:i w:val="0"/>
          <w:iCs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eastAsia="zh-CN"/>
        </w:rPr>
        <w:t>檀森餐饮服务有限公司</w:t>
      </w:r>
      <w:r>
        <w:rPr>
          <w:rFonts w:hint="eastAsia" w:ascii="仿宋_GB2312" w:hAnsi="仿宋" w:eastAsia="仿宋_GB2312" w:cs="仿宋_GB2312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。抽样日期202</w:t>
      </w:r>
      <w:r>
        <w:rPr>
          <w:rFonts w:ascii="仿宋_GB2312" w:hAnsi="仿宋" w:eastAsia="仿宋_GB2312" w:cs="仿宋_GB2312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5</w:t>
      </w:r>
      <w:r>
        <w:rPr>
          <w:rFonts w:hint="eastAsia" w:ascii="仿宋_GB2312" w:hAnsi="仿宋" w:eastAsia="仿宋_GB2312" w:cs="仿宋_GB2312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年10月29日，不合格项目：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经抽样检验，</w:t>
      </w:r>
      <w:r>
        <w:rPr>
          <w:rFonts w:hint="eastAsia" w:ascii="仿宋_GB2312" w:eastAsia="仿宋_GB2312" w:cs="仿宋_GB2312"/>
          <w:color w:val="000000"/>
          <w:sz w:val="32"/>
          <w:szCs w:val="32"/>
          <w:lang w:eastAsia="zh-CN"/>
        </w:rPr>
        <w:t>大肠杆菌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项目不符合GB 14934-2016《食品安全国家标准 消毒餐(饮)具》要求，检验结论为不合格。</w:t>
      </w:r>
      <w:r>
        <w:rPr>
          <w:rFonts w:hint="eastAsia" w:ascii="仿宋_GB2312" w:eastAsia="仿宋_GB2312" w:cs="仿宋_GB2312"/>
          <w:snapToGrid w:val="0"/>
          <w:color w:val="000000"/>
          <w:kern w:val="0"/>
          <w:sz w:val="32"/>
          <w:szCs w:val="32"/>
          <w:lang w:val="en-US" w:eastAsia="zh-CN" w:bidi="ar-SA"/>
        </w:rPr>
        <w:t>承检机构：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河北</w:t>
      </w:r>
      <w:r>
        <w:rPr>
          <w:rFonts w:hint="eastAsia" w:ascii="仿宋_GB2312" w:eastAsia="仿宋_GB2312" w:cs="仿宋_GB2312"/>
          <w:color w:val="000000"/>
          <w:sz w:val="32"/>
          <w:szCs w:val="32"/>
          <w:lang w:eastAsia="zh-CN"/>
        </w:rPr>
        <w:t>立诚检测科技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有限公司</w:t>
      </w:r>
      <w:r>
        <w:rPr>
          <w:rFonts w:hint="eastAsia" w:ascii="仿宋_GB2312" w:eastAsia="仿宋_GB2312" w:cs="仿宋_GB2312"/>
          <w:color w:val="000000"/>
          <w:sz w:val="32"/>
          <w:szCs w:val="32"/>
          <w:lang w:bidi="ar-SA"/>
        </w:rPr>
        <w:t>。</w:t>
      </w:r>
    </w:p>
    <w:p w14:paraId="5E68365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kern w:val="2"/>
          <w:sz w:val="32"/>
          <w:szCs w:val="32"/>
          <w:lang w:val="en-US" w:eastAsia="zh-CN" w:bidi="ar-SA"/>
        </w:rPr>
        <w:t>（二）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风险控制及核查情况</w:t>
      </w:r>
    </w:p>
    <w:p w14:paraId="1E2D59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hAnsi="仿宋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我局执法人员收到检验报告后立即送达被抽样单位，开展现场检查，被抽样单位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的不合格餐具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已经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全部使用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。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我局依据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《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中华人民共和国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食品安全法》第三十三条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第一款第（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五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）项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规定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责令被抽样单位改正违法行为，给予警告处罚。2025年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11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月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24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日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。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我局对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被抽样单位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的整改情况进行复查，对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被抽样单位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的</w:t>
      </w:r>
      <w:r>
        <w:rPr>
          <w:rFonts w:hint="eastAsia" w:ascii="仿宋_GB2312" w:eastAsia="仿宋_GB2312" w:cs="仿宋_GB2312"/>
          <w:b w:val="0"/>
          <w:bCs w:val="0"/>
          <w:i w:val="0"/>
          <w:iCs w:val="0"/>
          <w:caps w:val="0"/>
          <w:smallCaps w:val="0"/>
          <w:color w:val="000000"/>
          <w:spacing w:val="0"/>
          <w:sz w:val="32"/>
          <w:szCs w:val="32"/>
          <w:shd w:val="clear" w:color="auto" w:fill="FFFFFF"/>
        </w:rPr>
        <w:t>餐碗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再次送检，检验结果为合格，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被抽样单位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整改完毕。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依据《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中华人民共和国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食品安全法》第二十条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第一款第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（一）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项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规定，当事人符合不予立案条件，建议不予立案。</w:t>
      </w:r>
    </w:p>
    <w:p w14:paraId="6A424A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四、</w:t>
      </w:r>
      <w:r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  <w:t>莎香鸡精调味料</w:t>
      </w:r>
    </w:p>
    <w:p w14:paraId="5FD694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（一）基本情况</w:t>
      </w:r>
    </w:p>
    <w:p w14:paraId="1E4699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 w:cs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仿宋" w:eastAsia="仿宋_GB2312" w:cs="仿宋_GB2312"/>
          <w:color w:val="000000"/>
          <w:sz w:val="32"/>
          <w:szCs w:val="32"/>
          <w:lang w:val="en-US" w:eastAsia="zh-CN"/>
        </w:rPr>
        <w:t>样品名称：莎香鸡精调味料。被抽样单位：</w:t>
      </w:r>
      <w:r>
        <w:rPr>
          <w:rFonts w:hint="eastAsia" w:ascii="仿宋_GB2312" w:eastAsia="仿宋_GB2312" w:cs="仿宋_GB2312"/>
          <w:b w:val="0"/>
          <w:bCs w:val="0"/>
          <w:i w:val="0"/>
          <w:iCs w:val="0"/>
          <w:caps w:val="0"/>
          <w:smallCaps w:val="0"/>
          <w:color w:val="000000"/>
          <w:spacing w:val="0"/>
          <w:sz w:val="32"/>
          <w:szCs w:val="32"/>
          <w:shd w:val="clear" w:color="auto" w:fill="FFFFFF"/>
        </w:rPr>
        <w:t>晋州市</w:t>
      </w:r>
      <w:r>
        <w:rPr>
          <w:rFonts w:hint="eastAsia" w:ascii="仿宋_GB2312" w:eastAsia="仿宋_GB2312" w:cs="仿宋_GB2312"/>
          <w:b w:val="0"/>
          <w:bCs w:val="0"/>
          <w:i w:val="0"/>
          <w:iCs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eastAsia="zh-CN"/>
        </w:rPr>
        <w:t>明德中学</w:t>
      </w:r>
      <w:r>
        <w:rPr>
          <w:rFonts w:hint="eastAsia" w:ascii="仿宋_GB2312" w:hAnsi="仿宋" w:eastAsia="仿宋_GB2312" w:cs="仿宋_GB2312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。抽样日期</w:t>
      </w:r>
      <w:r>
        <w:rPr>
          <w:rFonts w:ascii="仿宋_GB2312" w:hAnsi="仿宋" w:eastAsia="仿宋_GB2312" w:cs="仿宋_GB2312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：</w:t>
      </w:r>
      <w:r>
        <w:rPr>
          <w:rFonts w:hint="eastAsia" w:ascii="仿宋_GB2312" w:hAnsi="仿宋" w:eastAsia="仿宋_GB2312" w:cs="仿宋_GB2312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2025年9月22日。不合格项目：</w:t>
      </w:r>
      <w:r>
        <w:rPr>
          <w:rFonts w:hint="eastAsia" w:ascii="仿宋_GB2312" w:eastAsia="仿宋_GB2312" w:cs="仿宋_GB2312"/>
          <w:sz w:val="32"/>
          <w:szCs w:val="32"/>
        </w:rPr>
        <w:t>经抽样检验，</w:t>
      </w:r>
      <w:r>
        <w:rPr>
          <w:rFonts w:hint="eastAsia" w:ascii="仿宋_GB2312" w:eastAsia="仿宋_GB2312" w:cs="仿宋_GB2312"/>
          <w:sz w:val="32"/>
          <w:szCs w:val="32"/>
          <w:lang w:eastAsia="zh-CN"/>
        </w:rPr>
        <w:t>呈味核苷酸二钠</w:t>
      </w:r>
      <w:r>
        <w:rPr>
          <w:rFonts w:hint="eastAsia" w:ascii="仿宋_GB2312" w:eastAsia="仿宋_GB2312" w:cs="仿宋_GB2312"/>
          <w:sz w:val="32"/>
          <w:szCs w:val="32"/>
        </w:rPr>
        <w:t>项目不符合</w:t>
      </w:r>
      <w:r>
        <w:rPr>
          <w:rFonts w:hint="eastAsia" w:ascii="仿宋_GB2312" w:eastAsia="仿宋_GB2312" w:cs="仿宋_GB2312"/>
          <w:sz w:val="32"/>
          <w:szCs w:val="32"/>
          <w:lang w:val="en-US" w:eastAsia="zh-CN"/>
        </w:rPr>
        <w:t>SB/T 10371-2002《鸡精调味料</w:t>
      </w:r>
      <w:r>
        <w:rPr>
          <w:rFonts w:hint="eastAsia" w:ascii="仿宋_GB2312" w:eastAsia="仿宋_GB2312" w:cs="仿宋_GB2312"/>
          <w:sz w:val="32"/>
          <w:szCs w:val="32"/>
        </w:rPr>
        <w:t>》要求，检验结论为不合格。</w:t>
      </w:r>
      <w:r>
        <w:rPr>
          <w:rFonts w:hint="eastAsia" w:ascii="仿宋_GB2312" w:eastAsia="仿宋_GB2312" w:cs="仿宋_GB2312"/>
          <w:snapToGrid w:val="0"/>
          <w:color w:val="000000"/>
          <w:kern w:val="0"/>
          <w:sz w:val="32"/>
          <w:szCs w:val="32"/>
          <w:lang w:val="en-US" w:eastAsia="zh-CN" w:bidi="ar-SA"/>
        </w:rPr>
        <w:t>承检机构：</w:t>
      </w:r>
      <w:r>
        <w:rPr>
          <w:rFonts w:hint="eastAsia" w:ascii="仿宋_GB2312" w:eastAsia="仿宋_GB2312" w:cs="仿宋_GB2312"/>
          <w:sz w:val="32"/>
          <w:szCs w:val="32"/>
        </w:rPr>
        <w:t>河北</w:t>
      </w:r>
      <w:r>
        <w:rPr>
          <w:rFonts w:hint="eastAsia" w:ascii="仿宋_GB2312" w:eastAsia="仿宋_GB2312" w:cs="仿宋_GB2312"/>
          <w:sz w:val="32"/>
          <w:szCs w:val="32"/>
          <w:lang w:eastAsia="zh-CN"/>
        </w:rPr>
        <w:t>省食品检验研究院</w:t>
      </w:r>
      <w:r>
        <w:rPr>
          <w:rFonts w:hint="eastAsia" w:ascii="仿宋_GB2312" w:eastAsia="仿宋_GB2312" w:cs="仿宋_GB2312"/>
          <w:color w:val="000000"/>
          <w:sz w:val="32"/>
          <w:szCs w:val="32"/>
          <w:lang w:bidi="ar-SA"/>
        </w:rPr>
        <w:t>。</w:t>
      </w:r>
    </w:p>
    <w:p w14:paraId="41248D9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（二）风险控制及核查情况</w:t>
      </w:r>
    </w:p>
    <w:p w14:paraId="71EFF9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hAnsi="仿宋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我局执法人员收到检验报告后立即送达被抽样单位，开展现场检查，被抽样单位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的不合格食品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已经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使用完毕，没有剩余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。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经查，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被抽样单位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履行了进货查验等义务，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当事人有证据足以证明其没有主观过错，对该产品不符合食品安全标准并不知情。依据《市场监督管理行政处罚程序规定》第二十条第一款：“经核查，有下列情形之一的，可以不予立案：（三）当事人有证据足以证明没有主观过错，但法律、行政法规另有规定的除外；”之规定，建议不予立案。</w:t>
      </w:r>
    </w:p>
    <w:p w14:paraId="306CFC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hAnsi="仿宋" w:eastAsia="仿宋_GB2312" w:cs="仿宋_GB2312"/>
          <w:sz w:val="32"/>
          <w:szCs w:val="32"/>
          <w:lang w:val="en-US" w:eastAsia="zh-CN"/>
        </w:rPr>
      </w:pPr>
    </w:p>
    <w:p w14:paraId="798DD6B7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120" w:firstLineChars="1600"/>
        <w:jc w:val="right"/>
        <w:textAlignment w:val="auto"/>
        <w:rPr>
          <w:rFonts w:hint="default" w:ascii="仿宋_GB2312" w:hAnsi="仿宋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2026年1月21日</w:t>
      </w:r>
    </w:p>
    <w:sectPr>
      <w:footerReference r:id="rId5" w:type="first"/>
      <w:footerReference r:id="rId3" w:type="default"/>
      <w:footerReference r:id="rId4" w:type="even"/>
      <w:pgSz w:w="11906" w:h="16838"/>
      <w:pgMar w:top="2041" w:right="1531" w:bottom="2041" w:left="1531" w:header="851" w:footer="992" w:gutter="0"/>
      <w:cols w:space="0" w:num="1"/>
      <w:rtlGutter w:val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C51A98">
    <w:pPr>
      <w:pStyle w:val="5"/>
      <w:framePr w:wrap="around" w:vAnchor="text" w:hAnchor="margin" w:xAlign="center" w:y="1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  <w:r>
      <w:rPr>
        <w:rStyle w:val="9"/>
      </w:rPr>
      <w:fldChar w:fldCharType="begin"/>
    </w:r>
    <w:r>
      <w:rPr>
        <w:rStyle w:val="9"/>
      </w:rPr>
      <w:instrText xml:space="preserve">Page</w:instrText>
    </w:r>
    <w:r>
      <w:rPr>
        <w:rStyle w:val="9"/>
      </w:rPr>
      <w:fldChar w:fldCharType="separate"/>
    </w:r>
    <w:r>
      <w:rPr>
        <w:rStyle w:val="9"/>
      </w:rPr>
      <w:t>1</w:t>
    </w:r>
    <w:r>
      <w:rPr>
        <w:rStyle w:val="9"/>
      </w:rPr>
      <w:fldChar w:fldCharType="end"/>
    </w:r>
  </w:p>
  <w:p w14:paraId="0B8009A2">
    <w:pPr>
      <w:pStyle w:val="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2CB6EB">
    <w:pPr>
      <w:pStyle w:val="5"/>
      <w:framePr w:wrap="around" w:vAnchor="text" w:hAnchor="margin" w:xAlign="center" w:y="1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  <w:r>
      <w:rPr>
        <w:rStyle w:val="9"/>
      </w:rPr>
      <w:fldChar w:fldCharType="begin"/>
    </w:r>
    <w:r>
      <w:rPr>
        <w:rStyle w:val="9"/>
      </w:rPr>
      <w:instrText xml:space="preserve">Page</w:instrText>
    </w:r>
    <w:r>
      <w:rPr>
        <w:rStyle w:val="9"/>
      </w:rPr>
      <w:fldChar w:fldCharType="separate"/>
    </w:r>
    <w:r>
      <w:rPr>
        <w:rStyle w:val="9"/>
      </w:rPr>
      <w:t>1</w:t>
    </w:r>
    <w:r>
      <w:rPr>
        <w:rStyle w:val="9"/>
      </w:rPr>
      <w:fldChar w:fldCharType="end"/>
    </w:r>
  </w:p>
  <w:p w14:paraId="30D551AD">
    <w:pPr>
      <w:pStyle w:val="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D0309BC">
    <w:pPr>
      <w:pStyle w:val="5"/>
      <w:framePr w:wrap="around" w:vAnchor="text" w:hAnchor="margin" w:xAlign="center" w:y="1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  <w:r>
      <w:rPr>
        <w:rStyle w:val="9"/>
      </w:rPr>
      <w:fldChar w:fldCharType="begin"/>
    </w:r>
    <w:r>
      <w:rPr>
        <w:rStyle w:val="9"/>
      </w:rPr>
      <w:instrText xml:space="preserve">Page</w:instrText>
    </w:r>
    <w:r>
      <w:rPr>
        <w:rStyle w:val="9"/>
      </w:rPr>
      <w:fldChar w:fldCharType="separate"/>
    </w:r>
    <w:r>
      <w:rPr>
        <w:rStyle w:val="9"/>
      </w:rPr>
      <w:t>1</w:t>
    </w:r>
    <w:r>
      <w:rPr>
        <w:rStyle w:val="9"/>
      </w:rPr>
      <w:fldChar w:fldCharType="end"/>
    </w:r>
  </w:p>
  <w:p w14:paraId="5A65E5FD"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dit="readOnly"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ExpandShiftReturn/>
    <w:adjustLineHeightInTable/>
    <w:useFELayout/>
    <w:doNotUseIndentAsNumberingTabStop/>
    <w:useAltKinsokuLineBreakRules/>
    <w:compatSetting w:name="compatibilityMode" w:uri="http://schemas.microsoft.com/office/word" w:val="14"/>
  </w:compat>
  <w:docVars>
    <w:docVar w:name="commondata" w:val="eyJoZGlkIjoiZTU0MjE5YTU4Y2NmMDY5YzMyOWU5NzJmNzQ0ZmI2OTEifQ=="/>
  </w:docVars>
  <w:rsids>
    <w:rsidRoot w:val="00000000"/>
    <w:rsid w:val="09E511D7"/>
    <w:rsid w:val="38293FA2"/>
    <w:rsid w:val="58227CE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Times New Roman" w:eastAsia="宋体" w:cs="Arial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8">
    <w:name w:val="Default Paragraph Font"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uiPriority w:val="0"/>
    <w:pPr>
      <w:tabs>
        <w:tab w:val="center" w:pos="4153"/>
        <w:tab w:val="right" w:pos="8307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7"/>
      </w:tabs>
      <w:snapToGrid w:val="0"/>
      <w:jc w:val="center"/>
    </w:pPr>
    <w:rPr>
      <w:sz w:val="18"/>
      <w:szCs w:val="18"/>
    </w:rPr>
  </w:style>
  <w:style w:type="character" w:styleId="9">
    <w:name w:val="page number"/>
    <w:basedOn w:val="8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4</Pages>
  <Words>1475</Words>
  <Characters>1567</Characters>
  <Lines>0</Lines>
  <Paragraphs>11</Paragraphs>
  <TotalTime>27</TotalTime>
  <ScaleCrop>false</ScaleCrop>
  <LinksUpToDate>false</LinksUpToDate>
  <CharactersWithSpaces>1574</CharactersWithSpaces>
  <Application>WPS Office_12.1.0.18912_F1E327BC-269C-435d-A152-05C5408002CA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2021-12-02T01:52:00Z</dcterms:created>
  <dc:creator>Administrator</dc:creator>
  <cp:lastModifiedBy>阿昊昊昊</cp:lastModifiedBy>
  <cp:lastPrinted>2026-01-20T07:22:00Z</cp:lastPrinted>
  <dcterms:modified xsi:type="dcterms:W3CDTF">2026-01-21T01:24:04Z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5B817F147B694F04B8A77F628D9F16D9_13</vt:lpwstr>
  </property>
</Properties>
</file>