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spacing w:before="0" w:beforeAutospacing="0" w:after="150" w:afterAutospacing="0" w:line="480" w:lineRule="atLeast"/>
        <w:ind w:left="0" w:right="0" w:firstLine="420"/>
        <w:jc w:val="cente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晋州市</w:t>
      </w: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桃园</w:t>
      </w: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镇人民政府</w:t>
      </w:r>
    </w:p>
    <w:p>
      <w:pPr>
        <w:pStyle w:val="3"/>
        <w:keepNext w:val="0"/>
        <w:keepLines w:val="0"/>
        <w:widowControl/>
        <w:suppressLineNumbers w:val="0"/>
        <w:spacing w:before="0" w:beforeAutospacing="0" w:after="150" w:afterAutospacing="0" w:line="480" w:lineRule="atLeast"/>
        <w:ind w:left="0" w:right="0" w:firstLine="420"/>
        <w:jc w:val="cente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2026</w:t>
      </w: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年</w:t>
      </w:r>
      <w:bookmarkStart w:id="0" w:name="_GoBack"/>
      <w:bookmarkEnd w:id="0"/>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度涉企行政检查计划</w:t>
      </w:r>
    </w:p>
    <w:p>
      <w:pPr>
        <w:pStyle w:val="2"/>
        <w:rPr>
          <w:rFonts w:hint="eastAsia"/>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50" w:afterAutospacing="0" w:line="560" w:lineRule="exact"/>
        <w:ind w:left="0" w:right="0" w:firstLine="641"/>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根据《中华人民共和国行政处罚法》《河北省城市市容和环境卫生条例》《河北省人民代表大会常务委员会关于促进农作物秸秆综合利用和禁止露天焚烧的决定》《河北省清真食品管理条例》等法律法规规定，我镇对相关企业贯彻落实法律法规情况进行监督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480" w:lineRule="atLeast"/>
        <w:ind w:left="0" w:right="0" w:firstLine="640"/>
        <w:jc w:val="left"/>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一、检查对象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50" w:afterAutospacing="0" w:line="560" w:lineRule="exact"/>
        <w:ind w:left="0" w:right="0" w:firstLine="641"/>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本辖区内“从事车辆清洗、维修经营的商户”、“农业经营主体”、“清真食品企业”。</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480" w:lineRule="atLeast"/>
        <w:ind w:left="0" w:right="0" w:firstLine="640"/>
        <w:jc w:val="left"/>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二、检查内容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50" w:afterAutospacing="0" w:line="560" w:lineRule="exact"/>
        <w:ind w:left="0" w:right="0" w:firstLine="641"/>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对违反《河北省城市市容和环境卫生条例》《河北省人民代表大会常务委员会关于促进农作物秸秆综合利用和禁止露天焚烧的决定》《河北省清真食品管理条例》的监督检查；贯彻落实涉企行政检查政策和有关法律法规监督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480" w:lineRule="atLeast"/>
        <w:ind w:left="0" w:right="0" w:firstLine="640"/>
        <w:jc w:val="left"/>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三、检查时间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50" w:afterAutospacing="0" w:line="560" w:lineRule="exact"/>
        <w:ind w:left="0" w:right="0" w:firstLine="641"/>
        <w:jc w:val="left"/>
        <w:textAlignment w:val="auto"/>
        <w:rPr>
          <w:rFonts w:hint="eastAsia" w:ascii="宋体" w:hAnsi="宋体" w:eastAsia="宋体" w:cs="宋体"/>
          <w:i w:val="0"/>
          <w:caps w:val="0"/>
          <w:color w:val="333333"/>
          <w:spacing w:val="8"/>
          <w:sz w:val="24"/>
          <w:szCs w:val="24"/>
        </w:rPr>
      </w:pPr>
      <w:r>
        <w:rPr>
          <w:rFonts w:hint="eastAsia" w:ascii="仿宋_GB2312" w:hAnsi="Times New Roman" w:eastAsia="仿宋_GB2312" w:cs="Times New Roman"/>
          <w:kern w:val="2"/>
          <w:sz w:val="32"/>
          <w:szCs w:val="32"/>
          <w:lang w:val="en-US" w:eastAsia="zh-CN" w:bidi="ar-SA"/>
        </w:rPr>
        <w:t>2026年4月至12月。</w:t>
      </w:r>
    </w:p>
    <w:p>
      <w:pPr>
        <w:keepNext w:val="0"/>
        <w:keepLines w:val="0"/>
        <w:pageBreakBefore w:val="0"/>
        <w:widowControl w:val="0"/>
        <w:kinsoku/>
        <w:wordWrap/>
        <w:overflowPunct/>
        <w:topLinePunct w:val="0"/>
        <w:autoSpaceDE/>
        <w:autoSpaceDN/>
        <w:bidi w:val="0"/>
        <w:adjustRightInd/>
        <w:snapToGrid w:val="0"/>
        <w:spacing w:line="560" w:lineRule="exact"/>
        <w:ind w:firstLine="640"/>
        <w:textAlignment w:val="auto"/>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附表：晋州市</w:t>
      </w:r>
      <w:r>
        <w:rPr>
          <w:rFonts w:hint="eastAsia" w:ascii="仿宋_GB2312" w:hAnsi="Times New Roman" w:eastAsia="仿宋_GB2312" w:cs="Times New Roman"/>
          <w:sz w:val="32"/>
          <w:szCs w:val="32"/>
          <w:lang w:eastAsia="zh-CN"/>
        </w:rPr>
        <w:t>桃园</w:t>
      </w:r>
      <w:r>
        <w:rPr>
          <w:rFonts w:hint="eastAsia" w:ascii="仿宋_GB2312" w:hAnsi="Times New Roman" w:eastAsia="仿宋_GB2312" w:cs="Times New Roman"/>
          <w:sz w:val="32"/>
          <w:szCs w:val="32"/>
        </w:rPr>
        <w:t>镇人民政府</w:t>
      </w:r>
      <w:r>
        <w:rPr>
          <w:rFonts w:hint="eastAsia" w:ascii="仿宋_GB2312" w:hAnsi="Times New Roman" w:eastAsia="仿宋_GB2312" w:cs="Times New Roman"/>
          <w:sz w:val="32"/>
          <w:szCs w:val="32"/>
          <w:lang w:eastAsia="zh-CN"/>
        </w:rPr>
        <w:t>2026</w:t>
      </w:r>
      <w:r>
        <w:rPr>
          <w:rFonts w:hint="eastAsia" w:ascii="仿宋_GB2312" w:hAnsi="Times New Roman" w:eastAsia="仿宋_GB2312" w:cs="Times New Roman"/>
          <w:sz w:val="32"/>
          <w:szCs w:val="32"/>
        </w:rPr>
        <w:t>年涉企行政检查计划表</w:t>
      </w:r>
    </w:p>
    <w:p>
      <w:pPr>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br w:type="page"/>
      </w:r>
    </w:p>
    <w:p>
      <w:pPr>
        <w:pStyle w:val="2"/>
        <w:rPr>
          <w:rFonts w:hint="eastAsia"/>
        </w:rPr>
      </w:pPr>
    </w:p>
    <w:p>
      <w:pPr>
        <w:pStyle w:val="3"/>
        <w:keepNext w:val="0"/>
        <w:keepLines w:val="0"/>
        <w:widowControl/>
        <w:suppressLineNumbers w:val="0"/>
        <w:spacing w:before="0" w:beforeAutospacing="0" w:after="150" w:afterAutospacing="0" w:line="480" w:lineRule="atLeast"/>
        <w:ind w:left="0" w:right="0" w:firstLine="420"/>
        <w:jc w:val="cente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pPr>
      <w:r>
        <w:rPr>
          <w:rFonts w:hint="eastAsia" w:ascii="方正小标宋简体" w:hAnsi="方正小标宋简体" w:eastAsia="方正小标宋简体" w:cs="方正小标宋简体"/>
          <w:i w:val="0"/>
          <w:iCs w:val="0"/>
          <w:caps w:val="0"/>
          <w:color w:val="000000"/>
          <w:spacing w:val="0"/>
          <w:sz w:val="44"/>
          <w:szCs w:val="44"/>
          <w:shd w:val="clear" w:color="auto" w:fill="FFFFFF"/>
          <w:lang w:val="en-US" w:eastAsia="zh-CN"/>
        </w:rPr>
        <w:t>晋州市桃园镇人民政府2026年涉企行政检查计划表</w:t>
      </w:r>
    </w:p>
    <w:p>
      <w:pPr>
        <w:pStyle w:val="2"/>
        <w:rPr>
          <w:rFonts w:hint="eastAsia"/>
        </w:rPr>
      </w:pPr>
    </w:p>
    <w:tbl>
      <w:tblPr>
        <w:tblStyle w:val="4"/>
        <w:tblW w:w="1363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602"/>
        <w:gridCol w:w="1194"/>
        <w:gridCol w:w="1876"/>
        <w:gridCol w:w="2834"/>
        <w:gridCol w:w="705"/>
        <w:gridCol w:w="885"/>
        <w:gridCol w:w="855"/>
        <w:gridCol w:w="750"/>
        <w:gridCol w:w="1020"/>
        <w:gridCol w:w="1425"/>
        <w:gridCol w:w="14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602" w:type="dxa"/>
            <w:tcBorders>
              <w:top w:val="single" w:color="000000" w:sz="6" w:space="0"/>
              <w:left w:val="single" w:color="000000" w:sz="6" w:space="0"/>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序号</w:t>
            </w:r>
          </w:p>
        </w:tc>
        <w:tc>
          <w:tcPr>
            <w:tcW w:w="1194"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检查主体</w:t>
            </w:r>
          </w:p>
        </w:tc>
        <w:tc>
          <w:tcPr>
            <w:tcW w:w="1876"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检查事项</w:t>
            </w:r>
          </w:p>
        </w:tc>
        <w:tc>
          <w:tcPr>
            <w:tcW w:w="2834"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检查依据</w:t>
            </w:r>
          </w:p>
        </w:tc>
        <w:tc>
          <w:tcPr>
            <w:tcW w:w="705"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检查对象</w:t>
            </w:r>
          </w:p>
        </w:tc>
        <w:tc>
          <w:tcPr>
            <w:tcW w:w="885"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检查范围</w:t>
            </w:r>
          </w:p>
        </w:tc>
        <w:tc>
          <w:tcPr>
            <w:tcW w:w="855"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检查时间</w:t>
            </w:r>
          </w:p>
        </w:tc>
        <w:tc>
          <w:tcPr>
            <w:tcW w:w="750"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检查方式</w:t>
            </w:r>
          </w:p>
        </w:tc>
        <w:tc>
          <w:tcPr>
            <w:tcW w:w="1020"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年度检查频次</w:t>
            </w:r>
          </w:p>
        </w:tc>
        <w:tc>
          <w:tcPr>
            <w:tcW w:w="1425" w:type="dxa"/>
            <w:tcBorders>
              <w:top w:val="single" w:color="000000" w:sz="6" w:space="0"/>
              <w:left w:val="nil"/>
              <w:bottom w:val="single" w:color="000000" w:sz="6" w:space="0"/>
              <w:right w:val="single" w:color="000000" w:sz="6" w:space="0"/>
            </w:tcBorders>
            <w:shd w:val="clear" w:color="auto" w:fill="FFFFFF"/>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是否跨部门联合检查</w:t>
            </w:r>
          </w:p>
        </w:tc>
        <w:tc>
          <w:tcPr>
            <w:tcW w:w="1489" w:type="dxa"/>
            <w:tcBorders>
              <w:top w:val="single" w:color="000000" w:sz="6" w:space="0"/>
              <w:left w:val="nil"/>
              <w:bottom w:val="single" w:color="000000" w:sz="6" w:space="0"/>
              <w:right w:val="single" w:color="000000" w:sz="6" w:space="0"/>
            </w:tcBorders>
            <w:shd w:val="clear" w:color="auto" w:fill="FFFFFF"/>
            <w:noWrap/>
            <w:tcMar>
              <w:left w:w="90" w:type="dxa"/>
              <w:right w:w="90" w:type="dxa"/>
            </w:tcMar>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center"/>
              <w:rPr>
                <w:sz w:val="24"/>
                <w:szCs w:val="24"/>
              </w:rPr>
            </w:pPr>
            <w:r>
              <w:rPr>
                <w:rFonts w:hint="eastAsia" w:ascii="宋体" w:hAnsi="宋体" w:eastAsia="宋体" w:cs="宋体"/>
                <w:i w:val="0"/>
                <w:caps w:val="0"/>
                <w:color w:val="000000"/>
                <w:spacing w:val="0"/>
                <w:sz w:val="24"/>
                <w:szCs w:val="24"/>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602" w:type="dxa"/>
            <w:tcBorders>
              <w:top w:val="nil"/>
              <w:left w:val="single" w:color="000000" w:sz="6" w:space="0"/>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1</w:t>
            </w:r>
          </w:p>
        </w:tc>
        <w:tc>
          <w:tcPr>
            <w:tcW w:w="119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晋州市</w:t>
            </w:r>
            <w:r>
              <w:rPr>
                <w:rFonts w:hint="eastAsia" w:ascii="宋体" w:hAnsi="宋体" w:eastAsia="宋体" w:cs="宋体"/>
                <w:i w:val="0"/>
                <w:caps w:val="0"/>
                <w:color w:val="000000"/>
                <w:spacing w:val="0"/>
                <w:sz w:val="24"/>
                <w:szCs w:val="24"/>
                <w:lang w:eastAsia="zh-CN"/>
              </w:rPr>
              <w:t>桃园</w:t>
            </w:r>
            <w:r>
              <w:rPr>
                <w:rFonts w:hint="eastAsia" w:ascii="宋体" w:hAnsi="宋体" w:eastAsia="宋体" w:cs="宋体"/>
                <w:i w:val="0"/>
                <w:caps w:val="0"/>
                <w:color w:val="000000"/>
                <w:spacing w:val="0"/>
                <w:sz w:val="24"/>
                <w:szCs w:val="24"/>
              </w:rPr>
              <w:t>镇人民政府</w:t>
            </w:r>
          </w:p>
        </w:tc>
        <w:tc>
          <w:tcPr>
            <w:tcW w:w="1876"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对从事车辆清洗、维修经营活动是否占用公共场所的行政检查</w:t>
            </w:r>
          </w:p>
        </w:tc>
        <w:tc>
          <w:tcPr>
            <w:tcW w:w="283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《河北省城市市容和环境卫生条例》（2023年11月30日修正）第三十八条　从事车辆清洗、维修经营活动，应当在室内进行，不得占用道路、绿地、公共场所等。违反规定的，处以五百元以上二千元以下罚款。</w:t>
            </w:r>
          </w:p>
        </w:tc>
        <w:tc>
          <w:tcPr>
            <w:tcW w:w="70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从事车辆清洗、维修经营的商户</w:t>
            </w:r>
          </w:p>
        </w:tc>
        <w:tc>
          <w:tcPr>
            <w:tcW w:w="88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桃园</w:t>
            </w:r>
            <w:r>
              <w:rPr>
                <w:rFonts w:hint="eastAsia" w:ascii="宋体" w:hAnsi="宋体" w:eastAsia="宋体" w:cs="宋体"/>
                <w:i w:val="0"/>
                <w:caps w:val="0"/>
                <w:color w:val="000000"/>
                <w:spacing w:val="0"/>
                <w:sz w:val="24"/>
                <w:szCs w:val="24"/>
              </w:rPr>
              <w:t>镇</w:t>
            </w:r>
          </w:p>
        </w:tc>
        <w:tc>
          <w:tcPr>
            <w:tcW w:w="85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2026年4月-12月</w:t>
            </w:r>
          </w:p>
        </w:tc>
        <w:tc>
          <w:tcPr>
            <w:tcW w:w="75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现场检查</w:t>
            </w:r>
          </w:p>
        </w:tc>
        <w:tc>
          <w:tcPr>
            <w:tcW w:w="102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1</w:t>
            </w:r>
          </w:p>
        </w:tc>
        <w:tc>
          <w:tcPr>
            <w:tcW w:w="142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否</w:t>
            </w:r>
          </w:p>
        </w:tc>
        <w:tc>
          <w:tcPr>
            <w:tcW w:w="1489"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602" w:type="dxa"/>
            <w:tcBorders>
              <w:top w:val="nil"/>
              <w:left w:val="single" w:color="000000" w:sz="6" w:space="0"/>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2</w:t>
            </w:r>
          </w:p>
        </w:tc>
        <w:tc>
          <w:tcPr>
            <w:tcW w:w="119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晋州市</w:t>
            </w:r>
            <w:r>
              <w:rPr>
                <w:rFonts w:hint="eastAsia" w:ascii="宋体" w:hAnsi="宋体" w:eastAsia="宋体" w:cs="宋体"/>
                <w:i w:val="0"/>
                <w:caps w:val="0"/>
                <w:color w:val="000000"/>
                <w:spacing w:val="0"/>
                <w:sz w:val="24"/>
                <w:szCs w:val="24"/>
                <w:lang w:eastAsia="zh-CN"/>
              </w:rPr>
              <w:t>桃园</w:t>
            </w:r>
            <w:r>
              <w:rPr>
                <w:rFonts w:hint="eastAsia" w:ascii="宋体" w:hAnsi="宋体" w:eastAsia="宋体" w:cs="宋体"/>
                <w:i w:val="0"/>
                <w:caps w:val="0"/>
                <w:color w:val="000000"/>
                <w:spacing w:val="0"/>
                <w:sz w:val="24"/>
                <w:szCs w:val="24"/>
              </w:rPr>
              <w:t>镇人民政府</w:t>
            </w:r>
          </w:p>
        </w:tc>
        <w:tc>
          <w:tcPr>
            <w:tcW w:w="1876"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对农业经营主体对农产品采收后的秸秆及树叶、荒草采取综合利用措施处理的行政检查</w:t>
            </w:r>
          </w:p>
        </w:tc>
        <w:tc>
          <w:tcPr>
            <w:tcW w:w="283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《河北省人民代表大会常务委员会关于促进农作物秸秆综合利用和禁止露天焚烧的决定》（2024年11月28日修正）第二十五条 违反本决定有关规定，农业经营主体因未妥善采取综合利用措施，对农产品采收后的秸秆及树叶、荒草予以处理，致使露天焚的，由所在地乡镇人民政府或者街道办事处给予批评教育，可以处五百元以上一千元以下罚款。但已按照第二十四条规定实施处罚的除外。</w:t>
            </w:r>
          </w:p>
        </w:tc>
        <w:tc>
          <w:tcPr>
            <w:tcW w:w="70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农业经营主体</w:t>
            </w:r>
          </w:p>
        </w:tc>
        <w:tc>
          <w:tcPr>
            <w:tcW w:w="88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桃园</w:t>
            </w:r>
            <w:r>
              <w:rPr>
                <w:rFonts w:hint="eastAsia" w:ascii="宋体" w:hAnsi="宋体" w:eastAsia="宋体" w:cs="宋体"/>
                <w:i w:val="0"/>
                <w:caps w:val="0"/>
                <w:color w:val="000000"/>
                <w:spacing w:val="0"/>
                <w:sz w:val="24"/>
                <w:szCs w:val="24"/>
              </w:rPr>
              <w:t>镇</w:t>
            </w:r>
          </w:p>
        </w:tc>
        <w:tc>
          <w:tcPr>
            <w:tcW w:w="85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2026年4月-12月</w:t>
            </w:r>
          </w:p>
        </w:tc>
        <w:tc>
          <w:tcPr>
            <w:tcW w:w="75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现场检查</w:t>
            </w:r>
          </w:p>
        </w:tc>
        <w:tc>
          <w:tcPr>
            <w:tcW w:w="102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1</w:t>
            </w:r>
          </w:p>
        </w:tc>
        <w:tc>
          <w:tcPr>
            <w:tcW w:w="142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否</w:t>
            </w:r>
          </w:p>
        </w:tc>
        <w:tc>
          <w:tcPr>
            <w:tcW w:w="1489"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602" w:type="dxa"/>
            <w:tcBorders>
              <w:top w:val="nil"/>
              <w:left w:val="single" w:color="000000" w:sz="6" w:space="0"/>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3</w:t>
            </w:r>
          </w:p>
        </w:tc>
        <w:tc>
          <w:tcPr>
            <w:tcW w:w="119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晋州市</w:t>
            </w:r>
            <w:r>
              <w:rPr>
                <w:rFonts w:hint="eastAsia" w:ascii="宋体" w:hAnsi="宋体" w:eastAsia="宋体" w:cs="宋体"/>
                <w:i w:val="0"/>
                <w:caps w:val="0"/>
                <w:color w:val="000000"/>
                <w:spacing w:val="0"/>
                <w:sz w:val="24"/>
                <w:szCs w:val="24"/>
                <w:lang w:eastAsia="zh-CN"/>
              </w:rPr>
              <w:t>桃园</w:t>
            </w:r>
            <w:r>
              <w:rPr>
                <w:rFonts w:hint="eastAsia" w:ascii="宋体" w:hAnsi="宋体" w:eastAsia="宋体" w:cs="宋体"/>
                <w:i w:val="0"/>
                <w:caps w:val="0"/>
                <w:color w:val="000000"/>
                <w:spacing w:val="0"/>
                <w:sz w:val="24"/>
                <w:szCs w:val="24"/>
              </w:rPr>
              <w:t>镇人民政府</w:t>
            </w:r>
          </w:p>
        </w:tc>
        <w:tc>
          <w:tcPr>
            <w:tcW w:w="1876"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对生产、经营清真食品的行政检查</w:t>
            </w:r>
          </w:p>
        </w:tc>
        <w:tc>
          <w:tcPr>
            <w:tcW w:w="2834"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《河北省清真食品管理条例》（1999年11月29日公布）第四条　县级以上人民政府民族事务行政主管部门负责本条例的实施。</w:t>
            </w:r>
          </w:p>
        </w:tc>
        <w:tc>
          <w:tcPr>
            <w:tcW w:w="70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清真食品企业</w:t>
            </w:r>
          </w:p>
        </w:tc>
        <w:tc>
          <w:tcPr>
            <w:tcW w:w="88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桃园</w:t>
            </w:r>
            <w:r>
              <w:rPr>
                <w:rFonts w:hint="eastAsia" w:ascii="宋体" w:hAnsi="宋体" w:eastAsia="宋体" w:cs="宋体"/>
                <w:i w:val="0"/>
                <w:caps w:val="0"/>
                <w:color w:val="000000"/>
                <w:spacing w:val="0"/>
                <w:sz w:val="24"/>
                <w:szCs w:val="24"/>
              </w:rPr>
              <w:t>镇</w:t>
            </w:r>
          </w:p>
        </w:tc>
        <w:tc>
          <w:tcPr>
            <w:tcW w:w="85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lang w:eastAsia="zh-CN"/>
              </w:rPr>
              <w:t>2026</w:t>
            </w:r>
            <w:r>
              <w:rPr>
                <w:rFonts w:hint="eastAsia" w:ascii="宋体" w:hAnsi="宋体" w:eastAsia="宋体" w:cs="宋体"/>
                <w:i w:val="0"/>
                <w:caps w:val="0"/>
                <w:color w:val="000000"/>
                <w:spacing w:val="0"/>
                <w:sz w:val="24"/>
                <w:szCs w:val="24"/>
              </w:rPr>
              <w:t>年4月-9月</w:t>
            </w:r>
          </w:p>
        </w:tc>
        <w:tc>
          <w:tcPr>
            <w:tcW w:w="75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现场检查</w:t>
            </w:r>
          </w:p>
        </w:tc>
        <w:tc>
          <w:tcPr>
            <w:tcW w:w="1020"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1</w:t>
            </w:r>
          </w:p>
        </w:tc>
        <w:tc>
          <w:tcPr>
            <w:tcW w:w="1425"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r>
              <w:rPr>
                <w:rFonts w:hint="eastAsia" w:ascii="宋体" w:hAnsi="宋体" w:eastAsia="宋体" w:cs="宋体"/>
                <w:i w:val="0"/>
                <w:caps w:val="0"/>
                <w:color w:val="000000"/>
                <w:spacing w:val="0"/>
                <w:sz w:val="24"/>
                <w:szCs w:val="24"/>
              </w:rPr>
              <w:t>否</w:t>
            </w:r>
          </w:p>
        </w:tc>
        <w:tc>
          <w:tcPr>
            <w:tcW w:w="1489" w:type="dxa"/>
            <w:tcBorders>
              <w:top w:val="nil"/>
              <w:left w:val="nil"/>
              <w:bottom w:val="single" w:color="000000" w:sz="6" w:space="0"/>
              <w:right w:val="single" w:color="000000" w:sz="6" w:space="0"/>
            </w:tcBorders>
            <w:shd w:val="clear" w:color="auto" w:fill="FFFFFF"/>
            <w:tcMar>
              <w:left w:w="90" w:type="dxa"/>
              <w:right w:w="90" w:type="dxa"/>
            </w:tcMar>
            <w:vAlign w:val="center"/>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480" w:lineRule="atLeast"/>
              <w:ind w:left="0" w:right="0" w:firstLine="0"/>
              <w:jc w:val="both"/>
              <w:rPr>
                <w:sz w:val="24"/>
                <w:szCs w:val="24"/>
              </w:rPr>
            </w:pPr>
          </w:p>
        </w:tc>
      </w:tr>
    </w:tbl>
    <w:p>
      <w:pPr>
        <w:rPr>
          <w:vanish/>
          <w:sz w:val="24"/>
          <w:szCs w:val="24"/>
        </w:rPr>
      </w:pPr>
      <w:r>
        <w:rPr>
          <w:vanish/>
          <w:sz w:val="24"/>
          <w:szCs w:val="24"/>
        </w:rPr>
        <w:br w:type="page"/>
      </w:r>
    </w:p>
    <w:p>
      <w:pPr>
        <w:pStyle w:val="2"/>
      </w:pPr>
    </w:p>
    <w:tbl>
      <w:tblPr>
        <w:tblStyle w:val="4"/>
        <w:tblW w:w="148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375"/>
        <w:gridCol w:w="870"/>
        <w:gridCol w:w="2835"/>
        <w:gridCol w:w="2880"/>
        <w:gridCol w:w="2715"/>
        <w:gridCol w:w="51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14850" w:type="dxa"/>
            <w:gridSpan w:val="6"/>
            <w:tcBorders>
              <w:top w:val="nil"/>
              <w:left w:val="nil"/>
              <w:bottom w:val="nil"/>
              <w:right w:val="nil"/>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黑体" w:hAnsi="黑体" w:eastAsia="黑体" w:cs="黑体"/>
                <w:kern w:val="2"/>
                <w:sz w:val="32"/>
                <w:szCs w:val="32"/>
                <w:lang w:val="en-US" w:eastAsia="zh-CN" w:bidi="ar-SA"/>
              </w:rPr>
              <w:t>桃园镇涉企行政检查事项清单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375" w:type="dxa"/>
            <w:vMerge w:val="restart"/>
            <w:tcBorders>
              <w:top w:val="single" w:color="000000" w:sz="6" w:space="0"/>
              <w:left w:val="single" w:color="000000" w:sz="6" w:space="0"/>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序号</w:t>
            </w:r>
          </w:p>
        </w:tc>
        <w:tc>
          <w:tcPr>
            <w:tcW w:w="870" w:type="dxa"/>
            <w:vMerge w:val="restart"/>
            <w:tcBorders>
              <w:top w:val="single" w:color="000000" w:sz="6" w:space="0"/>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事项名称</w:t>
            </w:r>
          </w:p>
        </w:tc>
        <w:tc>
          <w:tcPr>
            <w:tcW w:w="2835" w:type="dxa"/>
            <w:vMerge w:val="restart"/>
            <w:tcBorders>
              <w:top w:val="single" w:color="000000" w:sz="6" w:space="0"/>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实施依据</w:t>
            </w:r>
          </w:p>
        </w:tc>
        <w:tc>
          <w:tcPr>
            <w:tcW w:w="10755" w:type="dxa"/>
            <w:gridSpan w:val="3"/>
            <w:tcBorders>
              <w:top w:val="single" w:color="000000" w:sz="6" w:space="0"/>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实施主体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375" w:type="dxa"/>
            <w:vMerge w:val="continue"/>
            <w:tcBorders>
              <w:top w:val="single" w:color="000000" w:sz="6" w:space="0"/>
              <w:left w:val="single" w:color="000000" w:sz="6" w:space="0"/>
              <w:bottom w:val="single" w:color="000000" w:sz="6" w:space="0"/>
              <w:right w:val="single" w:color="000000" w:sz="6" w:space="0"/>
            </w:tcBorders>
            <w:shd w:val="clear" w:color="auto" w:fill="FFFFFF"/>
            <w:vAlign w:val="top"/>
          </w:tcPr>
          <w:p>
            <w:pPr>
              <w:jc w:val="left"/>
              <w:rPr>
                <w:rFonts w:hint="default" w:ascii="Times New Roman" w:hAnsi="Times New Roman" w:cs="Times New Roman"/>
                <w:i w:val="0"/>
                <w:caps w:val="0"/>
                <w:color w:val="333333"/>
                <w:spacing w:val="8"/>
                <w:sz w:val="21"/>
                <w:szCs w:val="21"/>
              </w:rPr>
            </w:pPr>
          </w:p>
        </w:tc>
        <w:tc>
          <w:tcPr>
            <w:tcW w:w="870" w:type="dxa"/>
            <w:vMerge w:val="continue"/>
            <w:tcBorders>
              <w:top w:val="single" w:color="000000" w:sz="6" w:space="0"/>
              <w:left w:val="nil"/>
              <w:bottom w:val="single" w:color="000000" w:sz="6" w:space="0"/>
              <w:right w:val="single" w:color="000000" w:sz="6" w:space="0"/>
            </w:tcBorders>
            <w:shd w:val="clear" w:color="auto" w:fill="FFFFFF"/>
            <w:vAlign w:val="top"/>
          </w:tcPr>
          <w:p>
            <w:pPr>
              <w:jc w:val="left"/>
              <w:rPr>
                <w:rFonts w:hint="default" w:ascii="Times New Roman" w:hAnsi="Times New Roman" w:cs="Times New Roman"/>
                <w:i w:val="0"/>
                <w:caps w:val="0"/>
                <w:color w:val="333333"/>
                <w:spacing w:val="8"/>
                <w:sz w:val="21"/>
                <w:szCs w:val="21"/>
              </w:rPr>
            </w:pPr>
          </w:p>
        </w:tc>
        <w:tc>
          <w:tcPr>
            <w:tcW w:w="2835" w:type="dxa"/>
            <w:vMerge w:val="continue"/>
            <w:tcBorders>
              <w:top w:val="single" w:color="000000" w:sz="6" w:space="0"/>
              <w:left w:val="nil"/>
              <w:bottom w:val="single" w:color="000000" w:sz="6" w:space="0"/>
              <w:right w:val="single" w:color="000000" w:sz="6" w:space="0"/>
            </w:tcBorders>
            <w:shd w:val="clear" w:color="auto" w:fill="FFFFFF"/>
            <w:vAlign w:val="top"/>
          </w:tcPr>
          <w:p>
            <w:pPr>
              <w:jc w:val="left"/>
              <w:rPr>
                <w:rFonts w:hint="default" w:ascii="Times New Roman" w:hAnsi="Times New Roman" w:cs="Times New Roman"/>
                <w:i w:val="0"/>
                <w:caps w:val="0"/>
                <w:color w:val="333333"/>
                <w:spacing w:val="8"/>
                <w:sz w:val="21"/>
                <w:szCs w:val="21"/>
              </w:rPr>
            </w:pPr>
          </w:p>
        </w:tc>
        <w:tc>
          <w:tcPr>
            <w:tcW w:w="2880"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法定实施主体</w:t>
            </w:r>
          </w:p>
        </w:tc>
        <w:tc>
          <w:tcPr>
            <w:tcW w:w="2715" w:type="dxa"/>
            <w:tcBorders>
              <w:top w:val="single" w:color="000000" w:sz="6" w:space="0"/>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行使层级</w:t>
            </w:r>
          </w:p>
        </w:tc>
        <w:tc>
          <w:tcPr>
            <w:tcW w:w="5160" w:type="dxa"/>
            <w:tcBorders>
              <w:top w:val="single" w:color="000000" w:sz="6" w:space="0"/>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第一责任层级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375" w:type="dxa"/>
            <w:tcBorders>
              <w:top w:val="nil"/>
              <w:left w:val="single" w:color="000000" w:sz="6" w:space="0"/>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1</w:t>
            </w:r>
          </w:p>
        </w:tc>
        <w:tc>
          <w:tcPr>
            <w:tcW w:w="870"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对从事车辆清洗、维修经营活动是否占用公共场所的行政检查</w:t>
            </w:r>
          </w:p>
        </w:tc>
        <w:tc>
          <w:tcPr>
            <w:tcW w:w="2835"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《河北省城市市容和环境卫生条例》（2023年11月30日修正）第三十八条　从事车辆清洗、维修经营活动，应当在室内进行，不得占用道路、绿地、公共场所等。违反规定的，处以五百元以上二千元以下罚款。</w:t>
            </w:r>
          </w:p>
        </w:tc>
        <w:tc>
          <w:tcPr>
            <w:tcW w:w="2880"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市容和环境卫生行政主管部门</w:t>
            </w:r>
          </w:p>
        </w:tc>
        <w:tc>
          <w:tcPr>
            <w:tcW w:w="2715"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省级、市级、县级</w:t>
            </w:r>
          </w:p>
        </w:tc>
        <w:tc>
          <w:tcPr>
            <w:tcW w:w="5160"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县级或乡级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375" w:type="dxa"/>
            <w:tcBorders>
              <w:top w:val="nil"/>
              <w:left w:val="single" w:color="000000" w:sz="6" w:space="0"/>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2</w:t>
            </w:r>
          </w:p>
        </w:tc>
        <w:tc>
          <w:tcPr>
            <w:tcW w:w="870"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对农业经营主体对农产品采收后的秸秆及树叶、荒草采取综合利用措施处理的行政检查</w:t>
            </w:r>
          </w:p>
        </w:tc>
        <w:tc>
          <w:tcPr>
            <w:tcW w:w="2835"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《河北省人民代表大会常务委员会关于促进农作物秸秆综合利用和禁止露天焚烧的决定》（2024年11月28日修正）第二十五条 违反本决定有关规定，农业经营主体因未妥善采取综合利用措施，对农产品采收后的秸秆及树叶、荒草予以处理，致使露天焚的，由所在地乡镇人民政府或者街道办事处给予批评教育，可以处五百元以上一千元以下罚款。但已按照第二十四条规定实施处罚的除外。</w:t>
            </w:r>
          </w:p>
        </w:tc>
        <w:tc>
          <w:tcPr>
            <w:tcW w:w="2880"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乡镇人民政府或街道办事处</w:t>
            </w:r>
          </w:p>
        </w:tc>
        <w:tc>
          <w:tcPr>
            <w:tcW w:w="2715"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乡级</w:t>
            </w:r>
          </w:p>
        </w:tc>
        <w:tc>
          <w:tcPr>
            <w:tcW w:w="5160"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乡级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375" w:type="dxa"/>
            <w:tcBorders>
              <w:top w:val="nil"/>
              <w:left w:val="single" w:color="000000" w:sz="6" w:space="0"/>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3</w:t>
            </w:r>
          </w:p>
        </w:tc>
        <w:tc>
          <w:tcPr>
            <w:tcW w:w="870"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对生产、经营清真食品的行政检查</w:t>
            </w:r>
          </w:p>
        </w:tc>
        <w:tc>
          <w:tcPr>
            <w:tcW w:w="2835"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《河北省清真食品管理条例》（1999年11月29日公布）第四条　县级以上人民政府民族事务行政主管部门负责本条例的实施。</w:t>
            </w:r>
          </w:p>
        </w:tc>
        <w:tc>
          <w:tcPr>
            <w:tcW w:w="2880"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民族事务行政主管部门</w:t>
            </w:r>
          </w:p>
        </w:tc>
        <w:tc>
          <w:tcPr>
            <w:tcW w:w="2715"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省级、市级、县级</w:t>
            </w:r>
          </w:p>
        </w:tc>
        <w:tc>
          <w:tcPr>
            <w:tcW w:w="5160" w:type="dxa"/>
            <w:tcBorders>
              <w:top w:val="nil"/>
              <w:left w:val="nil"/>
              <w:bottom w:val="single" w:color="000000" w:sz="6" w:space="0"/>
              <w:right w:val="single" w:color="000000" w:sz="6" w:space="0"/>
            </w:tcBorders>
            <w:shd w:val="clear" w:color="auto" w:fill="FFFFFF"/>
            <w:vAlign w:val="top"/>
          </w:tcPr>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firstLine="0"/>
              <w:jc w:val="center"/>
              <w:rPr>
                <w:sz w:val="24"/>
                <w:szCs w:val="24"/>
              </w:rPr>
            </w:pPr>
            <w:r>
              <w:rPr>
                <w:rFonts w:hint="eastAsia" w:ascii="宋体" w:hAnsi="宋体" w:eastAsia="宋体" w:cs="宋体"/>
                <w:i w:val="0"/>
                <w:caps w:val="0"/>
                <w:color w:val="000000"/>
                <w:spacing w:val="8"/>
                <w:sz w:val="24"/>
                <w:szCs w:val="24"/>
              </w:rPr>
              <w:t>县级或乡级</w:t>
            </w:r>
          </w:p>
        </w:tc>
      </w:tr>
    </w:tbl>
    <w:p/>
    <w:sectPr>
      <w:pgSz w:w="16838" w:h="11906" w:orient="landscape"/>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Lucida Sans"/>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Lucida Sans">
    <w:panose1 w:val="020B0602030504020204"/>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DB5F6D"/>
    <w:rsid w:val="053A7E34"/>
    <w:rsid w:val="17BD5B06"/>
    <w:rsid w:val="2E1970B9"/>
    <w:rsid w:val="3944439A"/>
    <w:rsid w:val="39727BA9"/>
    <w:rsid w:val="70C4028B"/>
    <w:rsid w:val="712B44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oa heading"/>
    <w:next w:val="1"/>
    <w:qFormat/>
    <w:uiPriority w:val="0"/>
    <w:pPr>
      <w:widowControl w:val="0"/>
      <w:jc w:val="both"/>
    </w:pPr>
    <w:rPr>
      <w:rFonts w:ascii="Arial" w:hAnsi="Arial" w:eastAsia="宋体" w:cs="Times New Roman"/>
      <w:kern w:val="2"/>
      <w:sz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2025-12-23T01:36:00Z</dcterms:created>
  <dc:creator>Administrator</dc:creator>
  <cp:lastModifiedBy>ZzzDan</cp:lastModifiedBy>
  <dcterms:modified xsi:type="dcterms:W3CDTF">2026-01-16T01:56:02Z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