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2C21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简体" w:hAnsi="新宋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新宋体" w:eastAsia="方正小标宋简体" w:cs="方正小标宋简体"/>
          <w:sz w:val="44"/>
          <w:szCs w:val="44"/>
          <w:lang w:val="en-US" w:eastAsia="zh-CN"/>
        </w:rPr>
        <w:t>晋州市市场监督管理局</w:t>
      </w:r>
    </w:p>
    <w:p w14:paraId="2D9D53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简体" w:hAnsi="新宋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新宋体" w:eastAsia="方正小标宋简体" w:cs="方正小标宋简体"/>
          <w:sz w:val="44"/>
          <w:szCs w:val="44"/>
          <w:lang w:val="en-US" w:eastAsia="zh-CN"/>
        </w:rPr>
        <w:t>关于不合格餐饮具核查处置结果的通告</w:t>
      </w:r>
    </w:p>
    <w:p w14:paraId="5669C423">
      <w:pPr>
        <w:jc w:val="center"/>
        <w:rPr>
          <w:rFonts w:hint="eastAsia" w:ascii="方正小标宋简体" w:eastAsia="方正小标宋简体" w:cs="方正小标宋简体"/>
          <w:sz w:val="28"/>
          <w:szCs w:val="28"/>
          <w:lang w:val="en-US" w:eastAsia="zh-CN"/>
        </w:rPr>
      </w:pPr>
      <w:r>
        <w:rPr>
          <w:rFonts w:ascii="方正小标宋简体" w:eastAsia="方正小标宋简体" w:cs="方正小标宋简体"/>
          <w:sz w:val="28"/>
          <w:szCs w:val="28"/>
          <w:lang w:val="en-US" w:eastAsia="zh-CN"/>
        </w:rPr>
        <w:t>（</w:t>
      </w:r>
      <w:r>
        <w:rPr>
          <w:rFonts w:hint="eastAsia" w:ascii="方正小标宋简体" w:eastAsia="方正小标宋简体" w:cs="方正小标宋简体"/>
          <w:sz w:val="28"/>
          <w:szCs w:val="28"/>
          <w:lang w:val="en-US" w:eastAsia="zh-CN"/>
        </w:rPr>
        <w:t>202</w:t>
      </w:r>
      <w:r>
        <w:rPr>
          <w:rFonts w:ascii="方正小标宋简体" w:eastAsia="方正小标宋简体" w:cs="方正小标宋简体"/>
          <w:sz w:val="28"/>
          <w:szCs w:val="28"/>
          <w:lang w:val="en-US" w:eastAsia="zh-CN"/>
        </w:rPr>
        <w:t>5</w:t>
      </w:r>
      <w:r>
        <w:rPr>
          <w:rFonts w:hint="eastAsia" w:ascii="方正小标宋简体" w:eastAsia="方正小标宋简体" w:cs="方正小标宋简体"/>
          <w:sz w:val="28"/>
          <w:szCs w:val="28"/>
          <w:lang w:val="en-US" w:eastAsia="zh-CN"/>
        </w:rPr>
        <w:t>年</w:t>
      </w:r>
      <w:r>
        <w:rPr>
          <w:rFonts w:ascii="方正小标宋简体" w:eastAsia="方正小标宋简体" w:cs="方正小标宋简体"/>
          <w:sz w:val="28"/>
          <w:szCs w:val="28"/>
          <w:lang w:val="en-US" w:eastAsia="zh-CN"/>
        </w:rPr>
        <w:t>餐饮环节</w:t>
      </w:r>
      <w:r>
        <w:rPr>
          <w:rFonts w:hint="eastAsia" w:ascii="方正小标宋简体" w:eastAsia="方正小标宋简体" w:cs="方正小标宋简体"/>
          <w:sz w:val="28"/>
          <w:szCs w:val="28"/>
          <w:lang w:val="en-US" w:eastAsia="zh-CN"/>
        </w:rPr>
        <w:t>7-12月</w:t>
      </w:r>
      <w:r>
        <w:rPr>
          <w:rFonts w:ascii="方正小标宋简体" w:eastAsia="方正小标宋简体" w:cs="方正小标宋简体"/>
          <w:sz w:val="28"/>
          <w:szCs w:val="28"/>
          <w:lang w:val="en-US" w:eastAsia="zh-CN"/>
        </w:rPr>
        <w:t>）</w:t>
      </w:r>
    </w:p>
    <w:p w14:paraId="66814C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按照有关要求，现将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晋州市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市场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监督管理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局202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年7-12月抽检发现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的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2批次不合格餐饮具风险控制和处置情况通告如下：</w:t>
      </w:r>
    </w:p>
    <w:p w14:paraId="61AF16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一、圆形不锈钢小碗</w:t>
      </w:r>
    </w:p>
    <w:p w14:paraId="2A4EB3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（一）基本情况</w:t>
      </w:r>
    </w:p>
    <w:p w14:paraId="05C603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 w:cs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仿宋" w:eastAsia="仿宋_GB2312" w:cs="仿宋_GB2312"/>
          <w:color w:val="000000"/>
          <w:sz w:val="32"/>
          <w:szCs w:val="32"/>
          <w:lang w:val="en-US" w:eastAsia="zh-CN"/>
        </w:rPr>
        <w:t>样品名称：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圆形不锈钢小碗</w:t>
      </w:r>
      <w:r>
        <w:rPr>
          <w:rFonts w:hint="eastAsia" w:ascii="仿宋_GB2312" w:hAnsi="仿宋" w:eastAsia="仿宋_GB2312" w:cs="仿宋_GB2312"/>
          <w:color w:val="000000"/>
          <w:sz w:val="32"/>
          <w:szCs w:val="32"/>
          <w:lang w:val="en-US" w:eastAsia="zh-CN"/>
        </w:rPr>
        <w:t>。</w:t>
      </w:r>
      <w:bookmarkStart w:id="0" w:name="_GoBack"/>
      <w:bookmarkEnd w:id="0"/>
      <w:r>
        <w:rPr>
          <w:rFonts w:hint="eastAsia" w:ascii="仿宋_GB2312" w:hAnsi="仿宋" w:eastAsia="仿宋_GB2312" w:cs="仿宋_GB2312"/>
          <w:color w:val="000000"/>
          <w:sz w:val="32"/>
          <w:szCs w:val="32"/>
          <w:lang w:val="en-US" w:eastAsia="zh-CN"/>
        </w:rPr>
        <w:t>被抽样单位：</w:t>
      </w:r>
      <w:r>
        <w:rPr>
          <w:rFonts w:hint="eastAsia" w:ascii="仿宋_GB2312" w:eastAsia="仿宋_GB2312" w:cs="仿宋_GB2312"/>
          <w:b w:val="0"/>
          <w:bCs w:val="0"/>
          <w:i w:val="0"/>
          <w:iCs w:val="0"/>
          <w:caps w:val="0"/>
          <w:smallCaps w:val="0"/>
          <w:color w:val="000000"/>
          <w:spacing w:val="0"/>
          <w:sz w:val="32"/>
          <w:szCs w:val="32"/>
          <w:shd w:val="clear" w:color="auto" w:fill="FFFFFF"/>
        </w:rPr>
        <w:t>晋州市</w:t>
      </w:r>
      <w:r>
        <w:rPr>
          <w:rFonts w:hint="eastAsia" w:ascii="仿宋_GB2312" w:eastAsia="仿宋_GB2312" w:cs="仿宋_GB2312"/>
          <w:b w:val="0"/>
          <w:bCs w:val="0"/>
          <w:i w:val="0"/>
          <w:iCs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eastAsia="zh-CN"/>
        </w:rPr>
        <w:t>开发区第一幼儿园</w:t>
      </w:r>
      <w:r>
        <w:rPr>
          <w:rFonts w:hint="eastAsia" w:ascii="仿宋_GB2312" w:hAnsi="仿宋" w:eastAsia="仿宋_GB2312" w:cs="仿宋_GB2312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。抽样日期202</w:t>
      </w:r>
      <w:r>
        <w:rPr>
          <w:rFonts w:ascii="仿宋_GB2312" w:hAnsi="仿宋" w:eastAsia="仿宋_GB2312" w:cs="仿宋_GB2312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5</w:t>
      </w:r>
      <w:r>
        <w:rPr>
          <w:rFonts w:hint="eastAsia" w:ascii="仿宋_GB2312" w:hAnsi="仿宋" w:eastAsia="仿宋_GB2312" w:cs="仿宋_GB2312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年11月5日，不合格项目：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经抽样检验，</w:t>
      </w:r>
      <w:r>
        <w:rPr>
          <w:rFonts w:hint="eastAsia" w:ascii="仿宋_GB2312" w:eastAsia="仿宋_GB2312" w:cs="仿宋_GB2312"/>
          <w:color w:val="000000"/>
          <w:sz w:val="32"/>
          <w:szCs w:val="32"/>
          <w:lang w:eastAsia="zh-CN"/>
        </w:rPr>
        <w:t>大肠杆菌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项目不符合GB 14934-2016《食品安全国家标准 消毒餐(饮)具》要求，检验结论为不合格。</w:t>
      </w:r>
      <w:r>
        <w:rPr>
          <w:rFonts w:hint="eastAsia" w:ascii="仿宋_GB2312" w:eastAsia="仿宋_GB2312" w:cs="仿宋_GB2312"/>
          <w:snapToGrid w:val="0"/>
          <w:color w:val="000000"/>
          <w:kern w:val="0"/>
          <w:sz w:val="32"/>
          <w:szCs w:val="32"/>
          <w:lang w:val="en-US" w:eastAsia="zh-CN" w:bidi="ar-SA"/>
        </w:rPr>
        <w:t>承检机构：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河北</w:t>
      </w:r>
      <w:r>
        <w:rPr>
          <w:rFonts w:hint="eastAsia" w:ascii="仿宋_GB2312" w:eastAsia="仿宋_GB2312" w:cs="仿宋_GB2312"/>
          <w:color w:val="000000"/>
          <w:sz w:val="32"/>
          <w:szCs w:val="32"/>
          <w:lang w:eastAsia="zh-CN"/>
        </w:rPr>
        <w:t>立诚检测科技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有限公司</w:t>
      </w:r>
      <w:r>
        <w:rPr>
          <w:rFonts w:hint="eastAsia" w:ascii="仿宋_GB2312" w:eastAsia="仿宋_GB2312" w:cs="仿宋_GB2312"/>
          <w:color w:val="000000"/>
          <w:sz w:val="32"/>
          <w:szCs w:val="32"/>
          <w:lang w:bidi="ar-SA"/>
        </w:rPr>
        <w:t>。</w:t>
      </w:r>
    </w:p>
    <w:p w14:paraId="536B15F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（二）风险控制及核查情况</w:t>
      </w:r>
    </w:p>
    <w:p w14:paraId="0E1B6D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hAnsi="仿宋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我局执法人员收到检验报告后立即送达被抽样单位，开展现场检查，被抽样单位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的不合格餐具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已经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全部使用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。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我局依据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《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中华人民共和国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食品安全法》第三十三条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第一款第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（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五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）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项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规定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责令被抽样单位改正违法行为，给予警告处罚。202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6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年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1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月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31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日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，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我局对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被抽样单位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的整改情况进行复查，对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被抽样单位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的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圆形不锈钢小碗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再次送检，检验结果为合格，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被抽样单位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整改完毕。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依据《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中华人民共和国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食品安全法》第一百二十六条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第一款第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（五）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项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规定，当事人符合不予立案条件，建议不予立案。</w:t>
      </w:r>
    </w:p>
    <w:p w14:paraId="1D161F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二、白色圆形花图案树脂盘</w:t>
      </w:r>
    </w:p>
    <w:p w14:paraId="7A0250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（一）基本情况</w:t>
      </w:r>
    </w:p>
    <w:p w14:paraId="0501E3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 w:cs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仿宋" w:eastAsia="仿宋_GB2312" w:cs="仿宋_GB2312"/>
          <w:color w:val="000000"/>
          <w:sz w:val="32"/>
          <w:szCs w:val="32"/>
          <w:lang w:val="en-US" w:eastAsia="zh-CN"/>
        </w:rPr>
        <w:t>样品名称：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白色圆形花图案树脂盘</w:t>
      </w:r>
      <w:r>
        <w:rPr>
          <w:rFonts w:hint="eastAsia" w:ascii="仿宋_GB2312" w:hAnsi="仿宋" w:eastAsia="仿宋_GB2312" w:cs="仿宋_GB2312"/>
          <w:color w:val="000000"/>
          <w:sz w:val="32"/>
          <w:szCs w:val="32"/>
          <w:lang w:val="en-US" w:eastAsia="zh-CN"/>
        </w:rPr>
        <w:t>。被抽样单位：</w:t>
      </w:r>
      <w:r>
        <w:rPr>
          <w:rFonts w:hint="eastAsia" w:ascii="仿宋_GB2312" w:eastAsia="仿宋_GB2312" w:cs="仿宋_GB2312"/>
          <w:b w:val="0"/>
          <w:bCs w:val="0"/>
          <w:i w:val="0"/>
          <w:iCs w:val="0"/>
          <w:caps w:val="0"/>
          <w:smallCaps w:val="0"/>
          <w:color w:val="000000"/>
          <w:spacing w:val="0"/>
          <w:sz w:val="32"/>
          <w:szCs w:val="32"/>
          <w:shd w:val="clear" w:color="auto" w:fill="FFFFFF"/>
        </w:rPr>
        <w:t>晋州市</w:t>
      </w:r>
      <w:r>
        <w:rPr>
          <w:rFonts w:hint="eastAsia" w:ascii="仿宋_GB2312" w:eastAsia="仿宋_GB2312" w:cs="仿宋_GB2312"/>
          <w:b w:val="0"/>
          <w:bCs w:val="0"/>
          <w:i w:val="0"/>
          <w:iCs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eastAsia="zh-CN"/>
        </w:rPr>
        <w:t>康珍酒楼</w:t>
      </w:r>
      <w:r>
        <w:rPr>
          <w:rFonts w:hint="eastAsia" w:ascii="仿宋_GB2312" w:hAnsi="仿宋" w:eastAsia="仿宋_GB2312" w:cs="仿宋_GB2312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。抽样日期202</w:t>
      </w:r>
      <w:r>
        <w:rPr>
          <w:rFonts w:ascii="仿宋_GB2312" w:hAnsi="仿宋" w:eastAsia="仿宋_GB2312" w:cs="仿宋_GB2312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5</w:t>
      </w:r>
      <w:r>
        <w:rPr>
          <w:rFonts w:hint="eastAsia" w:ascii="仿宋_GB2312" w:hAnsi="仿宋" w:eastAsia="仿宋_GB2312" w:cs="仿宋_GB2312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年11月12日，不合格项目：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经抽样检验，</w:t>
      </w:r>
      <w:r>
        <w:rPr>
          <w:rFonts w:hint="eastAsia" w:ascii="仿宋_GB2312" w:eastAsia="仿宋_GB2312" w:cs="仿宋_GB2312"/>
          <w:color w:val="000000"/>
          <w:sz w:val="32"/>
          <w:szCs w:val="32"/>
          <w:lang w:eastAsia="zh-CN"/>
        </w:rPr>
        <w:t>大肠杆菌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项目不符合GB</w:t>
      </w:r>
      <w:r>
        <w:rPr>
          <w:rFonts w:hint="eastAsia" w:ascii="仿宋_GB2312" w:eastAsia="仿宋_GB2312" w:cs="仿宋_GB2312"/>
          <w:color w:val="000000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14934-2016《食品安全国家标准 消毒餐(饮)具》要求，检验结论为不合格。</w:t>
      </w:r>
      <w:r>
        <w:rPr>
          <w:rFonts w:hint="eastAsia" w:ascii="仿宋_GB2312" w:eastAsia="仿宋_GB2312" w:cs="仿宋_GB2312"/>
          <w:snapToGrid w:val="0"/>
          <w:color w:val="000000"/>
          <w:kern w:val="0"/>
          <w:sz w:val="32"/>
          <w:szCs w:val="32"/>
          <w:lang w:val="en-US" w:eastAsia="zh-CN" w:bidi="ar-SA"/>
        </w:rPr>
        <w:t>承检机构：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河北</w:t>
      </w:r>
      <w:r>
        <w:rPr>
          <w:rFonts w:hint="eastAsia" w:ascii="仿宋_GB2312" w:eastAsia="仿宋_GB2312" w:cs="仿宋_GB2312"/>
          <w:color w:val="000000"/>
          <w:sz w:val="32"/>
          <w:szCs w:val="32"/>
          <w:lang w:eastAsia="zh-CN"/>
        </w:rPr>
        <w:t>立诚检测科技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有限公司</w:t>
      </w:r>
      <w:r>
        <w:rPr>
          <w:rFonts w:hint="eastAsia" w:ascii="仿宋_GB2312" w:eastAsia="仿宋_GB2312" w:cs="仿宋_GB2312"/>
          <w:color w:val="000000"/>
          <w:sz w:val="32"/>
          <w:szCs w:val="32"/>
          <w:lang w:bidi="ar-SA"/>
        </w:rPr>
        <w:t>。</w:t>
      </w:r>
    </w:p>
    <w:p w14:paraId="3114067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（二）风险控制及核查情况</w:t>
      </w:r>
    </w:p>
    <w:p w14:paraId="62FE56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hAnsi="仿宋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我局执法人员收到检验报告后立即送达被抽样单位，开展现场检查，被抽样单位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的不合格餐具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已经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全部使用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。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我局依据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《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中华人民共和国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食品安全法》第三十三条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第一款第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（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五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）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项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规定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责令被抽样单位改正违法行为，给予警告处罚。202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6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年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1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月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30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日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，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我局对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被抽样单位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的整改情况进行复查，对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被抽样单位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的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白色圆形花图案树脂盘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再次送检，检验结果为合格，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被抽样单位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整改完毕。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依据《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中华人民共和国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食品安全法》第一百二十六条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第一款第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（五）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项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规定，当事人符合不予立案条件，建议不予立案。</w:t>
      </w:r>
    </w:p>
    <w:p w14:paraId="22AED1EC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120" w:firstLineChars="1600"/>
        <w:jc w:val="right"/>
        <w:textAlignment w:val="auto"/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</w:pPr>
    </w:p>
    <w:p w14:paraId="798DD6B7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120" w:firstLineChars="1600"/>
        <w:jc w:val="right"/>
        <w:textAlignment w:val="auto"/>
        <w:rPr>
          <w:rFonts w:hint="default" w:ascii="仿宋_GB2312" w:hAnsi="仿宋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2026年2月3日</w:t>
      </w:r>
    </w:p>
    <w:sectPr>
      <w:footerReference r:id="rId5" w:type="first"/>
      <w:footerReference r:id="rId3" w:type="default"/>
      <w:footerReference r:id="rId4" w:type="even"/>
      <w:pgSz w:w="11906" w:h="16838"/>
      <w:pgMar w:top="2041" w:right="1531" w:bottom="2041" w:left="1531" w:header="851" w:footer="992" w:gutter="0"/>
      <w:cols w:space="0" w:num="1"/>
      <w:rtlGutter w:val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C51A98">
    <w:pPr>
      <w:pStyle w:val="5"/>
      <w:framePr w:wrap="around" w:vAnchor="text" w:hAnchor="margin" w:xAlign="center" w:y="1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  <w:r>
      <w:rPr>
        <w:rStyle w:val="9"/>
      </w:rPr>
      <w:fldChar w:fldCharType="begin"/>
    </w:r>
    <w:r>
      <w:rPr>
        <w:rStyle w:val="9"/>
      </w:rPr>
      <w:instrText xml:space="preserve">Page</w:instrText>
    </w:r>
    <w:r>
      <w:rPr>
        <w:rStyle w:val="9"/>
      </w:rPr>
      <w:fldChar w:fldCharType="separate"/>
    </w:r>
    <w:r>
      <w:rPr>
        <w:rStyle w:val="9"/>
      </w:rPr>
      <w:t>1</w:t>
    </w:r>
    <w:r>
      <w:rPr>
        <w:rStyle w:val="9"/>
      </w:rPr>
      <w:fldChar w:fldCharType="end"/>
    </w:r>
  </w:p>
  <w:p w14:paraId="0B8009A2">
    <w:pPr>
      <w:pStyle w:val="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2CB6EB">
    <w:pPr>
      <w:pStyle w:val="5"/>
      <w:framePr w:wrap="around" w:vAnchor="text" w:hAnchor="margin" w:xAlign="center" w:y="1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  <w:r>
      <w:rPr>
        <w:rStyle w:val="9"/>
      </w:rPr>
      <w:fldChar w:fldCharType="begin"/>
    </w:r>
    <w:r>
      <w:rPr>
        <w:rStyle w:val="9"/>
      </w:rPr>
      <w:instrText xml:space="preserve">Page</w:instrText>
    </w:r>
    <w:r>
      <w:rPr>
        <w:rStyle w:val="9"/>
      </w:rPr>
      <w:fldChar w:fldCharType="separate"/>
    </w:r>
    <w:r>
      <w:rPr>
        <w:rStyle w:val="9"/>
      </w:rPr>
      <w:t>1</w:t>
    </w:r>
    <w:r>
      <w:rPr>
        <w:rStyle w:val="9"/>
      </w:rPr>
      <w:fldChar w:fldCharType="end"/>
    </w:r>
  </w:p>
  <w:p w14:paraId="30D551AD">
    <w:pPr>
      <w:pStyle w:val="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D0309BC">
    <w:pPr>
      <w:pStyle w:val="5"/>
      <w:framePr w:wrap="around" w:vAnchor="text" w:hAnchor="margin" w:xAlign="center" w:y="1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  <w:r>
      <w:rPr>
        <w:rStyle w:val="9"/>
      </w:rPr>
      <w:fldChar w:fldCharType="begin"/>
    </w:r>
    <w:r>
      <w:rPr>
        <w:rStyle w:val="9"/>
      </w:rPr>
      <w:instrText xml:space="preserve">Page</w:instrText>
    </w:r>
    <w:r>
      <w:rPr>
        <w:rStyle w:val="9"/>
      </w:rPr>
      <w:fldChar w:fldCharType="separate"/>
    </w:r>
    <w:r>
      <w:rPr>
        <w:rStyle w:val="9"/>
      </w:rPr>
      <w:t>1</w:t>
    </w:r>
    <w:r>
      <w:rPr>
        <w:rStyle w:val="9"/>
      </w:rPr>
      <w:fldChar w:fldCharType="end"/>
    </w:r>
  </w:p>
  <w:p w14:paraId="5A65E5FD"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dit="readOnly"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ExpandShiftReturn/>
    <w:adjustLineHeightInTable/>
    <w:useFELayout/>
    <w:doNotUseIndentAsNumberingTabStop/>
    <w:useAltKinsokuLineBreakRules/>
    <w:compatSetting w:name="compatibilityMode" w:uri="http://schemas.microsoft.com/office/word" w:val="14"/>
  </w:compat>
  <w:docVars>
    <w:docVar w:name="commondata" w:val="eyJoZGlkIjoiZTU0MjE5YTU4Y2NmMDY5YzMyOWU5NzJmNzQ0ZmI2OTEifQ=="/>
  </w:docVars>
  <w:rsids>
    <w:rsidRoot w:val="00000000"/>
    <w:rsid w:val="09E511D7"/>
    <w:rsid w:val="1AF84228"/>
    <w:rsid w:val="38293FA2"/>
    <w:rsid w:val="58227CEE"/>
    <w:rsid w:val="7F41016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Times New Roman" w:eastAsia="宋体" w:cs="Arial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8">
    <w:name w:val="Default Paragraph Font"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qFormat/>
    <w:uiPriority w:val="0"/>
    <w:pPr>
      <w:tabs>
        <w:tab w:val="center" w:pos="4153"/>
        <w:tab w:val="right" w:pos="8307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7"/>
      </w:tabs>
      <w:snapToGrid w:val="0"/>
      <w:jc w:val="center"/>
    </w:pPr>
    <w:rPr>
      <w:sz w:val="18"/>
      <w:szCs w:val="18"/>
    </w:rPr>
  </w:style>
  <w:style w:type="character" w:styleId="9">
    <w:name w:val="page number"/>
    <w:basedOn w:val="8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2</Pages>
  <Words>1158</Words>
  <Characters>1228</Characters>
  <Lines>0</Lines>
  <Paragraphs>11</Paragraphs>
  <TotalTime>166</TotalTime>
  <ScaleCrop>false</ScaleCrop>
  <LinksUpToDate>false</LinksUpToDate>
  <CharactersWithSpaces>1234</CharactersWithSpaces>
  <Application>WPS Office_12.1.0.18912_F1E327BC-269C-435d-A152-05C5408002CA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2021-12-02T01:52:00Z</dcterms:created>
  <dc:creator>Administrator</dc:creator>
  <cp:lastModifiedBy>阿昊昊昊</cp:lastModifiedBy>
  <cp:lastPrinted>2026-02-03T06:07:47Z</cp:lastPrinted>
  <dcterms:modified xsi:type="dcterms:W3CDTF">2026-02-03T06:08:04Z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9431BD53956D49ADBD654F05B04D967A_13</vt:lpwstr>
  </property>
</Properties>
</file>