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一、晋州市人民代表大会常务委员会办公室本级收支预算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一、晋州市人民代表大会常务委员会办公室本级收支预算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950.81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950.81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950.81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950.81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950.81</w:t>
            </w:r>
          </w:p>
        </w:tc>
        <w:tc>
          <w:tcPr>
            <w:tcW w:w="4535" w:type="dxa"/>
            <w:vAlign w:val="center"/>
          </w:tcPr>
          <w:p>
            <w:pPr>
              <w:pStyle w:val="单元格样式6"/>
            </w:pPr>
            <w:r>
              <w:t xml:space="preserve">支出总计</w:t>
            </w:r>
          </w:p>
        </w:tc>
        <w:tc>
          <w:tcPr>
            <w:tcW w:w="2126" w:type="dxa"/>
            <w:vAlign w:val="center"/>
          </w:tcPr>
          <w:p>
            <w:pPr>
              <w:pStyle w:val="单元格样式7"/>
            </w:pPr>
            <w:r>
              <w:t xml:space="preserve">950.81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950.81</w:t>
            </w:r>
          </w:p>
        </w:tc>
        <w:tc>
          <w:tcPr>
            <w:tcW w:w="1134" w:type="dxa"/>
            <w:vAlign w:val="center"/>
          </w:tcPr>
          <w:p>
            <w:pPr>
              <w:pStyle w:val="单元格样式7"/>
            </w:pPr>
            <w:r>
              <w:t xml:space="preserve">950.81</w:t>
            </w:r>
          </w:p>
        </w:tc>
        <w:tc>
          <w:tcPr>
            <w:tcW w:w="1134" w:type="dxa"/>
            <w:vAlign w:val="center"/>
          </w:tcPr>
          <w:p>
            <w:pPr>
              <w:pStyle w:val="单元格样式7"/>
            </w:pPr>
            <w:r>
              <w:t xml:space="preserve">950.81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950.81</w:t>
            </w:r>
          </w:p>
        </w:tc>
        <w:tc>
          <w:tcPr>
            <w:tcW w:w="1134" w:type="dxa"/>
            <w:vAlign w:val="center"/>
          </w:tcPr>
          <w:p>
            <w:pPr>
              <w:pStyle w:val="单元格样式4"/>
            </w:pPr>
            <w:r>
              <w:t xml:space="preserve">950.81</w:t>
            </w:r>
          </w:p>
        </w:tc>
        <w:tc>
          <w:tcPr>
            <w:tcW w:w="1134" w:type="dxa"/>
            <w:vAlign w:val="center"/>
          </w:tcPr>
          <w:p>
            <w:pPr>
              <w:pStyle w:val="单元格样式4"/>
            </w:pPr>
            <w:r>
              <w:t xml:space="preserve">950.81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950.81</w:t>
            </w:r>
          </w:p>
        </w:tc>
        <w:tc>
          <w:tcPr>
            <w:tcW w:w="1134" w:type="dxa"/>
            <w:vAlign w:val="center"/>
          </w:tcPr>
          <w:p>
            <w:pPr>
              <w:pStyle w:val="单元格样式4"/>
            </w:pPr>
            <w:r>
              <w:t xml:space="preserve">950.81</w:t>
            </w:r>
          </w:p>
        </w:tc>
        <w:tc>
          <w:tcPr>
            <w:tcW w:w="1134" w:type="dxa"/>
            <w:vAlign w:val="center"/>
          </w:tcPr>
          <w:p>
            <w:pPr>
              <w:pStyle w:val="单元格样式4"/>
            </w:pPr>
            <w:r>
              <w:t xml:space="preserve">950.81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736.63</w:t>
            </w:r>
          </w:p>
        </w:tc>
        <w:tc>
          <w:tcPr>
            <w:tcW w:w="1134" w:type="dxa"/>
            <w:vAlign w:val="center"/>
          </w:tcPr>
          <w:p>
            <w:pPr>
              <w:pStyle w:val="单元格样式4"/>
            </w:pPr>
            <w:r>
              <w:t xml:space="preserve">736.63</w:t>
            </w:r>
          </w:p>
        </w:tc>
        <w:tc>
          <w:tcPr>
            <w:tcW w:w="1134" w:type="dxa"/>
            <w:vAlign w:val="center"/>
          </w:tcPr>
          <w:p>
            <w:pPr>
              <w:pStyle w:val="单元格样式4"/>
            </w:pPr>
            <w:r>
              <w:t xml:space="preserve">736.63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30.53</w:t>
            </w:r>
          </w:p>
        </w:tc>
        <w:tc>
          <w:tcPr>
            <w:tcW w:w="1134" w:type="dxa"/>
            <w:vAlign w:val="center"/>
          </w:tcPr>
          <w:p>
            <w:pPr>
              <w:pStyle w:val="单元格样式4"/>
            </w:pPr>
            <w:r>
              <w:t xml:space="preserve">30.53</w:t>
            </w:r>
          </w:p>
        </w:tc>
        <w:tc>
          <w:tcPr>
            <w:tcW w:w="1134" w:type="dxa"/>
            <w:vAlign w:val="center"/>
          </w:tcPr>
          <w:p>
            <w:pPr>
              <w:pStyle w:val="单元格样式4"/>
            </w:pPr>
            <w:r>
              <w:t xml:space="preserve">30.53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2010104</w:t>
            </w:r>
          </w:p>
        </w:tc>
        <w:tc>
          <w:tcPr>
            <w:tcW w:w="1559" w:type="dxa"/>
            <w:vAlign w:val="center"/>
          </w:tcPr>
          <w:p>
            <w:pPr>
              <w:pStyle w:val="单元格样式2"/>
            </w:pPr>
            <w:r>
              <w:t xml:space="preserve">人大会议</w:t>
            </w:r>
          </w:p>
        </w:tc>
        <w:tc>
          <w:tcPr>
            <w:tcW w:w="1134" w:type="dxa"/>
            <w:vAlign w:val="center"/>
          </w:tcPr>
          <w:p>
            <w:pPr>
              <w:pStyle w:val="单元格样式4"/>
            </w:pPr>
            <w:r>
              <w:t xml:space="preserve">62.00</w:t>
            </w:r>
          </w:p>
        </w:tc>
        <w:tc>
          <w:tcPr>
            <w:tcW w:w="1134" w:type="dxa"/>
            <w:vAlign w:val="center"/>
          </w:tcPr>
          <w:p>
            <w:pPr>
              <w:pStyle w:val="单元格样式4"/>
            </w:pPr>
            <w:r>
              <w:t xml:space="preserve">62.00</w:t>
            </w:r>
          </w:p>
        </w:tc>
        <w:tc>
          <w:tcPr>
            <w:tcW w:w="1134" w:type="dxa"/>
            <w:vAlign w:val="center"/>
          </w:tcPr>
          <w:p>
            <w:pPr>
              <w:pStyle w:val="单元格样式4"/>
            </w:pPr>
            <w:r>
              <w:t xml:space="preserve">62.00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2010107</w:t>
            </w:r>
          </w:p>
        </w:tc>
        <w:tc>
          <w:tcPr>
            <w:tcW w:w="1559" w:type="dxa"/>
            <w:vAlign w:val="center"/>
          </w:tcPr>
          <w:p>
            <w:pPr>
              <w:pStyle w:val="单元格样式2"/>
            </w:pPr>
            <w:r>
              <w:t xml:space="preserve">人大代表履职能力提升</w:t>
            </w:r>
          </w:p>
        </w:tc>
        <w:tc>
          <w:tcPr>
            <w:tcW w:w="1134" w:type="dxa"/>
            <w:vAlign w:val="center"/>
          </w:tcPr>
          <w:p>
            <w:pPr>
              <w:pStyle w:val="单元格样式4"/>
            </w:pPr>
            <w:r>
              <w:t xml:space="preserve">121.65</w:t>
            </w:r>
          </w:p>
        </w:tc>
        <w:tc>
          <w:tcPr>
            <w:tcW w:w="1134" w:type="dxa"/>
            <w:vAlign w:val="center"/>
          </w:tcPr>
          <w:p>
            <w:pPr>
              <w:pStyle w:val="单元格样式4"/>
            </w:pPr>
            <w:r>
              <w:t xml:space="preserve">121.65</w:t>
            </w:r>
          </w:p>
        </w:tc>
        <w:tc>
          <w:tcPr>
            <w:tcW w:w="1134" w:type="dxa"/>
            <w:vAlign w:val="center"/>
          </w:tcPr>
          <w:p>
            <w:pPr>
              <w:pStyle w:val="单元格样式4"/>
            </w:pPr>
            <w:r>
              <w:t xml:space="preserve">121.65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950.81</w:t>
            </w:r>
          </w:p>
        </w:tc>
        <w:tc>
          <w:tcPr>
            <w:tcW w:w="1361" w:type="dxa"/>
            <w:vAlign w:val="center"/>
          </w:tcPr>
          <w:p>
            <w:pPr>
              <w:pStyle w:val="单元格样式7"/>
            </w:pPr>
            <w:r>
              <w:t xml:space="preserve">736.63</w:t>
            </w:r>
          </w:p>
        </w:tc>
        <w:tc>
          <w:tcPr>
            <w:tcW w:w="1361" w:type="dxa"/>
            <w:vAlign w:val="center"/>
          </w:tcPr>
          <w:p>
            <w:pPr>
              <w:pStyle w:val="单元格样式7"/>
            </w:pPr>
            <w:r>
              <w:t xml:space="preserve">214.18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950.81</w:t>
            </w:r>
          </w:p>
        </w:tc>
        <w:tc>
          <w:tcPr>
            <w:tcW w:w="1361" w:type="dxa"/>
            <w:vAlign w:val="center"/>
          </w:tcPr>
          <w:p>
            <w:pPr>
              <w:pStyle w:val="单元格样式4"/>
            </w:pPr>
            <w:r>
              <w:t xml:space="preserve">736.63</w:t>
            </w:r>
          </w:p>
        </w:tc>
        <w:tc>
          <w:tcPr>
            <w:tcW w:w="1361" w:type="dxa"/>
            <w:vAlign w:val="center"/>
          </w:tcPr>
          <w:p>
            <w:pPr>
              <w:pStyle w:val="单元格样式4"/>
            </w:pPr>
            <w:r>
              <w:t xml:space="preserve">214.18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950.81</w:t>
            </w:r>
          </w:p>
        </w:tc>
        <w:tc>
          <w:tcPr>
            <w:tcW w:w="1361" w:type="dxa"/>
            <w:vAlign w:val="center"/>
          </w:tcPr>
          <w:p>
            <w:pPr>
              <w:pStyle w:val="单元格样式4"/>
            </w:pPr>
            <w:r>
              <w:t xml:space="preserve">736.63</w:t>
            </w:r>
          </w:p>
        </w:tc>
        <w:tc>
          <w:tcPr>
            <w:tcW w:w="1361" w:type="dxa"/>
            <w:vAlign w:val="center"/>
          </w:tcPr>
          <w:p>
            <w:pPr>
              <w:pStyle w:val="单元格样式4"/>
            </w:pPr>
            <w:r>
              <w:t xml:space="preserve">214.18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736.63</w:t>
            </w:r>
          </w:p>
        </w:tc>
        <w:tc>
          <w:tcPr>
            <w:tcW w:w="1361" w:type="dxa"/>
            <w:vAlign w:val="center"/>
          </w:tcPr>
          <w:p>
            <w:pPr>
              <w:pStyle w:val="单元格样式4"/>
            </w:pPr>
            <w:r>
              <w:t xml:space="preserve">736.63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30.53</w:t>
            </w:r>
          </w:p>
        </w:tc>
        <w:tc>
          <w:tcPr>
            <w:tcW w:w="1361" w:type="dxa"/>
            <w:vAlign w:val="center"/>
          </w:tcPr>
          <w:p>
            <w:pPr>
              <w:pStyle w:val="单元格样式4"/>
            </w:pPr>
          </w:p>
        </w:tc>
        <w:tc>
          <w:tcPr>
            <w:tcW w:w="1361" w:type="dxa"/>
            <w:vAlign w:val="center"/>
          </w:tcPr>
          <w:p>
            <w:pPr>
              <w:pStyle w:val="单元格样式4"/>
            </w:pPr>
            <w:r>
              <w:t xml:space="preserve">30.53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1361" w:type="dxa"/>
            <w:vAlign w:val="center"/>
          </w:tcPr>
          <w:p>
            <w:pPr>
              <w:pStyle w:val="单元格样式4"/>
            </w:pPr>
            <w:r>
              <w:t xml:space="preserve">62.00</w:t>
            </w:r>
          </w:p>
        </w:tc>
        <w:tc>
          <w:tcPr>
            <w:tcW w:w="1361" w:type="dxa"/>
            <w:vAlign w:val="center"/>
          </w:tcPr>
          <w:p>
            <w:pPr>
              <w:pStyle w:val="单元格样式4"/>
            </w:pPr>
          </w:p>
        </w:tc>
        <w:tc>
          <w:tcPr>
            <w:tcW w:w="1361" w:type="dxa"/>
            <w:vAlign w:val="center"/>
          </w:tcPr>
          <w:p>
            <w:pPr>
              <w:pStyle w:val="单元格样式4"/>
            </w:pPr>
            <w:r>
              <w:t xml:space="preserve">62.00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2010107</w:t>
            </w:r>
          </w:p>
        </w:tc>
        <w:tc>
          <w:tcPr>
            <w:tcW w:w="4535" w:type="dxa"/>
            <w:vAlign w:val="center"/>
          </w:tcPr>
          <w:p>
            <w:pPr>
              <w:pStyle w:val="单元格样式2"/>
            </w:pPr>
            <w:r>
              <w:t xml:space="preserve">人大代表履职能力提升</w:t>
            </w:r>
          </w:p>
        </w:tc>
        <w:tc>
          <w:tcPr>
            <w:tcW w:w="1361" w:type="dxa"/>
            <w:vAlign w:val="center"/>
          </w:tcPr>
          <w:p>
            <w:pPr>
              <w:pStyle w:val="单元格样式4"/>
            </w:pPr>
            <w:r>
              <w:t xml:space="preserve">121.65</w:t>
            </w:r>
          </w:p>
        </w:tc>
        <w:tc>
          <w:tcPr>
            <w:tcW w:w="1361" w:type="dxa"/>
            <w:vAlign w:val="center"/>
          </w:tcPr>
          <w:p>
            <w:pPr>
              <w:pStyle w:val="单元格样式4"/>
            </w:pPr>
          </w:p>
        </w:tc>
        <w:tc>
          <w:tcPr>
            <w:tcW w:w="1361" w:type="dxa"/>
            <w:vAlign w:val="center"/>
          </w:tcPr>
          <w:p>
            <w:pPr>
              <w:pStyle w:val="单元格样式4"/>
            </w:pPr>
            <w:r>
              <w:t xml:space="preserve">121.65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950.81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950.81</w:t>
            </w:r>
          </w:p>
        </w:tc>
        <w:tc>
          <w:tcPr>
            <w:tcW w:w="1474" w:type="dxa"/>
            <w:vAlign w:val="center"/>
          </w:tcPr>
          <w:p>
            <w:pPr>
              <w:pStyle w:val="单元格样式4"/>
            </w:pPr>
            <w:r>
              <w:t xml:space="preserve">950.81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950.81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950.81</w:t>
            </w:r>
          </w:p>
        </w:tc>
        <w:tc>
          <w:tcPr>
            <w:tcW w:w="1474" w:type="dxa"/>
            <w:vAlign w:val="center"/>
          </w:tcPr>
          <w:p>
            <w:pPr>
              <w:pStyle w:val="单元格样式7"/>
            </w:pPr>
            <w:r>
              <w:t xml:space="preserve">950.81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950.81</w:t>
            </w:r>
          </w:p>
        </w:tc>
        <w:tc>
          <w:tcPr>
            <w:tcW w:w="3402" w:type="dxa"/>
            <w:vAlign w:val="center"/>
          </w:tcPr>
          <w:p>
            <w:pPr>
              <w:pStyle w:val="单元格样式6"/>
            </w:pPr>
            <w:r>
              <w:t xml:space="preserve">支出总计</w:t>
            </w:r>
          </w:p>
        </w:tc>
        <w:tc>
          <w:tcPr>
            <w:tcW w:w="1474" w:type="dxa"/>
            <w:vAlign w:val="center"/>
          </w:tcPr>
          <w:p>
            <w:pPr>
              <w:pStyle w:val="单元格样式7"/>
            </w:pPr>
            <w:r>
              <w:t xml:space="preserve">950.81</w:t>
            </w:r>
          </w:p>
        </w:tc>
        <w:tc>
          <w:tcPr>
            <w:tcW w:w="1474" w:type="dxa"/>
            <w:vAlign w:val="center"/>
          </w:tcPr>
          <w:p>
            <w:pPr>
              <w:pStyle w:val="单元格样式7"/>
            </w:pPr>
            <w:r>
              <w:t xml:space="preserve">950.81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950.81</w:t>
            </w:r>
          </w:p>
        </w:tc>
        <w:tc>
          <w:tcPr>
            <w:tcW w:w="2551" w:type="dxa"/>
            <w:vAlign w:val="center"/>
          </w:tcPr>
          <w:p>
            <w:pPr>
              <w:pStyle w:val="单元格样式7"/>
            </w:pPr>
            <w:r>
              <w:t xml:space="preserve">736.63</w:t>
            </w:r>
          </w:p>
        </w:tc>
        <w:tc>
          <w:tcPr>
            <w:tcW w:w="2551" w:type="dxa"/>
            <w:vAlign w:val="center"/>
          </w:tcPr>
          <w:p>
            <w:pPr>
              <w:pStyle w:val="单元格样式7"/>
            </w:pPr>
            <w:r>
              <w:t xml:space="preserve">214.18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950.81</w:t>
            </w:r>
          </w:p>
        </w:tc>
        <w:tc>
          <w:tcPr>
            <w:tcW w:w="2551" w:type="dxa"/>
            <w:vAlign w:val="center"/>
          </w:tcPr>
          <w:p>
            <w:pPr>
              <w:pStyle w:val="单元格样式4"/>
            </w:pPr>
            <w:r>
              <w:t xml:space="preserve">736.63</w:t>
            </w:r>
          </w:p>
        </w:tc>
        <w:tc>
          <w:tcPr>
            <w:tcW w:w="2551" w:type="dxa"/>
            <w:vAlign w:val="center"/>
          </w:tcPr>
          <w:p>
            <w:pPr>
              <w:pStyle w:val="单元格样式4"/>
            </w:pPr>
            <w:r>
              <w:t xml:space="preserve">214.18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950.81</w:t>
            </w:r>
          </w:p>
        </w:tc>
        <w:tc>
          <w:tcPr>
            <w:tcW w:w="2551" w:type="dxa"/>
            <w:vAlign w:val="center"/>
          </w:tcPr>
          <w:p>
            <w:pPr>
              <w:pStyle w:val="单元格样式4"/>
            </w:pPr>
            <w:r>
              <w:t xml:space="preserve">736.63</w:t>
            </w:r>
          </w:p>
        </w:tc>
        <w:tc>
          <w:tcPr>
            <w:tcW w:w="2551" w:type="dxa"/>
            <w:vAlign w:val="center"/>
          </w:tcPr>
          <w:p>
            <w:pPr>
              <w:pStyle w:val="单元格样式4"/>
            </w:pPr>
            <w:r>
              <w:t xml:space="preserve">214.18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736.63</w:t>
            </w:r>
          </w:p>
        </w:tc>
        <w:tc>
          <w:tcPr>
            <w:tcW w:w="2551" w:type="dxa"/>
            <w:vAlign w:val="center"/>
          </w:tcPr>
          <w:p>
            <w:pPr>
              <w:pStyle w:val="单元格样式4"/>
            </w:pPr>
            <w:r>
              <w:t xml:space="preserve">736.63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30.53</w:t>
            </w:r>
          </w:p>
        </w:tc>
        <w:tc>
          <w:tcPr>
            <w:tcW w:w="2551" w:type="dxa"/>
            <w:vAlign w:val="center"/>
          </w:tcPr>
          <w:p>
            <w:pPr>
              <w:pStyle w:val="单元格样式4"/>
            </w:pPr>
          </w:p>
        </w:tc>
        <w:tc>
          <w:tcPr>
            <w:tcW w:w="2551" w:type="dxa"/>
            <w:vAlign w:val="center"/>
          </w:tcPr>
          <w:p>
            <w:pPr>
              <w:pStyle w:val="单元格样式4"/>
            </w:pPr>
            <w:r>
              <w:t xml:space="preserve">30.53</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2551" w:type="dxa"/>
            <w:vAlign w:val="center"/>
          </w:tcPr>
          <w:p>
            <w:pPr>
              <w:pStyle w:val="单元格样式4"/>
            </w:pPr>
            <w:r>
              <w:t xml:space="preserve">62.00</w:t>
            </w:r>
          </w:p>
        </w:tc>
        <w:tc>
          <w:tcPr>
            <w:tcW w:w="2551" w:type="dxa"/>
            <w:vAlign w:val="center"/>
          </w:tcPr>
          <w:p>
            <w:pPr>
              <w:pStyle w:val="单元格样式4"/>
            </w:pPr>
          </w:p>
        </w:tc>
        <w:tc>
          <w:tcPr>
            <w:tcW w:w="2551" w:type="dxa"/>
            <w:vAlign w:val="center"/>
          </w:tcPr>
          <w:p>
            <w:pPr>
              <w:pStyle w:val="单元格样式4"/>
            </w:pPr>
            <w:r>
              <w:t xml:space="preserve">62.00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2010107</w:t>
            </w:r>
          </w:p>
        </w:tc>
        <w:tc>
          <w:tcPr>
            <w:tcW w:w="4535" w:type="dxa"/>
            <w:vAlign w:val="center"/>
          </w:tcPr>
          <w:p>
            <w:pPr>
              <w:pStyle w:val="单元格样式2"/>
            </w:pPr>
            <w:r>
              <w:t xml:space="preserve">人大代表履职能力提升</w:t>
            </w:r>
          </w:p>
        </w:tc>
        <w:tc>
          <w:tcPr>
            <w:tcW w:w="2551" w:type="dxa"/>
            <w:vAlign w:val="center"/>
          </w:tcPr>
          <w:p>
            <w:pPr>
              <w:pStyle w:val="单元格样式4"/>
            </w:pPr>
            <w:r>
              <w:t xml:space="preserve">121.65</w:t>
            </w:r>
          </w:p>
        </w:tc>
        <w:tc>
          <w:tcPr>
            <w:tcW w:w="2551" w:type="dxa"/>
            <w:vAlign w:val="center"/>
          </w:tcPr>
          <w:p>
            <w:pPr>
              <w:pStyle w:val="单元格样式4"/>
            </w:pPr>
          </w:p>
        </w:tc>
        <w:tc>
          <w:tcPr>
            <w:tcW w:w="2551" w:type="dxa"/>
            <w:vAlign w:val="center"/>
          </w:tcPr>
          <w:p>
            <w:pPr>
              <w:pStyle w:val="单元格样式4"/>
            </w:pPr>
            <w:r>
              <w:t xml:space="preserve">121.65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736.63</w:t>
            </w:r>
          </w:p>
        </w:tc>
        <w:tc>
          <w:tcPr>
            <w:tcW w:w="2551" w:type="dxa"/>
            <w:vAlign w:val="center"/>
          </w:tcPr>
          <w:p>
            <w:pPr>
              <w:pStyle w:val="单元格样式7"/>
            </w:pPr>
            <w:r>
              <w:t xml:space="preserve">652.75</w:t>
            </w:r>
          </w:p>
        </w:tc>
        <w:tc>
          <w:tcPr>
            <w:tcW w:w="2551" w:type="dxa"/>
            <w:vAlign w:val="center"/>
          </w:tcPr>
          <w:p>
            <w:pPr>
              <w:pStyle w:val="单元格样式7"/>
            </w:pPr>
            <w:r>
              <w:t xml:space="preserve">83.88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549.97</w:t>
            </w:r>
          </w:p>
        </w:tc>
        <w:tc>
          <w:tcPr>
            <w:tcW w:w="2551" w:type="dxa"/>
            <w:vAlign w:val="center"/>
          </w:tcPr>
          <w:p>
            <w:pPr>
              <w:pStyle w:val="单元格样式4"/>
            </w:pPr>
            <w:r>
              <w:t xml:space="preserve">549.97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220.87</w:t>
            </w:r>
          </w:p>
        </w:tc>
        <w:tc>
          <w:tcPr>
            <w:tcW w:w="2551" w:type="dxa"/>
            <w:vAlign w:val="center"/>
          </w:tcPr>
          <w:p>
            <w:pPr>
              <w:pStyle w:val="单元格样式4"/>
            </w:pPr>
            <w:r>
              <w:t xml:space="preserve">220.87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84.87</w:t>
            </w:r>
          </w:p>
        </w:tc>
        <w:tc>
          <w:tcPr>
            <w:tcW w:w="2551" w:type="dxa"/>
            <w:vAlign w:val="center"/>
          </w:tcPr>
          <w:p>
            <w:pPr>
              <w:pStyle w:val="单元格样式4"/>
            </w:pPr>
            <w:r>
              <w:t xml:space="preserve">84.87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74.26</w:t>
            </w:r>
          </w:p>
        </w:tc>
        <w:tc>
          <w:tcPr>
            <w:tcW w:w="2551" w:type="dxa"/>
            <w:vAlign w:val="center"/>
          </w:tcPr>
          <w:p>
            <w:pPr>
              <w:pStyle w:val="单元格样式4"/>
            </w:pPr>
            <w:r>
              <w:t xml:space="preserve">74.26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29.86</w:t>
            </w:r>
          </w:p>
        </w:tc>
        <w:tc>
          <w:tcPr>
            <w:tcW w:w="2551" w:type="dxa"/>
            <w:vAlign w:val="center"/>
          </w:tcPr>
          <w:p>
            <w:pPr>
              <w:pStyle w:val="单元格样式4"/>
            </w:pPr>
            <w:r>
              <w:t xml:space="preserve">29.86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57.90</w:t>
            </w:r>
          </w:p>
        </w:tc>
        <w:tc>
          <w:tcPr>
            <w:tcW w:w="2551" w:type="dxa"/>
            <w:vAlign w:val="center"/>
          </w:tcPr>
          <w:p>
            <w:pPr>
              <w:pStyle w:val="单元格样式4"/>
            </w:pPr>
            <w:r>
              <w:t xml:space="preserve">57.90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22.41</w:t>
            </w:r>
          </w:p>
        </w:tc>
        <w:tc>
          <w:tcPr>
            <w:tcW w:w="2551" w:type="dxa"/>
            <w:vAlign w:val="center"/>
          </w:tcPr>
          <w:p>
            <w:pPr>
              <w:pStyle w:val="单元格样式4"/>
            </w:pPr>
            <w:r>
              <w:t xml:space="preserve">22.41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2.28</w:t>
            </w:r>
          </w:p>
        </w:tc>
        <w:tc>
          <w:tcPr>
            <w:tcW w:w="2551" w:type="dxa"/>
            <w:vAlign w:val="center"/>
          </w:tcPr>
          <w:p>
            <w:pPr>
              <w:pStyle w:val="单元格样式4"/>
            </w:pPr>
            <w:r>
              <w:t xml:space="preserve">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46.14</w:t>
            </w:r>
          </w:p>
        </w:tc>
        <w:tc>
          <w:tcPr>
            <w:tcW w:w="2551" w:type="dxa"/>
            <w:vAlign w:val="center"/>
          </w:tcPr>
          <w:p>
            <w:pPr>
              <w:pStyle w:val="单元格样式4"/>
            </w:pPr>
            <w:r>
              <w:t xml:space="preserve">46.14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83.88</w:t>
            </w:r>
          </w:p>
        </w:tc>
        <w:tc>
          <w:tcPr>
            <w:tcW w:w="2551" w:type="dxa"/>
            <w:vAlign w:val="center"/>
          </w:tcPr>
          <w:p>
            <w:pPr>
              <w:pStyle w:val="单元格样式4"/>
            </w:pPr>
          </w:p>
        </w:tc>
        <w:tc>
          <w:tcPr>
            <w:tcW w:w="2551" w:type="dxa"/>
            <w:vAlign w:val="center"/>
          </w:tcPr>
          <w:p>
            <w:pPr>
              <w:pStyle w:val="单元格样式4"/>
            </w:pPr>
            <w:r>
              <w:t xml:space="preserve">83.88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16.40</w:t>
            </w:r>
          </w:p>
        </w:tc>
        <w:tc>
          <w:tcPr>
            <w:tcW w:w="2551" w:type="dxa"/>
            <w:vAlign w:val="center"/>
          </w:tcPr>
          <w:p>
            <w:pPr>
              <w:pStyle w:val="单元格样式4"/>
            </w:pPr>
          </w:p>
        </w:tc>
        <w:tc>
          <w:tcPr>
            <w:tcW w:w="2551" w:type="dxa"/>
            <w:vAlign w:val="center"/>
          </w:tcPr>
          <w:p>
            <w:pPr>
              <w:pStyle w:val="单元格样式4"/>
            </w:pPr>
            <w:r>
              <w:t xml:space="preserve">16.40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16.20</w:t>
            </w:r>
          </w:p>
        </w:tc>
        <w:tc>
          <w:tcPr>
            <w:tcW w:w="2551" w:type="dxa"/>
            <w:vAlign w:val="center"/>
          </w:tcPr>
          <w:p>
            <w:pPr>
              <w:pStyle w:val="单元格样式4"/>
            </w:pPr>
          </w:p>
        </w:tc>
        <w:tc>
          <w:tcPr>
            <w:tcW w:w="2551" w:type="dxa"/>
            <w:vAlign w:val="center"/>
          </w:tcPr>
          <w:p>
            <w:pPr>
              <w:pStyle w:val="单元格样式4"/>
            </w:pPr>
            <w:r>
              <w:t xml:space="preserve">16.20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4.34</w:t>
            </w:r>
          </w:p>
        </w:tc>
        <w:tc>
          <w:tcPr>
            <w:tcW w:w="2551" w:type="dxa"/>
            <w:vAlign w:val="center"/>
          </w:tcPr>
          <w:p>
            <w:pPr>
              <w:pStyle w:val="单元格样式4"/>
            </w:pPr>
          </w:p>
        </w:tc>
        <w:tc>
          <w:tcPr>
            <w:tcW w:w="2551" w:type="dxa"/>
            <w:vAlign w:val="center"/>
          </w:tcPr>
          <w:p>
            <w:pPr>
              <w:pStyle w:val="单元格样式4"/>
            </w:pPr>
            <w:r>
              <w:t xml:space="preserve">4.34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11.64</w:t>
            </w:r>
          </w:p>
        </w:tc>
        <w:tc>
          <w:tcPr>
            <w:tcW w:w="2551" w:type="dxa"/>
            <w:vAlign w:val="center"/>
          </w:tcPr>
          <w:p>
            <w:pPr>
              <w:pStyle w:val="单元格样式4"/>
            </w:pPr>
          </w:p>
        </w:tc>
        <w:tc>
          <w:tcPr>
            <w:tcW w:w="2551" w:type="dxa"/>
            <w:vAlign w:val="center"/>
          </w:tcPr>
          <w:p>
            <w:pPr>
              <w:pStyle w:val="单元格样式4"/>
            </w:pPr>
            <w:r>
              <w:t xml:space="preserve">11.64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23.74</w:t>
            </w:r>
          </w:p>
        </w:tc>
        <w:tc>
          <w:tcPr>
            <w:tcW w:w="2551" w:type="dxa"/>
            <w:vAlign w:val="center"/>
          </w:tcPr>
          <w:p>
            <w:pPr>
              <w:pStyle w:val="单元格样式4"/>
            </w:pPr>
          </w:p>
        </w:tc>
        <w:tc>
          <w:tcPr>
            <w:tcW w:w="2551" w:type="dxa"/>
            <w:vAlign w:val="center"/>
          </w:tcPr>
          <w:p>
            <w:pPr>
              <w:pStyle w:val="单元格样式4"/>
            </w:pPr>
            <w:r>
              <w:t xml:space="preserve">23.74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11.56</w:t>
            </w:r>
          </w:p>
        </w:tc>
        <w:tc>
          <w:tcPr>
            <w:tcW w:w="2551" w:type="dxa"/>
            <w:vAlign w:val="center"/>
          </w:tcPr>
          <w:p>
            <w:pPr>
              <w:pStyle w:val="单元格样式4"/>
            </w:pPr>
          </w:p>
        </w:tc>
        <w:tc>
          <w:tcPr>
            <w:tcW w:w="2551" w:type="dxa"/>
            <w:vAlign w:val="center"/>
          </w:tcPr>
          <w:p>
            <w:pPr>
              <w:pStyle w:val="单元格样式4"/>
            </w:pPr>
            <w:r>
              <w:t xml:space="preserve">11.56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102.78</w:t>
            </w:r>
          </w:p>
        </w:tc>
        <w:tc>
          <w:tcPr>
            <w:tcW w:w="2551" w:type="dxa"/>
            <w:vAlign w:val="center"/>
          </w:tcPr>
          <w:p>
            <w:pPr>
              <w:pStyle w:val="单元格样式4"/>
            </w:pPr>
            <w:r>
              <w:t xml:space="preserve">102.78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99.64</w:t>
            </w:r>
          </w:p>
        </w:tc>
        <w:tc>
          <w:tcPr>
            <w:tcW w:w="2551" w:type="dxa"/>
            <w:vAlign w:val="center"/>
          </w:tcPr>
          <w:p>
            <w:pPr>
              <w:pStyle w:val="单元格样式4"/>
            </w:pPr>
            <w:r>
              <w:t xml:space="preserve">99.64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3.14</w:t>
            </w:r>
          </w:p>
        </w:tc>
        <w:tc>
          <w:tcPr>
            <w:tcW w:w="2551" w:type="dxa"/>
            <w:vAlign w:val="center"/>
          </w:tcPr>
          <w:p>
            <w:pPr>
              <w:pStyle w:val="单元格样式4"/>
            </w:pPr>
            <w:r>
              <w:t xml:space="preserve">3.14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11.64</w:t>
            </w:r>
          </w:p>
        </w:tc>
        <w:tc>
          <w:tcPr>
            <w:tcW w:w="2381" w:type="dxa"/>
            <w:vAlign w:val="center"/>
          </w:tcPr>
          <w:p>
            <w:pPr>
              <w:pStyle w:val="单元格样式7"/>
            </w:pPr>
            <w:r>
              <w:t xml:space="preserve">11.64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11.64</w:t>
            </w:r>
          </w:p>
        </w:tc>
        <w:tc>
          <w:tcPr>
            <w:tcW w:w="2381" w:type="dxa"/>
            <w:vAlign w:val="center"/>
          </w:tcPr>
          <w:p>
            <w:pPr>
              <w:pStyle w:val="单元格样式4"/>
            </w:pPr>
            <w:r>
              <w:t xml:space="preserve">11.64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晋州市人民代表大会常务委员会办公室本级2026年单位预算信息公开情况说明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按照《中华人民共和国预算法》、《地方预决算公开操作规程》和《关于进一步推进预算公开工作的实施意见》规定，现将晋州市人民代表大会常务委员会办公室本级2026年单位预算公开如下：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1、在本行政区域内,保证宪法、法律、行政法规和上级人民代表大会及其常务委员会决议的遵守和执行。</w:t>
      </w:r>
    </w:p>
    <w:p>
      <w:pPr>
        <w:pStyle w:val="插入文本样式-插入单位职责文件"/>
      </w:pPr>
      <w:r>
        <w:t xml:space="preserve">2、领导或者主持本级人民代表大会代表的选举。</w:t>
      </w:r>
    </w:p>
    <w:p>
      <w:pPr>
        <w:pStyle w:val="插入文本样式-插入单位职责文件"/>
      </w:pPr>
      <w:r>
        <w:t xml:space="preserve">3、召集本级人民代表大会会议。</w:t>
      </w:r>
    </w:p>
    <w:p>
      <w:pPr>
        <w:pStyle w:val="插入文本样式-插入单位职责文件"/>
      </w:pPr>
      <w:r>
        <w:t xml:space="preserve">4、讨论、决定本行政区城内的政治教育、科学、文化、体育、卫生,环境和资源保护、民族等工作的重大事项。</w:t>
      </w:r>
    </w:p>
    <w:p>
      <w:pPr>
        <w:pStyle w:val="插入文本样式-插入单位职责文件"/>
      </w:pPr>
      <w:r>
        <w:t xml:space="preserve">5、根据本级人民政府的建议,决定对本行政区域内的国民经济和社会发展计划、预算的部分变更。</w:t>
      </w:r>
    </w:p>
    <w:p>
      <w:pPr>
        <w:pStyle w:val="插入文本样式-插入单位职责文件"/>
      </w:pPr>
      <w:r>
        <w:t xml:space="preserve">6、监督本级人民政府、人民法院和人民检察院的工作，联系本级人民代表大会代表,受理人民群众对上述机关和国家工作人员的申诉和意见。</w:t>
      </w:r>
    </w:p>
    <w:p>
      <w:pPr>
        <w:pStyle w:val="插入文本样式-插入单位职责文件"/>
      </w:pPr>
      <w:r>
        <w:t xml:space="preserve">7、撤销本级人民政府不适当的决定和命令。</w:t>
      </w:r>
    </w:p>
    <w:p>
      <w:pPr>
        <w:pStyle w:val="插入文本样式-插入单位职责文件"/>
      </w:pPr>
      <w:r>
        <w:t xml:space="preserve">8、撤销下一级人民代表大会不适当的决议。</w:t>
      </w:r>
    </w:p>
    <w:p>
      <w:pPr>
        <w:pStyle w:val="插入文本样式-插入单位职责文件"/>
      </w:pPr>
      <w:r>
        <w:t xml:space="preserve">9、在本级人民代表大会闭会期间,决定副市长的个别任免;在市长、人民法院院长、人民检察院检察长因故不能担任职务的时候,从本级人民政府、人民法院、人民检察院副职领导人员中决定代理的人选;决定代理检察长,须报上级人民检察院和人民代表大会常务委员会备案。</w:t>
      </w:r>
    </w:p>
    <w:p>
      <w:pPr>
        <w:pStyle w:val="插入文本样式-插入单位职责文件"/>
      </w:pPr>
      <w:r>
        <w:t xml:space="preserve">10、根据市长的提名,决定本级人民政府秘书长、局长的任免,报上一级人民政府备案。</w:t>
      </w:r>
    </w:p>
    <w:p>
      <w:pPr>
        <w:pStyle w:val="插入文本样式-插入单位职责文件"/>
      </w:pPr>
      <w:r>
        <w:t xml:space="preserve">11、根据人民法院组织法和人民检察院组织法的规定,任免人民法院副院长、庭长、副庭长、审判委员会委员、审判员,任免人民检察院副检察长、检察委员会委员、检察。</w:t>
      </w:r>
    </w:p>
    <w:p>
      <w:pPr>
        <w:pStyle w:val="插入文本样式-插入单位职责文件"/>
      </w:pPr>
      <w:r>
        <w:t xml:space="preserve">12、在本级人民代表大会闭会期间,决定撤销本级人民政府其他组成人员和人民法院副院长、庭长、副庭长、审判委员会委员、审判员、人民检察院副检察长、检察委员会委员、检察员的职务。</w:t>
      </w:r>
    </w:p>
    <w:p>
      <w:pPr>
        <w:pStyle w:val="插入文本样式-插入单位职责文件"/>
      </w:pPr>
      <w:r>
        <w:t xml:space="preserve">13、在本级人民代表大会闭会期间,补选上一级人民代表大会出缺的代表和罢免个别代表。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晋州市人民代表大会常务委员会办公室本级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950.81万元，其中：一般公共预算收入950.81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人民代表大会常务委员会办公室本级年度单位预算中支出预算的总体情况。2026年支出预算950.81万元，其中基本支出736.63万元，包括人员经费652.75万元和日常公用经费83.88万元；项目支出214.18万元，主要为人代会、代表之家经费、财政预算和国资联网监督网络维护费、老干部活动经费、执政监督能力提升工作经费、人大常委会例会会议费等；预计下年使用的单位资金结余0.00万元。委托业务费共计安排11.86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950.81万元，较2025年预算减少56.29万元，其中：基本支出减少2.39万元，主要为单位人员减少，相应的预算开支减少。项目支出减少53.90万元，主要为各预算项目核减开支。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2026年，我单位机关运行经费共计安排83.88万元，主要用于日常维修、办公用房水电费、办公用房取暖费、办公用房物业管理费等日常运行支出。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11.64万元，其中因公出国（境）费0.00万元；公务用车购置及运维费11.64万元（其中：公务用车购置费为0.00万元，公务用车运维费11.64万元)；公务接待费0.00万元。与2025年相比减少1.06万元，增减变化的主要原因是节约支出，逐年降低三公经费预算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1、报刊征订费绩效目标表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13018326P000328102295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报刊征订费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征订党报、党刊、杂志以及工具类的书刊。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1.优化报刊资源配置，提升信息获取的针对性、有效性和利用率。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报刊订阅数量</w:t>
            </w:r>
          </w:p>
        </w:tc>
        <w:tc>
          <w:tcPr>
            <w:tcW w:w="5386" w:type="dxa"/>
            <w:vAlign w:val="center"/>
          </w:tcPr>
          <w:p>
            <w:pPr>
              <w:pStyle w:val="单元格样式2"/>
            </w:pPr>
            <w:r>
              <w:t xml:space="preserve">报刊订阅数量</w:t>
            </w:r>
          </w:p>
        </w:tc>
        <w:tc>
          <w:tcPr>
            <w:tcW w:w="2268" w:type="dxa"/>
            <w:vAlign w:val="center"/>
          </w:tcPr>
          <w:p>
            <w:pPr>
              <w:pStyle w:val="单元格样式2"/>
            </w:pPr>
            <w:r>
              <w:t xml:space="preserve">70份</w:t>
            </w:r>
          </w:p>
        </w:tc>
        <w:tc>
          <w:tcPr>
            <w:tcW w:w="1276" w:type="dxa"/>
            <w:vAlign w:val="center"/>
          </w:tcPr>
          <w:p>
            <w:pPr>
              <w:pStyle w:val="单元格样式2"/>
            </w:pPr>
            <w:r>
              <w:t xml:space="preserve">根据《报刊费请示》的批示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学习完成率</w:t>
            </w:r>
          </w:p>
        </w:tc>
        <w:tc>
          <w:tcPr>
            <w:tcW w:w="5386" w:type="dxa"/>
            <w:vAlign w:val="center"/>
          </w:tcPr>
          <w:p>
            <w:pPr>
              <w:pStyle w:val="单元格样式2"/>
            </w:pPr>
            <w:r>
              <w:t xml:space="preserve">丰富生活学习党的方针政策</w:t>
            </w:r>
          </w:p>
        </w:tc>
        <w:tc>
          <w:tcPr>
            <w:tcW w:w="2268" w:type="dxa"/>
            <w:vAlign w:val="center"/>
          </w:tcPr>
          <w:p>
            <w:pPr>
              <w:pStyle w:val="单元格样式2"/>
            </w:pPr>
            <w:r>
              <w:t xml:space="preserve">≥90%</w:t>
            </w:r>
          </w:p>
        </w:tc>
        <w:tc>
          <w:tcPr>
            <w:tcW w:w="1276" w:type="dxa"/>
            <w:vAlign w:val="center"/>
          </w:tcPr>
          <w:p>
            <w:pPr>
              <w:pStyle w:val="单元格样式2"/>
            </w:pPr>
            <w:r>
              <w:t xml:space="preserve">根据《报刊费请示》的批示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按照要求和计划完成征订率</w:t>
            </w:r>
          </w:p>
        </w:tc>
        <w:tc>
          <w:tcPr>
            <w:tcW w:w="2268" w:type="dxa"/>
            <w:vAlign w:val="center"/>
          </w:tcPr>
          <w:p>
            <w:pPr>
              <w:pStyle w:val="单元格样式2"/>
            </w:pPr>
            <w:r>
              <w:t xml:space="preserve">≥90%</w:t>
            </w:r>
          </w:p>
        </w:tc>
        <w:tc>
          <w:tcPr>
            <w:tcW w:w="1276" w:type="dxa"/>
            <w:vAlign w:val="center"/>
          </w:tcPr>
          <w:p>
            <w:pPr>
              <w:pStyle w:val="单元格样式2"/>
            </w:pPr>
            <w:r>
              <w:t xml:space="preserve">根据《报刊费请示》的批示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3.62万元</w:t>
            </w:r>
          </w:p>
        </w:tc>
        <w:tc>
          <w:tcPr>
            <w:tcW w:w="1276" w:type="dxa"/>
            <w:vAlign w:val="center"/>
          </w:tcPr>
          <w:p>
            <w:pPr>
              <w:pStyle w:val="单元格样式2"/>
            </w:pPr>
            <w:r>
              <w:t xml:space="preserve">根据《报刊费请示》的批示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报刊发放使用量占比率</w:t>
            </w:r>
          </w:p>
        </w:tc>
        <w:tc>
          <w:tcPr>
            <w:tcW w:w="5386" w:type="dxa"/>
            <w:vAlign w:val="center"/>
          </w:tcPr>
          <w:p>
            <w:pPr>
              <w:pStyle w:val="单元格样式2"/>
            </w:pPr>
            <w:r>
              <w:t xml:space="preserve">反映报刊的学习阅读使用率</w:t>
            </w:r>
          </w:p>
        </w:tc>
        <w:tc>
          <w:tcPr>
            <w:tcW w:w="2268" w:type="dxa"/>
            <w:vAlign w:val="center"/>
          </w:tcPr>
          <w:p>
            <w:pPr>
              <w:pStyle w:val="单元格样式2"/>
            </w:pPr>
            <w:r>
              <w:t xml:space="preserve">≥90%</w:t>
            </w:r>
          </w:p>
        </w:tc>
        <w:tc>
          <w:tcPr>
            <w:tcW w:w="1276" w:type="dxa"/>
            <w:vAlign w:val="center"/>
          </w:tcPr>
          <w:p>
            <w:pPr>
              <w:pStyle w:val="单元格样式2"/>
            </w:pPr>
            <w:r>
              <w:t xml:space="preserve">根据《报刊费请示》的批示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2、财政预决算和国资联网监督网络维护费绩效目标表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13018326P00032810234Y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财政预决算和国资联网监督网络维护费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支付网络费用以及联网监督平台维护更新费用。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1.确保网络基础设施和服务的高可用性、高安全性、高性能，确保办公、视频会议、核心业务系统等所需的带宽和延迟要求得到满足。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计算机通讯网络正常运行保障率</w:t>
            </w:r>
          </w:p>
        </w:tc>
        <w:tc>
          <w:tcPr>
            <w:tcW w:w="5386" w:type="dxa"/>
            <w:vAlign w:val="center"/>
          </w:tcPr>
          <w:p>
            <w:pPr>
              <w:pStyle w:val="单元格样式2"/>
            </w:pPr>
            <w:r>
              <w:t xml:space="preserve">计算机通讯网络正常运行保障率</w:t>
            </w:r>
          </w:p>
        </w:tc>
        <w:tc>
          <w:tcPr>
            <w:tcW w:w="2268" w:type="dxa"/>
            <w:vAlign w:val="center"/>
          </w:tcPr>
          <w:p>
            <w:pPr>
              <w:pStyle w:val="单元格样式2"/>
            </w:pPr>
            <w:r>
              <w:t xml:space="preserve">≥95%</w:t>
            </w:r>
          </w:p>
        </w:tc>
        <w:tc>
          <w:tcPr>
            <w:tcW w:w="1276" w:type="dxa"/>
            <w:vAlign w:val="center"/>
          </w:tcPr>
          <w:p>
            <w:pPr>
              <w:pStyle w:val="单元格样式2"/>
            </w:pPr>
            <w:r>
              <w:t xml:space="preserve">根据《联网监督、表决系统、网上代表之家网络维护费请示》的批复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网络操作系统稳定性</w:t>
            </w:r>
          </w:p>
        </w:tc>
        <w:tc>
          <w:tcPr>
            <w:tcW w:w="5386" w:type="dxa"/>
            <w:vAlign w:val="center"/>
          </w:tcPr>
          <w:p>
            <w:pPr>
              <w:pStyle w:val="单元格样式2"/>
            </w:pPr>
            <w:r>
              <w:t xml:space="preserve">网络操作系统稳定性</w:t>
            </w:r>
          </w:p>
        </w:tc>
        <w:tc>
          <w:tcPr>
            <w:tcW w:w="2268" w:type="dxa"/>
            <w:vAlign w:val="center"/>
          </w:tcPr>
          <w:p>
            <w:pPr>
              <w:pStyle w:val="单元格样式2"/>
            </w:pPr>
            <w:r>
              <w:t xml:space="preserve">≥95%</w:t>
            </w:r>
          </w:p>
        </w:tc>
        <w:tc>
          <w:tcPr>
            <w:tcW w:w="1276" w:type="dxa"/>
            <w:vAlign w:val="center"/>
          </w:tcPr>
          <w:p>
            <w:pPr>
              <w:pStyle w:val="单元格样式2"/>
            </w:pPr>
            <w:r>
              <w:t xml:space="preserve">根据《联网监督、表决系统、网上代表之家网络维护费请示》的批复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网络运行处理及时率</w:t>
            </w:r>
          </w:p>
        </w:tc>
        <w:tc>
          <w:tcPr>
            <w:tcW w:w="5386" w:type="dxa"/>
            <w:vAlign w:val="center"/>
          </w:tcPr>
          <w:p>
            <w:pPr>
              <w:pStyle w:val="单元格样式2"/>
            </w:pPr>
            <w:r>
              <w:t xml:space="preserve">网络运行处理及时率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根据《联网监督、表决系统、网上代表之家网络维护费请示》的批复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5.55万元</w:t>
            </w:r>
          </w:p>
        </w:tc>
        <w:tc>
          <w:tcPr>
            <w:tcW w:w="1276" w:type="dxa"/>
            <w:vAlign w:val="center"/>
          </w:tcPr>
          <w:p>
            <w:pPr>
              <w:pStyle w:val="单元格样式2"/>
            </w:pPr>
            <w:r>
              <w:t xml:space="preserve">根据《联网监督、表决系统、网上代表之家网络维护费请示》的批复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保障机要工作顺利完成</w:t>
            </w:r>
          </w:p>
        </w:tc>
        <w:tc>
          <w:tcPr>
            <w:tcW w:w="5386" w:type="dxa"/>
            <w:vAlign w:val="center"/>
          </w:tcPr>
          <w:p>
            <w:pPr>
              <w:pStyle w:val="单元格样式2"/>
            </w:pPr>
            <w:r>
              <w:t xml:space="preserve">保障机要工作顺利完成比例</w:t>
            </w:r>
          </w:p>
        </w:tc>
        <w:tc>
          <w:tcPr>
            <w:tcW w:w="2268" w:type="dxa"/>
            <w:vAlign w:val="center"/>
          </w:tcPr>
          <w:p>
            <w:pPr>
              <w:pStyle w:val="单元格样式2"/>
            </w:pPr>
            <w:r>
              <w:t xml:space="preserve">≥95%</w:t>
            </w:r>
          </w:p>
        </w:tc>
        <w:tc>
          <w:tcPr>
            <w:tcW w:w="1276" w:type="dxa"/>
            <w:vAlign w:val="center"/>
          </w:tcPr>
          <w:p>
            <w:pPr>
              <w:pStyle w:val="单元格样式2"/>
            </w:pPr>
            <w:r>
              <w:t xml:space="preserve">根据《联网监督、表决系统、网上代表之家网络维护费请示》的批复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3、代表之家经费绩效目标表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13018326P000328102391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代表之家经费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用于支付组织和开展代表活动产生的会议费，维护费、差旅费等费用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1.将代表之家打造为功能完善、管理规范、活动经常、实效突出的多功能平台切实提升代表履职的主动性、专业性和联系群众的紧密性。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代表活动</w:t>
            </w:r>
          </w:p>
        </w:tc>
        <w:tc>
          <w:tcPr>
            <w:tcW w:w="5386" w:type="dxa"/>
            <w:vAlign w:val="center"/>
          </w:tcPr>
          <w:p>
            <w:pPr>
              <w:pStyle w:val="单元格样式2"/>
            </w:pPr>
            <w:r>
              <w:t xml:space="preserve">组织代表活动占总活动的比率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根据《代表之家经费请示》的批复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建议的采纳率</w:t>
            </w:r>
          </w:p>
        </w:tc>
        <w:tc>
          <w:tcPr>
            <w:tcW w:w="5386" w:type="dxa"/>
            <w:vAlign w:val="center"/>
          </w:tcPr>
          <w:p>
            <w:pPr>
              <w:pStyle w:val="单元格样式2"/>
            </w:pPr>
            <w:r>
              <w:t xml:space="preserve">建议的采纳率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根据《代表之家经费请示》的批复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代表之家（站）基础建设任务完成及时率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根据《代表之家经费请示》的批复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50万元</w:t>
            </w:r>
          </w:p>
        </w:tc>
        <w:tc>
          <w:tcPr>
            <w:tcW w:w="1276" w:type="dxa"/>
            <w:vAlign w:val="center"/>
          </w:tcPr>
          <w:p>
            <w:pPr>
              <w:pStyle w:val="单元格样式2"/>
            </w:pPr>
            <w:r>
              <w:t xml:space="preserve">根据《代表之家经费请示》的批复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根据《代表之家经费请示》的批复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4、老干部活动经费绩效目标表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13018326P000328102410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老干部活动经费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重要节日慰问，报刊征订等。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1.精确、高效、安全的使用经费、切实提升离退休老干部的政治荣誉感、组织归属感、生活幸福感。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组织老干部活动次数</w:t>
            </w:r>
          </w:p>
        </w:tc>
        <w:tc>
          <w:tcPr>
            <w:tcW w:w="5386" w:type="dxa"/>
            <w:vAlign w:val="center"/>
          </w:tcPr>
          <w:p>
            <w:pPr>
              <w:pStyle w:val="单元格样式2"/>
            </w:pPr>
            <w:r>
              <w:t xml:space="preserve">组织老干部活动次数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根据《老干部活动经费的请示》的批复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老年人健康管理率</w:t>
            </w:r>
          </w:p>
        </w:tc>
        <w:tc>
          <w:tcPr>
            <w:tcW w:w="5386" w:type="dxa"/>
            <w:vAlign w:val="center"/>
          </w:tcPr>
          <w:p>
            <w:pPr>
              <w:pStyle w:val="单元格样式2"/>
            </w:pPr>
            <w:r>
              <w:t xml:space="preserve">老年人健康管理率</w:t>
            </w:r>
          </w:p>
        </w:tc>
        <w:tc>
          <w:tcPr>
            <w:tcW w:w="2268" w:type="dxa"/>
            <w:vAlign w:val="center"/>
          </w:tcPr>
          <w:p>
            <w:pPr>
              <w:pStyle w:val="单元格样式2"/>
            </w:pPr>
            <w:r>
              <w:t xml:space="preserve">≥95%</w:t>
            </w:r>
          </w:p>
        </w:tc>
        <w:tc>
          <w:tcPr>
            <w:tcW w:w="1276" w:type="dxa"/>
            <w:vAlign w:val="center"/>
          </w:tcPr>
          <w:p>
            <w:pPr>
              <w:pStyle w:val="单元格样式2"/>
            </w:pPr>
            <w:r>
              <w:t xml:space="preserve">根据《老干部活动经费的请示》的批复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老干部慰问时间</w:t>
            </w:r>
          </w:p>
        </w:tc>
        <w:tc>
          <w:tcPr>
            <w:tcW w:w="5386" w:type="dxa"/>
            <w:vAlign w:val="center"/>
          </w:tcPr>
          <w:p>
            <w:pPr>
              <w:pStyle w:val="单元格样式2"/>
            </w:pPr>
            <w:r>
              <w:t xml:space="preserve">老干部慰问时间及时完成率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根据《老干部活动经费的请示》的批复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根据《老干部活动经费的请示》的批复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退休老干部工作</w:t>
            </w:r>
          </w:p>
        </w:tc>
        <w:tc>
          <w:tcPr>
            <w:tcW w:w="5386" w:type="dxa"/>
            <w:vAlign w:val="center"/>
          </w:tcPr>
          <w:p>
            <w:pPr>
              <w:pStyle w:val="单元格样式2"/>
            </w:pPr>
            <w:r>
              <w:t xml:space="preserve">退休老干部工作完成率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根据《老干部活动经费的请示》的批复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5、联系代表工作经费绩效目标表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联系代表工作经费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为开展代表联系信息收集、整理、上报等工作提供经费保障。根据领导安排，保障联系代表工作顺利完成，提供专用设备及专项资金等方面的支持。</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1.以制度化、规范化、常态化的联系工作，确保代表同人民群众的 联系内容更实、形式更活、效果更好，切实将经费转化为推动代表依法高效履职的强大支撑力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各项联系代表工作</w:t>
            </w:r>
          </w:p>
        </w:tc>
        <w:tc>
          <w:tcPr>
            <w:tcW w:w="5386" w:type="dxa"/>
            <w:vAlign w:val="center"/>
          </w:tcPr>
          <w:p>
            <w:pPr>
              <w:pStyle w:val="单元格样式2"/>
            </w:pPr>
            <w:r>
              <w:t xml:space="preserve">各项联系代表工作完成率</w:t>
            </w:r>
          </w:p>
        </w:tc>
        <w:tc>
          <w:tcPr>
            <w:tcW w:w="2268" w:type="dxa"/>
            <w:vAlign w:val="center"/>
          </w:tcPr>
          <w:p>
            <w:pPr>
              <w:pStyle w:val="单元格样式2"/>
            </w:pPr>
            <w:r>
              <w:t xml:space="preserve">≥95%</w:t>
            </w:r>
          </w:p>
        </w:tc>
        <w:tc>
          <w:tcPr>
            <w:tcW w:w="1276" w:type="dxa"/>
            <w:vAlign w:val="center"/>
          </w:tcPr>
          <w:p>
            <w:pPr>
              <w:pStyle w:val="单元格样式2"/>
            </w:pPr>
            <w:r>
              <w:t xml:space="preserve">根据《联系代表工作经费的请示》的批复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联系代表工作</w:t>
            </w:r>
          </w:p>
        </w:tc>
        <w:tc>
          <w:tcPr>
            <w:tcW w:w="5386" w:type="dxa"/>
            <w:vAlign w:val="center"/>
          </w:tcPr>
          <w:p>
            <w:pPr>
              <w:pStyle w:val="单元格样式2"/>
            </w:pPr>
            <w:r>
              <w:t xml:space="preserve">联系代表工作办结率</w:t>
            </w:r>
          </w:p>
        </w:tc>
        <w:tc>
          <w:tcPr>
            <w:tcW w:w="2268" w:type="dxa"/>
            <w:vAlign w:val="center"/>
          </w:tcPr>
          <w:p>
            <w:pPr>
              <w:pStyle w:val="单元格样式2"/>
            </w:pPr>
            <w:r>
              <w:t xml:space="preserve">≥95%</w:t>
            </w:r>
          </w:p>
        </w:tc>
        <w:tc>
          <w:tcPr>
            <w:tcW w:w="1276" w:type="dxa"/>
            <w:vAlign w:val="center"/>
          </w:tcPr>
          <w:p>
            <w:pPr>
              <w:pStyle w:val="单元格样式2"/>
            </w:pPr>
            <w:r>
              <w:t xml:space="preserve">根据《联系代表工作经费的请示》的批复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工作及时完成率</w:t>
            </w:r>
          </w:p>
        </w:tc>
        <w:tc>
          <w:tcPr>
            <w:tcW w:w="5386" w:type="dxa"/>
            <w:vAlign w:val="center"/>
          </w:tcPr>
          <w:p>
            <w:pPr>
              <w:pStyle w:val="单元格样式2"/>
            </w:pPr>
            <w:r>
              <w:t xml:space="preserve">工作及时完成率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根据《联系代表工作经费的请示》的批复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10万元</w:t>
            </w:r>
          </w:p>
        </w:tc>
        <w:tc>
          <w:tcPr>
            <w:tcW w:w="1276" w:type="dxa"/>
            <w:vAlign w:val="center"/>
          </w:tcPr>
          <w:p>
            <w:pPr>
              <w:pStyle w:val="单元格样式2"/>
            </w:pPr>
            <w:r>
              <w:t xml:space="preserve">根据《联系代表工作经费的请示》的批复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联系代表工作</w:t>
            </w:r>
          </w:p>
        </w:tc>
        <w:tc>
          <w:tcPr>
            <w:tcW w:w="5386" w:type="dxa"/>
            <w:vAlign w:val="center"/>
          </w:tcPr>
          <w:p>
            <w:pPr>
              <w:pStyle w:val="单元格样式2"/>
            </w:pPr>
            <w:r>
              <w:t xml:space="preserve">联系代表工作顺利开展</w:t>
            </w:r>
          </w:p>
        </w:tc>
        <w:tc>
          <w:tcPr>
            <w:tcW w:w="2268" w:type="dxa"/>
            <w:vAlign w:val="center"/>
          </w:tcPr>
          <w:p>
            <w:pPr>
              <w:pStyle w:val="单元格样式2"/>
            </w:pPr>
            <w:r>
              <w:t xml:space="preserve">≥95%</w:t>
            </w:r>
          </w:p>
        </w:tc>
        <w:tc>
          <w:tcPr>
            <w:tcW w:w="1276" w:type="dxa"/>
            <w:vAlign w:val="center"/>
          </w:tcPr>
          <w:p>
            <w:pPr>
              <w:pStyle w:val="单元格样式2"/>
            </w:pPr>
            <w:r>
              <w:t xml:space="preserve">根据《联系代表工作经费的请示》的批复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调查满意率</w:t>
            </w:r>
          </w:p>
        </w:tc>
        <w:tc>
          <w:tcPr>
            <w:tcW w:w="5386" w:type="dxa"/>
            <w:vAlign w:val="center"/>
          </w:tcPr>
          <w:p>
            <w:pPr>
              <w:pStyle w:val="单元格样式2"/>
            </w:pPr>
            <w:r>
              <w:t xml:space="preserve">调查满意率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6、其他劳务派遣人员绩效目标表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13018326P00032810247M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其他劳务派遣人员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按时发放劳务派遣人员工资，缴纳各项保险费用</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1.通过精细化、人性化的管理，使其成为补充力量，保障基础工作的高效、可靠的人力资源支撑。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实际发放完成数量占应完成比例</w:t>
            </w:r>
          </w:p>
        </w:tc>
        <w:tc>
          <w:tcPr>
            <w:tcW w:w="5386" w:type="dxa"/>
            <w:vAlign w:val="center"/>
          </w:tcPr>
          <w:p>
            <w:pPr>
              <w:pStyle w:val="单元格样式2"/>
            </w:pPr>
            <w:r>
              <w:t xml:space="preserve">实际发放完成数量占应完成比例</w:t>
            </w:r>
          </w:p>
        </w:tc>
        <w:tc>
          <w:tcPr>
            <w:tcW w:w="2268" w:type="dxa"/>
            <w:vAlign w:val="center"/>
          </w:tcPr>
          <w:p>
            <w:pPr>
              <w:pStyle w:val="单元格样式2"/>
            </w:pPr>
            <w:r>
              <w:t xml:space="preserve">≥99%</w:t>
            </w:r>
          </w:p>
        </w:tc>
        <w:tc>
          <w:tcPr>
            <w:tcW w:w="1276" w:type="dxa"/>
            <w:vAlign w:val="center"/>
          </w:tcPr>
          <w:p>
            <w:pPr>
              <w:pStyle w:val="单元格样式2"/>
            </w:pPr>
            <w:r>
              <w:t xml:space="preserve">根据《关于招聘劳务派遣人员的请示》批示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日常工作圆满完成比例</w:t>
            </w:r>
          </w:p>
        </w:tc>
        <w:tc>
          <w:tcPr>
            <w:tcW w:w="5386" w:type="dxa"/>
            <w:vAlign w:val="center"/>
          </w:tcPr>
          <w:p>
            <w:pPr>
              <w:pStyle w:val="单元格样式2"/>
            </w:pPr>
            <w:r>
              <w:t xml:space="preserve">日常工作圆满完成比例</w:t>
            </w:r>
          </w:p>
        </w:tc>
        <w:tc>
          <w:tcPr>
            <w:tcW w:w="2268" w:type="dxa"/>
            <w:vAlign w:val="center"/>
          </w:tcPr>
          <w:p>
            <w:pPr>
              <w:pStyle w:val="单元格样式2"/>
            </w:pPr>
            <w:r>
              <w:t xml:space="preserve">≥99%</w:t>
            </w:r>
          </w:p>
        </w:tc>
        <w:tc>
          <w:tcPr>
            <w:tcW w:w="1276" w:type="dxa"/>
            <w:vAlign w:val="center"/>
          </w:tcPr>
          <w:p>
            <w:pPr>
              <w:pStyle w:val="单元格样式2"/>
            </w:pPr>
            <w:r>
              <w:t xml:space="preserve">根据《关于招聘劳务派遣人员的请示》批示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及时发放占应发放比例</w:t>
            </w:r>
          </w:p>
        </w:tc>
        <w:tc>
          <w:tcPr>
            <w:tcW w:w="5386" w:type="dxa"/>
            <w:vAlign w:val="center"/>
          </w:tcPr>
          <w:p>
            <w:pPr>
              <w:pStyle w:val="单元格样式2"/>
            </w:pPr>
            <w:r>
              <w:t xml:space="preserve">及时发放占应发放比例</w:t>
            </w:r>
          </w:p>
        </w:tc>
        <w:tc>
          <w:tcPr>
            <w:tcW w:w="2268" w:type="dxa"/>
            <w:vAlign w:val="center"/>
          </w:tcPr>
          <w:p>
            <w:pPr>
              <w:pStyle w:val="单元格样式2"/>
            </w:pPr>
            <w:r>
              <w:t xml:space="preserve">≥99%</w:t>
            </w:r>
          </w:p>
        </w:tc>
        <w:tc>
          <w:tcPr>
            <w:tcW w:w="1276" w:type="dxa"/>
            <w:vAlign w:val="center"/>
          </w:tcPr>
          <w:p>
            <w:pPr>
              <w:pStyle w:val="单元格样式2"/>
            </w:pPr>
            <w:r>
              <w:t xml:space="preserve">根据《关于招聘劳务派遣人员的请示》批示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11.86万元</w:t>
            </w:r>
          </w:p>
        </w:tc>
        <w:tc>
          <w:tcPr>
            <w:tcW w:w="1276" w:type="dxa"/>
            <w:vAlign w:val="center"/>
          </w:tcPr>
          <w:p>
            <w:pPr>
              <w:pStyle w:val="单元格样式2"/>
            </w:pPr>
            <w:r>
              <w:t xml:space="preserve">根据《关于招聘劳务派遣人员的请示》批示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日常工作正常运转率</w:t>
            </w:r>
          </w:p>
        </w:tc>
        <w:tc>
          <w:tcPr>
            <w:tcW w:w="5386" w:type="dxa"/>
            <w:vAlign w:val="center"/>
          </w:tcPr>
          <w:p>
            <w:pPr>
              <w:pStyle w:val="单元格样式2"/>
            </w:pPr>
            <w:r>
              <w:t xml:space="preserve">日常工作正常运转率</w:t>
            </w:r>
          </w:p>
        </w:tc>
        <w:tc>
          <w:tcPr>
            <w:tcW w:w="2268" w:type="dxa"/>
            <w:vAlign w:val="center"/>
          </w:tcPr>
          <w:p>
            <w:pPr>
              <w:pStyle w:val="单元格样式2"/>
            </w:pPr>
            <w:r>
              <w:t xml:space="preserve">≥99%</w:t>
            </w:r>
          </w:p>
        </w:tc>
        <w:tc>
          <w:tcPr>
            <w:tcW w:w="1276" w:type="dxa"/>
            <w:vAlign w:val="center"/>
          </w:tcPr>
          <w:p>
            <w:pPr>
              <w:pStyle w:val="单元格样式2"/>
            </w:pPr>
            <w:r>
              <w:t xml:space="preserve">根据《关于招聘劳务派遣人员的请示》批示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7、人大常委会例会会议费绩效目标表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人大常委会例会会议费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用于支付召开常委会例会的会议费、材料费等费用。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1.保障会议各项议程圆满完成，全面提升依法履职的效能和权威。</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各项议程完成数量占总体数量比例</w:t>
            </w:r>
          </w:p>
        </w:tc>
        <w:tc>
          <w:tcPr>
            <w:tcW w:w="5386" w:type="dxa"/>
            <w:vAlign w:val="center"/>
          </w:tcPr>
          <w:p>
            <w:pPr>
              <w:pStyle w:val="单元格样式2"/>
            </w:pPr>
            <w:r>
              <w:t xml:space="preserve">各项议程完成数量占总体数量比例</w:t>
            </w:r>
          </w:p>
        </w:tc>
        <w:tc>
          <w:tcPr>
            <w:tcW w:w="2268" w:type="dxa"/>
            <w:vAlign w:val="center"/>
          </w:tcPr>
          <w:p>
            <w:pPr>
              <w:pStyle w:val="单元格样式2"/>
            </w:pPr>
            <w:r>
              <w:t xml:space="preserve">≥95%</w:t>
            </w:r>
          </w:p>
        </w:tc>
        <w:tc>
          <w:tcPr>
            <w:tcW w:w="1276" w:type="dxa"/>
            <w:vAlign w:val="center"/>
          </w:tcPr>
          <w:p>
            <w:pPr>
              <w:pStyle w:val="单元格样式2"/>
            </w:pPr>
            <w:r>
              <w:t xml:space="preserve">根据《人大常委会会议费请示》的批复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高质量完成会议议程</w:t>
            </w:r>
          </w:p>
        </w:tc>
        <w:tc>
          <w:tcPr>
            <w:tcW w:w="5386" w:type="dxa"/>
            <w:vAlign w:val="center"/>
          </w:tcPr>
          <w:p>
            <w:pPr>
              <w:pStyle w:val="单元格样式2"/>
            </w:pPr>
            <w:r>
              <w:t xml:space="preserve">高质量完成会议议程</w:t>
            </w:r>
          </w:p>
        </w:tc>
        <w:tc>
          <w:tcPr>
            <w:tcW w:w="2268" w:type="dxa"/>
            <w:vAlign w:val="center"/>
          </w:tcPr>
          <w:p>
            <w:pPr>
              <w:pStyle w:val="单元格样式2"/>
            </w:pPr>
            <w:r>
              <w:t xml:space="preserve">≥95%</w:t>
            </w:r>
          </w:p>
        </w:tc>
        <w:tc>
          <w:tcPr>
            <w:tcW w:w="1276" w:type="dxa"/>
            <w:vAlign w:val="center"/>
          </w:tcPr>
          <w:p>
            <w:pPr>
              <w:pStyle w:val="单元格样式2"/>
            </w:pPr>
            <w:r>
              <w:t xml:space="preserve">根据《人大常委会会议费请示》的批复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会议完成时限</w:t>
            </w:r>
          </w:p>
        </w:tc>
        <w:tc>
          <w:tcPr>
            <w:tcW w:w="5386" w:type="dxa"/>
            <w:vAlign w:val="center"/>
          </w:tcPr>
          <w:p>
            <w:pPr>
              <w:pStyle w:val="单元格样式2"/>
            </w:pPr>
            <w:r>
              <w:t xml:space="preserve">及时召开人大常委会会议</w:t>
            </w:r>
          </w:p>
        </w:tc>
        <w:tc>
          <w:tcPr>
            <w:tcW w:w="2268" w:type="dxa"/>
            <w:vAlign w:val="center"/>
          </w:tcPr>
          <w:p>
            <w:pPr>
              <w:pStyle w:val="单元格样式2"/>
            </w:pPr>
            <w:r>
              <w:t xml:space="preserve">≥6年内两个月至少召开一次</w:t>
            </w:r>
          </w:p>
        </w:tc>
        <w:tc>
          <w:tcPr>
            <w:tcW w:w="1276" w:type="dxa"/>
            <w:vAlign w:val="center"/>
          </w:tcPr>
          <w:p>
            <w:pPr>
              <w:pStyle w:val="单元格样式2"/>
            </w:pPr>
            <w:r>
              <w:t xml:space="preserve">根据《人大常委会会议费请示》的批复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14.5万元</w:t>
            </w:r>
          </w:p>
        </w:tc>
        <w:tc>
          <w:tcPr>
            <w:tcW w:w="1276" w:type="dxa"/>
            <w:vAlign w:val="center"/>
          </w:tcPr>
          <w:p>
            <w:pPr>
              <w:pStyle w:val="单元格样式2"/>
            </w:pPr>
            <w:r>
              <w:t xml:space="preserve">根据《人大常委会会议费请示》的批复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宣传会议精神</w:t>
            </w:r>
          </w:p>
        </w:tc>
        <w:tc>
          <w:tcPr>
            <w:tcW w:w="5386" w:type="dxa"/>
            <w:vAlign w:val="center"/>
          </w:tcPr>
          <w:p>
            <w:pPr>
              <w:pStyle w:val="单元格样式2"/>
            </w:pPr>
            <w:r>
              <w:t xml:space="preserve">宣传会议精神覆盖率</w:t>
            </w:r>
          </w:p>
        </w:tc>
        <w:tc>
          <w:tcPr>
            <w:tcW w:w="2268" w:type="dxa"/>
            <w:vAlign w:val="center"/>
          </w:tcPr>
          <w:p>
            <w:pPr>
              <w:pStyle w:val="单元格样式2"/>
            </w:pPr>
            <w:r>
              <w:t xml:space="preserve">≥95%</w:t>
            </w:r>
          </w:p>
        </w:tc>
        <w:tc>
          <w:tcPr>
            <w:tcW w:w="1276" w:type="dxa"/>
            <w:vAlign w:val="center"/>
          </w:tcPr>
          <w:p>
            <w:pPr>
              <w:pStyle w:val="单元格样式2"/>
            </w:pPr>
            <w:r>
              <w:t xml:space="preserve">根据《人大常委会会议费请示》的批复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8、人大代表调研经费绩效目标表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13018326P00032810263Y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人大代表调研经费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保障代表开展调研活动费用的开支。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1.精准保障、规范管理，推动调研成果有效服务与科学决策，有效监督和民生改善，彰显人大调研的独特价值和权威。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培训人员人次</w:t>
            </w:r>
          </w:p>
        </w:tc>
        <w:tc>
          <w:tcPr>
            <w:tcW w:w="5386" w:type="dxa"/>
            <w:vAlign w:val="center"/>
          </w:tcPr>
          <w:p>
            <w:pPr>
              <w:pStyle w:val="单元格样式2"/>
            </w:pPr>
            <w:r>
              <w:t xml:space="preserve">培训人员人次</w:t>
            </w:r>
          </w:p>
        </w:tc>
        <w:tc>
          <w:tcPr>
            <w:tcW w:w="2268" w:type="dxa"/>
            <w:vAlign w:val="center"/>
          </w:tcPr>
          <w:p>
            <w:pPr>
              <w:pStyle w:val="单元格样式2"/>
            </w:pPr>
            <w:r>
              <w:t xml:space="preserve">233人</w:t>
            </w:r>
          </w:p>
        </w:tc>
        <w:tc>
          <w:tcPr>
            <w:tcW w:w="1276" w:type="dxa"/>
            <w:vAlign w:val="center"/>
          </w:tcPr>
          <w:p>
            <w:pPr>
              <w:pStyle w:val="单元格样式2"/>
            </w:pPr>
            <w:r>
              <w:t xml:space="preserve"> 根据《人大代表培训费请示》的批复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培训计划按期完成率（%）</w:t>
            </w:r>
          </w:p>
        </w:tc>
        <w:tc>
          <w:tcPr>
            <w:tcW w:w="5386" w:type="dxa"/>
            <w:vAlign w:val="center"/>
          </w:tcPr>
          <w:p>
            <w:pPr>
              <w:pStyle w:val="单元格样式2"/>
            </w:pPr>
            <w:r>
              <w:t xml:space="preserve">培训计划按期完成率（%）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 根据《人大代表培训费请示》的批复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培训按期完成率</w:t>
            </w:r>
          </w:p>
        </w:tc>
        <w:tc>
          <w:tcPr>
            <w:tcW w:w="5386" w:type="dxa"/>
            <w:vAlign w:val="center"/>
          </w:tcPr>
          <w:p>
            <w:pPr>
              <w:pStyle w:val="单元格样式2"/>
            </w:pPr>
            <w:r>
              <w:t xml:space="preserve">培训按期完成率</w:t>
            </w:r>
          </w:p>
        </w:tc>
        <w:tc>
          <w:tcPr>
            <w:tcW w:w="2268" w:type="dxa"/>
            <w:vAlign w:val="center"/>
          </w:tcPr>
          <w:p>
            <w:pPr>
              <w:pStyle w:val="单元格样式2"/>
            </w:pPr>
            <w:r>
              <w:t xml:space="preserve">≥95%</w:t>
            </w:r>
          </w:p>
        </w:tc>
        <w:tc>
          <w:tcPr>
            <w:tcW w:w="1276" w:type="dxa"/>
            <w:vAlign w:val="center"/>
          </w:tcPr>
          <w:p>
            <w:pPr>
              <w:pStyle w:val="单元格样式2"/>
            </w:pPr>
            <w:r>
              <w:t xml:space="preserve"> 根据《人大代表培训费请示》的批复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9.7万元</w:t>
            </w:r>
          </w:p>
        </w:tc>
        <w:tc>
          <w:tcPr>
            <w:tcW w:w="1276" w:type="dxa"/>
            <w:vAlign w:val="center"/>
          </w:tcPr>
          <w:p>
            <w:pPr>
              <w:pStyle w:val="单元格样式2"/>
            </w:pPr>
            <w:r>
              <w:t xml:space="preserve"> 根据《人大代表培训费请示》的批复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培训效果影响程度</w:t>
            </w:r>
          </w:p>
        </w:tc>
        <w:tc>
          <w:tcPr>
            <w:tcW w:w="5386" w:type="dxa"/>
            <w:vAlign w:val="center"/>
          </w:tcPr>
          <w:p>
            <w:pPr>
              <w:pStyle w:val="单元格样式2"/>
            </w:pPr>
            <w:r>
              <w:t xml:space="preserve">培训效果影响程度</w:t>
            </w:r>
          </w:p>
        </w:tc>
        <w:tc>
          <w:tcPr>
            <w:tcW w:w="2268" w:type="dxa"/>
            <w:vAlign w:val="center"/>
          </w:tcPr>
          <w:p>
            <w:pPr>
              <w:pStyle w:val="单元格样式2"/>
            </w:pPr>
            <w:r>
              <w:t xml:space="preserve">≥95%</w:t>
            </w:r>
          </w:p>
        </w:tc>
        <w:tc>
          <w:tcPr>
            <w:tcW w:w="1276" w:type="dxa"/>
            <w:vAlign w:val="center"/>
          </w:tcPr>
          <w:p>
            <w:pPr>
              <w:pStyle w:val="单元格样式2"/>
            </w:pPr>
            <w:r>
              <w:t xml:space="preserve"> 根据《人大代表培训费请示》的批复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培训对象满意度</w:t>
            </w:r>
          </w:p>
        </w:tc>
        <w:tc>
          <w:tcPr>
            <w:tcW w:w="5386" w:type="dxa"/>
            <w:vAlign w:val="center"/>
          </w:tcPr>
          <w:p>
            <w:pPr>
              <w:pStyle w:val="单元格样式2"/>
            </w:pPr>
            <w:r>
              <w:t xml:space="preserve">培训对象满意度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9、人大代表活动经费绩效目标表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13018326P00032810249W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人大代表活动经费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保障开展代表活动、组织代表视察、调研产生的各项费用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1.充分保障人大代表依法履职的各项活动需求，激发代表履职活力，提升活动实效，确保经费投入直接转化为高质量的履职成果。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调研活动</w:t>
            </w:r>
          </w:p>
        </w:tc>
        <w:tc>
          <w:tcPr>
            <w:tcW w:w="5386" w:type="dxa"/>
            <w:vAlign w:val="center"/>
          </w:tcPr>
          <w:p>
            <w:pPr>
              <w:pStyle w:val="单元格样式2"/>
            </w:pPr>
            <w:r>
              <w:t xml:space="preserve">调研活动</w:t>
            </w:r>
          </w:p>
        </w:tc>
        <w:tc>
          <w:tcPr>
            <w:tcW w:w="2268" w:type="dxa"/>
            <w:vAlign w:val="center"/>
          </w:tcPr>
          <w:p>
            <w:pPr>
              <w:pStyle w:val="单元格样式2"/>
            </w:pPr>
            <w:r>
              <w:t xml:space="preserve">10次</w:t>
            </w:r>
          </w:p>
        </w:tc>
        <w:tc>
          <w:tcPr>
            <w:tcW w:w="1276" w:type="dxa"/>
            <w:vAlign w:val="center"/>
          </w:tcPr>
          <w:p>
            <w:pPr>
              <w:pStyle w:val="单元格样式2"/>
            </w:pPr>
            <w:r>
              <w:t xml:space="preserve">根据《代表活动经费请示》的批复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建议的采纳率</w:t>
            </w:r>
          </w:p>
        </w:tc>
        <w:tc>
          <w:tcPr>
            <w:tcW w:w="5386" w:type="dxa"/>
            <w:vAlign w:val="center"/>
          </w:tcPr>
          <w:p>
            <w:pPr>
              <w:pStyle w:val="单元格样式2"/>
            </w:pPr>
            <w:r>
              <w:t xml:space="preserve">建议的采纳率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根据《代表活动经费请示》的批复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根据《代表活动经费请示》的批复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15.95万元</w:t>
            </w:r>
          </w:p>
        </w:tc>
        <w:tc>
          <w:tcPr>
            <w:tcW w:w="1276" w:type="dxa"/>
            <w:vAlign w:val="center"/>
          </w:tcPr>
          <w:p>
            <w:pPr>
              <w:pStyle w:val="单元格样式2"/>
            </w:pPr>
            <w:r>
              <w:t xml:space="preserve">根据《代表活动经费请示》的批复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组织相关活动取得社会积极评价率</w:t>
            </w:r>
          </w:p>
        </w:tc>
        <w:tc>
          <w:tcPr>
            <w:tcW w:w="5386" w:type="dxa"/>
            <w:vAlign w:val="center"/>
          </w:tcPr>
          <w:p>
            <w:pPr>
              <w:pStyle w:val="单元格样式2"/>
            </w:pPr>
            <w:r>
              <w:t xml:space="preserve">组织相关活动取得社会积极评价率</w:t>
            </w:r>
          </w:p>
        </w:tc>
        <w:tc>
          <w:tcPr>
            <w:tcW w:w="2268" w:type="dxa"/>
            <w:vAlign w:val="center"/>
          </w:tcPr>
          <w:p>
            <w:pPr>
              <w:pStyle w:val="单元格样式2"/>
            </w:pPr>
            <w:r>
              <w:t xml:space="preserve">≥95%</w:t>
            </w:r>
          </w:p>
        </w:tc>
        <w:tc>
          <w:tcPr>
            <w:tcW w:w="1276" w:type="dxa"/>
            <w:vAlign w:val="center"/>
          </w:tcPr>
          <w:p>
            <w:pPr>
              <w:pStyle w:val="单元格样式2"/>
            </w:pPr>
            <w:r>
              <w:t xml:space="preserve">根据《代表活动经费请示》的批复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10、人代会会议费绩效目标表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13018326P00032810264J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人代会会议费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保障人代会各项工作顺利开展，会议各项任务圆满完成。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1.依法、高效、规范使用经费，全面保障人民代表大会会议高质量召开，确保大会各项法定程序严谨规范、审议讨论深入成分、民主决策科学有效，将会议成果转化为推动社会发展、解决群众问题的具体行动。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各项议程完成数量占总体数量比例</w:t>
            </w:r>
          </w:p>
        </w:tc>
        <w:tc>
          <w:tcPr>
            <w:tcW w:w="5386" w:type="dxa"/>
            <w:vAlign w:val="center"/>
          </w:tcPr>
          <w:p>
            <w:pPr>
              <w:pStyle w:val="单元格样式2"/>
            </w:pPr>
            <w:r>
              <w:t xml:space="preserve">各项议程完成数量占总体数量比例</w:t>
            </w:r>
          </w:p>
        </w:tc>
        <w:tc>
          <w:tcPr>
            <w:tcW w:w="2268" w:type="dxa"/>
            <w:vAlign w:val="center"/>
          </w:tcPr>
          <w:p>
            <w:pPr>
              <w:pStyle w:val="单元格样式2"/>
            </w:pPr>
            <w:r>
              <w:t xml:space="preserve">≥95%</w:t>
            </w:r>
          </w:p>
        </w:tc>
        <w:tc>
          <w:tcPr>
            <w:tcW w:w="1276" w:type="dxa"/>
            <w:vAlign w:val="center"/>
          </w:tcPr>
          <w:p>
            <w:pPr>
              <w:pStyle w:val="单元格样式2"/>
            </w:pPr>
            <w:r>
              <w:t xml:space="preserve">根据《人代会请示》的批复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高质量完成会议议程</w:t>
            </w:r>
          </w:p>
        </w:tc>
        <w:tc>
          <w:tcPr>
            <w:tcW w:w="5386" w:type="dxa"/>
            <w:vAlign w:val="center"/>
          </w:tcPr>
          <w:p>
            <w:pPr>
              <w:pStyle w:val="单元格样式2"/>
            </w:pPr>
            <w:r>
              <w:t xml:space="preserve">高质量完成会议议程</w:t>
            </w:r>
          </w:p>
        </w:tc>
        <w:tc>
          <w:tcPr>
            <w:tcW w:w="2268" w:type="dxa"/>
            <w:vAlign w:val="center"/>
          </w:tcPr>
          <w:p>
            <w:pPr>
              <w:pStyle w:val="单元格样式2"/>
            </w:pPr>
            <w:r>
              <w:t xml:space="preserve">≥95%</w:t>
            </w:r>
          </w:p>
        </w:tc>
        <w:tc>
          <w:tcPr>
            <w:tcW w:w="1276" w:type="dxa"/>
            <w:vAlign w:val="center"/>
          </w:tcPr>
          <w:p>
            <w:pPr>
              <w:pStyle w:val="单元格样式2"/>
            </w:pPr>
            <w:r>
              <w:t xml:space="preserve">根据《人代会请示》的批复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会议及时召开</w:t>
            </w:r>
          </w:p>
        </w:tc>
        <w:tc>
          <w:tcPr>
            <w:tcW w:w="5386" w:type="dxa"/>
            <w:vAlign w:val="center"/>
          </w:tcPr>
          <w:p>
            <w:pPr>
              <w:pStyle w:val="单元格样式2"/>
            </w:pPr>
            <w:r>
              <w:t xml:space="preserve">会议及时召开</w:t>
            </w:r>
          </w:p>
        </w:tc>
        <w:tc>
          <w:tcPr>
            <w:tcW w:w="2268" w:type="dxa"/>
            <w:vAlign w:val="center"/>
          </w:tcPr>
          <w:p>
            <w:pPr>
              <w:pStyle w:val="单元格样式2"/>
            </w:pPr>
            <w:r>
              <w:t xml:space="preserve">1年内至少召开一次人代会</w:t>
            </w:r>
          </w:p>
        </w:tc>
        <w:tc>
          <w:tcPr>
            <w:tcW w:w="1276" w:type="dxa"/>
            <w:vAlign w:val="center"/>
          </w:tcPr>
          <w:p>
            <w:pPr>
              <w:pStyle w:val="单元格样式2"/>
            </w:pPr>
            <w:r>
              <w:t xml:space="preserve">根据《人代会请示》的批复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w:t>
            </w:r>
          </w:p>
        </w:tc>
        <w:tc>
          <w:tcPr>
            <w:tcW w:w="5386" w:type="dxa"/>
            <w:vAlign w:val="center"/>
          </w:tcPr>
          <w:p>
            <w:pPr>
              <w:pStyle w:val="单元格样式2"/>
            </w:pPr>
            <w:r>
              <w:t xml:space="preserve">项目资金</w:t>
            </w:r>
          </w:p>
        </w:tc>
        <w:tc>
          <w:tcPr>
            <w:tcW w:w="2268" w:type="dxa"/>
            <w:vAlign w:val="center"/>
          </w:tcPr>
          <w:p>
            <w:pPr>
              <w:pStyle w:val="单元格样式2"/>
            </w:pPr>
            <w:r>
              <w:t xml:space="preserve">47.5万元</w:t>
            </w:r>
          </w:p>
        </w:tc>
        <w:tc>
          <w:tcPr>
            <w:tcW w:w="1276" w:type="dxa"/>
            <w:vAlign w:val="center"/>
          </w:tcPr>
          <w:p>
            <w:pPr>
              <w:pStyle w:val="单元格样式2"/>
            </w:pPr>
            <w:r>
              <w:t xml:space="preserve">根据《人代会请示》的批复</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宣传会议精神</w:t>
            </w:r>
          </w:p>
        </w:tc>
        <w:tc>
          <w:tcPr>
            <w:tcW w:w="5386" w:type="dxa"/>
            <w:vAlign w:val="center"/>
          </w:tcPr>
          <w:p>
            <w:pPr>
              <w:pStyle w:val="单元格样式2"/>
            </w:pPr>
            <w:r>
              <w:t xml:space="preserve">宣传会议精神覆盖率</w:t>
            </w:r>
          </w:p>
        </w:tc>
        <w:tc>
          <w:tcPr>
            <w:tcW w:w="2268" w:type="dxa"/>
            <w:vAlign w:val="center"/>
          </w:tcPr>
          <w:p>
            <w:pPr>
              <w:pStyle w:val="单元格样式2"/>
            </w:pPr>
            <w:r>
              <w:t xml:space="preserve">≥95%</w:t>
            </w:r>
          </w:p>
        </w:tc>
        <w:tc>
          <w:tcPr>
            <w:tcW w:w="1276" w:type="dxa"/>
            <w:vAlign w:val="center"/>
          </w:tcPr>
          <w:p>
            <w:pPr>
              <w:pStyle w:val="单元格样式2"/>
            </w:pPr>
            <w:r>
              <w:t xml:space="preserve">根据《人代会请示》的批复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11、执政监督能力提升工作经费绩效目标表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13018326P00032810266R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执政监督能力提升工作经费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保障办公、学习、联系代表工作正常进行。</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1.精准使用有限经费，实质性提升人大及其常委会、乡镇人大主席团和基层人大代表队法律监督、工作监督。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专项资金使用率</w:t>
            </w:r>
          </w:p>
        </w:tc>
        <w:tc>
          <w:tcPr>
            <w:tcW w:w="5386" w:type="dxa"/>
            <w:vAlign w:val="center"/>
          </w:tcPr>
          <w:p>
            <w:pPr>
              <w:pStyle w:val="单元格样式2"/>
            </w:pPr>
            <w:r>
              <w:t xml:space="preserve">用于督导监查资金的使用率</w:t>
            </w:r>
          </w:p>
        </w:tc>
        <w:tc>
          <w:tcPr>
            <w:tcW w:w="2268" w:type="dxa"/>
            <w:vAlign w:val="center"/>
          </w:tcPr>
          <w:p>
            <w:pPr>
              <w:pStyle w:val="单元格样式2"/>
            </w:pPr>
            <w:r>
              <w:t xml:space="preserve">≥95%</w:t>
            </w:r>
          </w:p>
        </w:tc>
        <w:tc>
          <w:tcPr>
            <w:tcW w:w="1276" w:type="dxa"/>
            <w:vAlign w:val="center"/>
          </w:tcPr>
          <w:p>
            <w:pPr>
              <w:pStyle w:val="单元格样式2"/>
            </w:pPr>
            <w:r>
              <w:t xml:space="preserve">根据《执政监督能力提升工作经费的请示》批示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相关物品合格率</w:t>
            </w:r>
          </w:p>
        </w:tc>
        <w:tc>
          <w:tcPr>
            <w:tcW w:w="5386" w:type="dxa"/>
            <w:vAlign w:val="center"/>
          </w:tcPr>
          <w:p>
            <w:pPr>
              <w:pStyle w:val="单元格样式2"/>
            </w:pPr>
            <w:r>
              <w:t xml:space="preserve">用于学习、工作等资料的合格率</w:t>
            </w:r>
          </w:p>
        </w:tc>
        <w:tc>
          <w:tcPr>
            <w:tcW w:w="2268" w:type="dxa"/>
            <w:vAlign w:val="center"/>
          </w:tcPr>
          <w:p>
            <w:pPr>
              <w:pStyle w:val="单元格样式2"/>
            </w:pPr>
            <w:r>
              <w:t xml:space="preserve">≥95%</w:t>
            </w:r>
          </w:p>
        </w:tc>
        <w:tc>
          <w:tcPr>
            <w:tcW w:w="1276" w:type="dxa"/>
            <w:vAlign w:val="center"/>
          </w:tcPr>
          <w:p>
            <w:pPr>
              <w:pStyle w:val="单元格样式2"/>
            </w:pPr>
            <w:r>
              <w:t xml:space="preserve">根据《执政监督能力提升工作经费的请示》批示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根据《执政监督能力提升工作经费的请示》批示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实施资金</w:t>
            </w:r>
          </w:p>
        </w:tc>
        <w:tc>
          <w:tcPr>
            <w:tcW w:w="5386" w:type="dxa"/>
            <w:vAlign w:val="center"/>
          </w:tcPr>
          <w:p>
            <w:pPr>
              <w:pStyle w:val="单元格样式2"/>
            </w:pPr>
            <w:r>
              <w:t xml:space="preserve">项目实施金额</w:t>
            </w:r>
          </w:p>
        </w:tc>
        <w:tc>
          <w:tcPr>
            <w:tcW w:w="2268" w:type="dxa"/>
            <w:vAlign w:val="center"/>
          </w:tcPr>
          <w:p>
            <w:pPr>
              <w:pStyle w:val="单元格样式2"/>
            </w:pPr>
            <w:r>
              <w:t xml:space="preserve">36万元</w:t>
            </w:r>
          </w:p>
        </w:tc>
        <w:tc>
          <w:tcPr>
            <w:tcW w:w="1276" w:type="dxa"/>
            <w:vAlign w:val="center"/>
          </w:tcPr>
          <w:p>
            <w:pPr>
              <w:pStyle w:val="单元格样式2"/>
            </w:pPr>
            <w:r>
              <w:t xml:space="preserve">根据《执政监督能力提升工作经费的请示》批示</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长期提升能力效果</w:t>
            </w:r>
          </w:p>
        </w:tc>
        <w:tc>
          <w:tcPr>
            <w:tcW w:w="5386" w:type="dxa"/>
            <w:vAlign w:val="center"/>
          </w:tcPr>
          <w:p>
            <w:pPr>
              <w:pStyle w:val="单元格样式2"/>
            </w:pPr>
            <w:r>
              <w:t xml:space="preserve">长期提升能力效果</w:t>
            </w:r>
          </w:p>
        </w:tc>
        <w:tc>
          <w:tcPr>
            <w:tcW w:w="2268" w:type="dxa"/>
            <w:vAlign w:val="center"/>
          </w:tcPr>
          <w:p>
            <w:pPr>
              <w:pStyle w:val="单元格样式2"/>
            </w:pPr>
            <w:r>
              <w:t xml:space="preserve">≥95%</w:t>
            </w:r>
          </w:p>
        </w:tc>
        <w:tc>
          <w:tcPr>
            <w:tcW w:w="1276" w:type="dxa"/>
            <w:vAlign w:val="center"/>
          </w:tcPr>
          <w:p>
            <w:pPr>
              <w:pStyle w:val="单元格样式2"/>
            </w:pPr>
            <w:r>
              <w:t xml:space="preserve">根据《执政监督能力提升工作经费的请示》批示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1.40</w:t>
            </w:r>
          </w:p>
        </w:tc>
        <w:tc>
          <w:tcPr>
            <w:tcW w:w="964" w:type="dxa"/>
            <w:vAlign w:val="center"/>
          </w:tcPr>
          <w:p>
            <w:pPr>
              <w:pStyle w:val="单元格样式7"/>
            </w:pPr>
            <w:r>
              <w:t xml:space="preserve">1.40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1.40</w:t>
            </w:r>
          </w:p>
        </w:tc>
      </w:tr>
      <w:tr>
        <w:tblPrEx>
          <w:jc w:val="center"/>
          <w:tblLayout w:type="fixed"/>
        </w:tblPrEx>
        <w:trPr>
          <w:jc w:val="center"/>
        </w:trPr>
        <w:tc>
          <w:tcPr>
            <w:tcW w:w="1701" w:type="dxa"/>
            <w:vAlign w:val="center"/>
          </w:tcPr>
          <w:p>
            <w:pPr>
              <w:pStyle w:val="单元格样式6"/>
            </w:pPr>
            <w:r>
              <w:t xml:space="preserve">晋州市人民代表大会常务委员会办公室本级小计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1.40</w:t>
            </w:r>
          </w:p>
        </w:tc>
        <w:tc>
          <w:tcPr>
            <w:tcW w:w="964" w:type="dxa"/>
            <w:vAlign w:val="center"/>
          </w:tcPr>
          <w:p>
            <w:pPr>
              <w:pStyle w:val="单元格样式7"/>
            </w:pPr>
            <w:r>
              <w:t xml:space="preserve">1.40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1.40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16.40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晋州市人民代表大会常务委员会办公室本级上年末固定资产金额为152.50万元（详见下表）。本年度拟购置固定资产总额为0.00万元，已按要求列入政府采购预算，详见政府采购预算表。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101001晋州市人民代表大会常务委员会办公室本级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152.50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4</w:t>
            </w:r>
          </w:p>
        </w:tc>
        <w:tc>
          <w:tcPr>
            <w:tcW w:w="2835" w:type="dxa"/>
            <w:vAlign w:val="center"/>
          </w:tcPr>
          <w:p>
            <w:pPr>
              <w:pStyle w:val="单元格样式4"/>
            </w:pPr>
            <w:r>
              <w:t xml:space="preserve">75.86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257</w:t>
            </w:r>
          </w:p>
        </w:tc>
        <w:tc>
          <w:tcPr>
            <w:tcW w:w="2835" w:type="dxa"/>
            <w:vAlign w:val="center"/>
          </w:tcPr>
          <w:p>
            <w:pPr>
              <w:pStyle w:val="单元格样式4"/>
            </w:pPr>
            <w:r>
              <w:t xml:space="preserve">76.64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2026-03-02T16:17:25Z</dcterms:created>
  <dcterms:modified xsi:type="dcterms:W3CDTF">2026-03-02T16:17:25Z</dcterms:modified>
</cp:coreProperties>
</file>