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625.55</w:t>
            </w:r>
          </w:p>
        </w:tc>
        <w:tc>
          <w:tcPr>
            <w:tcW w:w="4535" w:type="dxa"/>
            <w:vAlign w:val="center"/>
          </w:tcPr>
          <w:p>
            <w:pPr>
              <w:pStyle w:val="13"/>
            </w:pPr>
            <w:r>
              <w:t>一、一般公共服务支出</w:t>
            </w:r>
          </w:p>
        </w:tc>
        <w:tc>
          <w:tcPr>
            <w:tcW w:w="2126" w:type="dxa"/>
            <w:vAlign w:val="center"/>
          </w:tcPr>
          <w:p>
            <w:pPr>
              <w:pStyle w:val="12"/>
            </w:pPr>
            <w:r>
              <w:t>625.55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625.55</w:t>
            </w:r>
          </w:p>
        </w:tc>
        <w:tc>
          <w:tcPr>
            <w:tcW w:w="4535" w:type="dxa"/>
            <w:vAlign w:val="center"/>
          </w:tcPr>
          <w:p>
            <w:pPr>
              <w:pStyle w:val="15"/>
            </w:pPr>
            <w:r>
              <w:t>本年支出合计</w:t>
            </w:r>
          </w:p>
        </w:tc>
        <w:tc>
          <w:tcPr>
            <w:tcW w:w="2126" w:type="dxa"/>
            <w:vAlign w:val="center"/>
          </w:tcPr>
          <w:p>
            <w:pPr>
              <w:pStyle w:val="16"/>
            </w:pPr>
            <w:r>
              <w:t>625.55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625.55</w:t>
            </w:r>
          </w:p>
        </w:tc>
        <w:tc>
          <w:tcPr>
            <w:tcW w:w="4535" w:type="dxa"/>
            <w:vAlign w:val="center"/>
          </w:tcPr>
          <w:p>
            <w:pPr>
              <w:pStyle w:val="15"/>
            </w:pPr>
            <w:r>
              <w:t>支出总计</w:t>
            </w:r>
          </w:p>
        </w:tc>
        <w:tc>
          <w:tcPr>
            <w:tcW w:w="2126" w:type="dxa"/>
            <w:vAlign w:val="center"/>
          </w:tcPr>
          <w:p>
            <w:pPr>
              <w:pStyle w:val="16"/>
            </w:pPr>
            <w:r>
              <w:t>625.55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625.55</w:t>
            </w:r>
          </w:p>
        </w:tc>
        <w:tc>
          <w:tcPr>
            <w:tcW w:w="1134" w:type="dxa"/>
            <w:vAlign w:val="center"/>
          </w:tcPr>
          <w:p>
            <w:pPr>
              <w:pStyle w:val="16"/>
            </w:pPr>
            <w:r>
              <w:t>625.55</w:t>
            </w:r>
          </w:p>
        </w:tc>
        <w:tc>
          <w:tcPr>
            <w:tcW w:w="1134" w:type="dxa"/>
            <w:vAlign w:val="center"/>
          </w:tcPr>
          <w:p>
            <w:pPr>
              <w:pStyle w:val="16"/>
            </w:pPr>
            <w:r>
              <w:t>625.55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625.55</w:t>
            </w:r>
          </w:p>
        </w:tc>
        <w:tc>
          <w:tcPr>
            <w:tcW w:w="1134" w:type="dxa"/>
            <w:vAlign w:val="center"/>
          </w:tcPr>
          <w:p>
            <w:pPr>
              <w:pStyle w:val="12"/>
            </w:pPr>
            <w:r>
              <w:t>625.55</w:t>
            </w:r>
          </w:p>
        </w:tc>
        <w:tc>
          <w:tcPr>
            <w:tcW w:w="1134" w:type="dxa"/>
            <w:vAlign w:val="center"/>
          </w:tcPr>
          <w:p>
            <w:pPr>
              <w:pStyle w:val="12"/>
            </w:pPr>
            <w:r>
              <w:t>625.55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20102</w:t>
            </w:r>
          </w:p>
        </w:tc>
        <w:tc>
          <w:tcPr>
            <w:tcW w:w="1559" w:type="dxa"/>
            <w:vAlign w:val="center"/>
          </w:tcPr>
          <w:p>
            <w:pPr>
              <w:pStyle w:val="13"/>
            </w:pPr>
            <w:r>
              <w:t>政协事务</w:t>
            </w:r>
          </w:p>
        </w:tc>
        <w:tc>
          <w:tcPr>
            <w:tcW w:w="1134" w:type="dxa"/>
            <w:vAlign w:val="center"/>
          </w:tcPr>
          <w:p>
            <w:pPr>
              <w:pStyle w:val="12"/>
            </w:pPr>
            <w:r>
              <w:t>625.55</w:t>
            </w:r>
          </w:p>
        </w:tc>
        <w:tc>
          <w:tcPr>
            <w:tcW w:w="1134" w:type="dxa"/>
            <w:vAlign w:val="center"/>
          </w:tcPr>
          <w:p>
            <w:pPr>
              <w:pStyle w:val="12"/>
            </w:pPr>
            <w:r>
              <w:t>625.55</w:t>
            </w:r>
          </w:p>
        </w:tc>
        <w:tc>
          <w:tcPr>
            <w:tcW w:w="1134" w:type="dxa"/>
            <w:vAlign w:val="center"/>
          </w:tcPr>
          <w:p>
            <w:pPr>
              <w:pStyle w:val="12"/>
            </w:pPr>
            <w:r>
              <w:t>625.55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2010201</w:t>
            </w:r>
          </w:p>
        </w:tc>
        <w:tc>
          <w:tcPr>
            <w:tcW w:w="1559" w:type="dxa"/>
            <w:vAlign w:val="center"/>
          </w:tcPr>
          <w:p>
            <w:pPr>
              <w:pStyle w:val="13"/>
            </w:pPr>
            <w:r>
              <w:t>行政运行</w:t>
            </w:r>
          </w:p>
        </w:tc>
        <w:tc>
          <w:tcPr>
            <w:tcW w:w="1134" w:type="dxa"/>
            <w:vAlign w:val="center"/>
          </w:tcPr>
          <w:p>
            <w:pPr>
              <w:pStyle w:val="12"/>
            </w:pPr>
            <w:r>
              <w:t>522.26</w:t>
            </w:r>
          </w:p>
        </w:tc>
        <w:tc>
          <w:tcPr>
            <w:tcW w:w="1134" w:type="dxa"/>
            <w:vAlign w:val="center"/>
          </w:tcPr>
          <w:p>
            <w:pPr>
              <w:pStyle w:val="12"/>
            </w:pPr>
            <w:r>
              <w:t>522.26</w:t>
            </w:r>
          </w:p>
        </w:tc>
        <w:tc>
          <w:tcPr>
            <w:tcW w:w="1134" w:type="dxa"/>
            <w:vAlign w:val="center"/>
          </w:tcPr>
          <w:p>
            <w:pPr>
              <w:pStyle w:val="12"/>
            </w:pPr>
            <w:r>
              <w:t>522.26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2010202</w:t>
            </w:r>
          </w:p>
        </w:tc>
        <w:tc>
          <w:tcPr>
            <w:tcW w:w="1559" w:type="dxa"/>
            <w:vAlign w:val="center"/>
          </w:tcPr>
          <w:p>
            <w:pPr>
              <w:pStyle w:val="13"/>
            </w:pPr>
            <w:r>
              <w:t>一般行政管理事务</w:t>
            </w:r>
          </w:p>
        </w:tc>
        <w:tc>
          <w:tcPr>
            <w:tcW w:w="1134" w:type="dxa"/>
            <w:vAlign w:val="center"/>
          </w:tcPr>
          <w:p>
            <w:pPr>
              <w:pStyle w:val="12"/>
            </w:pPr>
            <w:r>
              <w:t>38.79</w:t>
            </w:r>
          </w:p>
        </w:tc>
        <w:tc>
          <w:tcPr>
            <w:tcW w:w="1134" w:type="dxa"/>
            <w:vAlign w:val="center"/>
          </w:tcPr>
          <w:p>
            <w:pPr>
              <w:pStyle w:val="12"/>
            </w:pPr>
            <w:r>
              <w:t>38.79</w:t>
            </w:r>
          </w:p>
        </w:tc>
        <w:tc>
          <w:tcPr>
            <w:tcW w:w="1134" w:type="dxa"/>
            <w:vAlign w:val="center"/>
          </w:tcPr>
          <w:p>
            <w:pPr>
              <w:pStyle w:val="12"/>
            </w:pPr>
            <w:r>
              <w:t>38.79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2010204</w:t>
            </w:r>
          </w:p>
        </w:tc>
        <w:tc>
          <w:tcPr>
            <w:tcW w:w="1559" w:type="dxa"/>
            <w:vAlign w:val="center"/>
          </w:tcPr>
          <w:p>
            <w:pPr>
              <w:pStyle w:val="13"/>
            </w:pPr>
            <w:r>
              <w:t>政协会议</w:t>
            </w:r>
          </w:p>
        </w:tc>
        <w:tc>
          <w:tcPr>
            <w:tcW w:w="1134" w:type="dxa"/>
            <w:vAlign w:val="center"/>
          </w:tcPr>
          <w:p>
            <w:pPr>
              <w:pStyle w:val="12"/>
            </w:pPr>
            <w:r>
              <w:t>47.50</w:t>
            </w:r>
          </w:p>
        </w:tc>
        <w:tc>
          <w:tcPr>
            <w:tcW w:w="1134" w:type="dxa"/>
            <w:vAlign w:val="center"/>
          </w:tcPr>
          <w:p>
            <w:pPr>
              <w:pStyle w:val="12"/>
            </w:pPr>
            <w:r>
              <w:t>47.50</w:t>
            </w:r>
          </w:p>
        </w:tc>
        <w:tc>
          <w:tcPr>
            <w:tcW w:w="1134" w:type="dxa"/>
            <w:vAlign w:val="center"/>
          </w:tcPr>
          <w:p>
            <w:pPr>
              <w:pStyle w:val="12"/>
            </w:pPr>
            <w:r>
              <w:t>47.50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2010206</w:t>
            </w:r>
          </w:p>
        </w:tc>
        <w:tc>
          <w:tcPr>
            <w:tcW w:w="1559" w:type="dxa"/>
            <w:vAlign w:val="center"/>
          </w:tcPr>
          <w:p>
            <w:pPr>
              <w:pStyle w:val="13"/>
            </w:pPr>
            <w:r>
              <w:t>参政议政</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625.55</w:t>
            </w:r>
          </w:p>
        </w:tc>
        <w:tc>
          <w:tcPr>
            <w:tcW w:w="1361" w:type="dxa"/>
            <w:vAlign w:val="center"/>
          </w:tcPr>
          <w:p>
            <w:pPr>
              <w:pStyle w:val="16"/>
            </w:pPr>
            <w:r>
              <w:t>522.26</w:t>
            </w:r>
          </w:p>
        </w:tc>
        <w:tc>
          <w:tcPr>
            <w:tcW w:w="1361" w:type="dxa"/>
            <w:vAlign w:val="center"/>
          </w:tcPr>
          <w:p>
            <w:pPr>
              <w:pStyle w:val="16"/>
            </w:pPr>
            <w:r>
              <w:t>103.29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625.55</w:t>
            </w:r>
          </w:p>
        </w:tc>
        <w:tc>
          <w:tcPr>
            <w:tcW w:w="1361" w:type="dxa"/>
            <w:vAlign w:val="center"/>
          </w:tcPr>
          <w:p>
            <w:pPr>
              <w:pStyle w:val="12"/>
            </w:pPr>
            <w:r>
              <w:t>522.26</w:t>
            </w:r>
          </w:p>
        </w:tc>
        <w:tc>
          <w:tcPr>
            <w:tcW w:w="1361" w:type="dxa"/>
            <w:vAlign w:val="center"/>
          </w:tcPr>
          <w:p>
            <w:pPr>
              <w:pStyle w:val="12"/>
            </w:pPr>
            <w:r>
              <w:t>103.29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20102</w:t>
            </w:r>
          </w:p>
        </w:tc>
        <w:tc>
          <w:tcPr>
            <w:tcW w:w="4535" w:type="dxa"/>
            <w:vAlign w:val="center"/>
          </w:tcPr>
          <w:p>
            <w:pPr>
              <w:pStyle w:val="13"/>
            </w:pPr>
            <w:r>
              <w:t>政协事务</w:t>
            </w:r>
          </w:p>
        </w:tc>
        <w:tc>
          <w:tcPr>
            <w:tcW w:w="1361" w:type="dxa"/>
            <w:vAlign w:val="center"/>
          </w:tcPr>
          <w:p>
            <w:pPr>
              <w:pStyle w:val="12"/>
            </w:pPr>
            <w:r>
              <w:t>625.55</w:t>
            </w:r>
          </w:p>
        </w:tc>
        <w:tc>
          <w:tcPr>
            <w:tcW w:w="1361" w:type="dxa"/>
            <w:vAlign w:val="center"/>
          </w:tcPr>
          <w:p>
            <w:pPr>
              <w:pStyle w:val="12"/>
            </w:pPr>
            <w:r>
              <w:t>522.26</w:t>
            </w:r>
          </w:p>
        </w:tc>
        <w:tc>
          <w:tcPr>
            <w:tcW w:w="1361" w:type="dxa"/>
            <w:vAlign w:val="center"/>
          </w:tcPr>
          <w:p>
            <w:pPr>
              <w:pStyle w:val="12"/>
            </w:pPr>
            <w:r>
              <w:t>103.29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2010201</w:t>
            </w:r>
          </w:p>
        </w:tc>
        <w:tc>
          <w:tcPr>
            <w:tcW w:w="4535" w:type="dxa"/>
            <w:vAlign w:val="center"/>
          </w:tcPr>
          <w:p>
            <w:pPr>
              <w:pStyle w:val="13"/>
            </w:pPr>
            <w:r>
              <w:t>行政运行</w:t>
            </w:r>
          </w:p>
        </w:tc>
        <w:tc>
          <w:tcPr>
            <w:tcW w:w="1361" w:type="dxa"/>
            <w:vAlign w:val="center"/>
          </w:tcPr>
          <w:p>
            <w:pPr>
              <w:pStyle w:val="12"/>
            </w:pPr>
            <w:r>
              <w:t>522.26</w:t>
            </w:r>
          </w:p>
        </w:tc>
        <w:tc>
          <w:tcPr>
            <w:tcW w:w="1361" w:type="dxa"/>
            <w:vAlign w:val="center"/>
          </w:tcPr>
          <w:p>
            <w:pPr>
              <w:pStyle w:val="12"/>
            </w:pPr>
            <w:r>
              <w:t>522.26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2010202</w:t>
            </w:r>
          </w:p>
        </w:tc>
        <w:tc>
          <w:tcPr>
            <w:tcW w:w="4535" w:type="dxa"/>
            <w:vAlign w:val="center"/>
          </w:tcPr>
          <w:p>
            <w:pPr>
              <w:pStyle w:val="13"/>
            </w:pPr>
            <w:r>
              <w:t>一般行政管理事务</w:t>
            </w:r>
          </w:p>
        </w:tc>
        <w:tc>
          <w:tcPr>
            <w:tcW w:w="1361" w:type="dxa"/>
            <w:vAlign w:val="center"/>
          </w:tcPr>
          <w:p>
            <w:pPr>
              <w:pStyle w:val="12"/>
            </w:pPr>
            <w:r>
              <w:t>38.79</w:t>
            </w:r>
          </w:p>
        </w:tc>
        <w:tc>
          <w:tcPr>
            <w:tcW w:w="1361" w:type="dxa"/>
            <w:vAlign w:val="center"/>
          </w:tcPr>
          <w:p>
            <w:pPr>
              <w:pStyle w:val="12"/>
            </w:pPr>
          </w:p>
        </w:tc>
        <w:tc>
          <w:tcPr>
            <w:tcW w:w="1361" w:type="dxa"/>
            <w:vAlign w:val="center"/>
          </w:tcPr>
          <w:p>
            <w:pPr>
              <w:pStyle w:val="12"/>
            </w:pPr>
            <w:r>
              <w:t>38.79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2010204</w:t>
            </w:r>
          </w:p>
        </w:tc>
        <w:tc>
          <w:tcPr>
            <w:tcW w:w="4535" w:type="dxa"/>
            <w:vAlign w:val="center"/>
          </w:tcPr>
          <w:p>
            <w:pPr>
              <w:pStyle w:val="13"/>
            </w:pPr>
            <w:r>
              <w:t>政协会议</w:t>
            </w:r>
          </w:p>
        </w:tc>
        <w:tc>
          <w:tcPr>
            <w:tcW w:w="1361" w:type="dxa"/>
            <w:vAlign w:val="center"/>
          </w:tcPr>
          <w:p>
            <w:pPr>
              <w:pStyle w:val="12"/>
            </w:pPr>
            <w:r>
              <w:t>47.50</w:t>
            </w:r>
          </w:p>
        </w:tc>
        <w:tc>
          <w:tcPr>
            <w:tcW w:w="1361" w:type="dxa"/>
            <w:vAlign w:val="center"/>
          </w:tcPr>
          <w:p>
            <w:pPr>
              <w:pStyle w:val="12"/>
            </w:pPr>
          </w:p>
        </w:tc>
        <w:tc>
          <w:tcPr>
            <w:tcW w:w="1361" w:type="dxa"/>
            <w:vAlign w:val="center"/>
          </w:tcPr>
          <w:p>
            <w:pPr>
              <w:pStyle w:val="12"/>
            </w:pPr>
            <w:r>
              <w:t>47.50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2010206</w:t>
            </w:r>
          </w:p>
        </w:tc>
        <w:tc>
          <w:tcPr>
            <w:tcW w:w="4535" w:type="dxa"/>
            <w:vAlign w:val="center"/>
          </w:tcPr>
          <w:p>
            <w:pPr>
              <w:pStyle w:val="13"/>
            </w:pPr>
            <w:r>
              <w:t>参政议政</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625.55</w:t>
            </w:r>
          </w:p>
        </w:tc>
        <w:tc>
          <w:tcPr>
            <w:tcW w:w="3402" w:type="dxa"/>
            <w:vAlign w:val="center"/>
          </w:tcPr>
          <w:p>
            <w:pPr>
              <w:pStyle w:val="13"/>
            </w:pPr>
            <w:r>
              <w:t>一、一般公共服务支出</w:t>
            </w:r>
          </w:p>
        </w:tc>
        <w:tc>
          <w:tcPr>
            <w:tcW w:w="1474" w:type="dxa"/>
            <w:vAlign w:val="center"/>
          </w:tcPr>
          <w:p>
            <w:pPr>
              <w:pStyle w:val="12"/>
            </w:pPr>
            <w:r>
              <w:t>625.55</w:t>
            </w:r>
          </w:p>
        </w:tc>
        <w:tc>
          <w:tcPr>
            <w:tcW w:w="1474" w:type="dxa"/>
            <w:vAlign w:val="center"/>
          </w:tcPr>
          <w:p>
            <w:pPr>
              <w:pStyle w:val="12"/>
            </w:pPr>
            <w:r>
              <w:t>625.55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625.55</w:t>
            </w:r>
          </w:p>
        </w:tc>
        <w:tc>
          <w:tcPr>
            <w:tcW w:w="3402" w:type="dxa"/>
            <w:vAlign w:val="center"/>
          </w:tcPr>
          <w:p>
            <w:pPr>
              <w:pStyle w:val="15"/>
            </w:pPr>
            <w:r>
              <w:t>本年支出合计</w:t>
            </w:r>
          </w:p>
        </w:tc>
        <w:tc>
          <w:tcPr>
            <w:tcW w:w="1474" w:type="dxa"/>
            <w:vAlign w:val="center"/>
          </w:tcPr>
          <w:p>
            <w:pPr>
              <w:pStyle w:val="16"/>
            </w:pPr>
            <w:r>
              <w:t>625.55</w:t>
            </w:r>
          </w:p>
        </w:tc>
        <w:tc>
          <w:tcPr>
            <w:tcW w:w="1474" w:type="dxa"/>
            <w:vAlign w:val="center"/>
          </w:tcPr>
          <w:p>
            <w:pPr>
              <w:pStyle w:val="16"/>
            </w:pPr>
            <w:r>
              <w:t>625.55</w:t>
            </w:r>
          </w:p>
        </w:tc>
        <w:tc>
          <w:tcPr>
            <w:tcW w:w="1474" w:type="dxa"/>
            <w:vAlign w:val="center"/>
          </w:tcPr>
          <w:p>
            <w:pPr>
              <w:pStyle w:val="16"/>
            </w:pP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625.55</w:t>
            </w:r>
          </w:p>
        </w:tc>
        <w:tc>
          <w:tcPr>
            <w:tcW w:w="3402" w:type="dxa"/>
            <w:vAlign w:val="center"/>
          </w:tcPr>
          <w:p>
            <w:pPr>
              <w:pStyle w:val="15"/>
            </w:pPr>
            <w:r>
              <w:t>支出总计</w:t>
            </w:r>
          </w:p>
        </w:tc>
        <w:tc>
          <w:tcPr>
            <w:tcW w:w="1474" w:type="dxa"/>
            <w:vAlign w:val="center"/>
          </w:tcPr>
          <w:p>
            <w:pPr>
              <w:pStyle w:val="16"/>
            </w:pPr>
            <w:r>
              <w:t>625.55</w:t>
            </w:r>
          </w:p>
        </w:tc>
        <w:tc>
          <w:tcPr>
            <w:tcW w:w="1474" w:type="dxa"/>
            <w:vAlign w:val="center"/>
          </w:tcPr>
          <w:p>
            <w:pPr>
              <w:pStyle w:val="16"/>
            </w:pPr>
            <w:r>
              <w:t>625.55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625.55</w:t>
            </w:r>
          </w:p>
        </w:tc>
        <w:tc>
          <w:tcPr>
            <w:tcW w:w="2551" w:type="dxa"/>
            <w:vAlign w:val="center"/>
          </w:tcPr>
          <w:p>
            <w:pPr>
              <w:pStyle w:val="16"/>
            </w:pPr>
            <w:r>
              <w:t>522.26</w:t>
            </w:r>
          </w:p>
        </w:tc>
        <w:tc>
          <w:tcPr>
            <w:tcW w:w="2551" w:type="dxa"/>
            <w:vAlign w:val="center"/>
          </w:tcPr>
          <w:p>
            <w:pPr>
              <w:pStyle w:val="16"/>
            </w:pPr>
            <w:r>
              <w:t>103.29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625.55</w:t>
            </w:r>
          </w:p>
        </w:tc>
        <w:tc>
          <w:tcPr>
            <w:tcW w:w="2551" w:type="dxa"/>
            <w:vAlign w:val="center"/>
          </w:tcPr>
          <w:p>
            <w:pPr>
              <w:pStyle w:val="12"/>
            </w:pPr>
            <w:r>
              <w:t>522.26</w:t>
            </w:r>
          </w:p>
        </w:tc>
        <w:tc>
          <w:tcPr>
            <w:tcW w:w="2551" w:type="dxa"/>
            <w:vAlign w:val="center"/>
          </w:tcPr>
          <w:p>
            <w:pPr>
              <w:pStyle w:val="12"/>
            </w:pPr>
            <w:r>
              <w:t>103.29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20102</w:t>
            </w:r>
          </w:p>
        </w:tc>
        <w:tc>
          <w:tcPr>
            <w:tcW w:w="4535" w:type="dxa"/>
            <w:vAlign w:val="center"/>
          </w:tcPr>
          <w:p>
            <w:pPr>
              <w:pStyle w:val="13"/>
            </w:pPr>
            <w:r>
              <w:t>政协事务</w:t>
            </w:r>
          </w:p>
        </w:tc>
        <w:tc>
          <w:tcPr>
            <w:tcW w:w="2551" w:type="dxa"/>
            <w:vAlign w:val="center"/>
          </w:tcPr>
          <w:p>
            <w:pPr>
              <w:pStyle w:val="12"/>
            </w:pPr>
            <w:r>
              <w:t>625.55</w:t>
            </w:r>
          </w:p>
        </w:tc>
        <w:tc>
          <w:tcPr>
            <w:tcW w:w="2551" w:type="dxa"/>
            <w:vAlign w:val="center"/>
          </w:tcPr>
          <w:p>
            <w:pPr>
              <w:pStyle w:val="12"/>
            </w:pPr>
            <w:r>
              <w:t>522.26</w:t>
            </w:r>
          </w:p>
        </w:tc>
        <w:tc>
          <w:tcPr>
            <w:tcW w:w="2551" w:type="dxa"/>
            <w:vAlign w:val="center"/>
          </w:tcPr>
          <w:p>
            <w:pPr>
              <w:pStyle w:val="12"/>
            </w:pPr>
            <w:r>
              <w:t>103.29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2010201</w:t>
            </w:r>
          </w:p>
        </w:tc>
        <w:tc>
          <w:tcPr>
            <w:tcW w:w="4535" w:type="dxa"/>
            <w:vAlign w:val="center"/>
          </w:tcPr>
          <w:p>
            <w:pPr>
              <w:pStyle w:val="13"/>
            </w:pPr>
            <w:r>
              <w:t>行政运行</w:t>
            </w:r>
          </w:p>
        </w:tc>
        <w:tc>
          <w:tcPr>
            <w:tcW w:w="2551" w:type="dxa"/>
            <w:vAlign w:val="center"/>
          </w:tcPr>
          <w:p>
            <w:pPr>
              <w:pStyle w:val="12"/>
            </w:pPr>
            <w:r>
              <w:t>522.26</w:t>
            </w:r>
          </w:p>
        </w:tc>
        <w:tc>
          <w:tcPr>
            <w:tcW w:w="2551" w:type="dxa"/>
            <w:vAlign w:val="center"/>
          </w:tcPr>
          <w:p>
            <w:pPr>
              <w:pStyle w:val="12"/>
            </w:pPr>
            <w:r>
              <w:t>522.26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2010202</w:t>
            </w:r>
          </w:p>
        </w:tc>
        <w:tc>
          <w:tcPr>
            <w:tcW w:w="4535" w:type="dxa"/>
            <w:vAlign w:val="center"/>
          </w:tcPr>
          <w:p>
            <w:pPr>
              <w:pStyle w:val="13"/>
            </w:pPr>
            <w:r>
              <w:t>一般行政管理事务</w:t>
            </w:r>
          </w:p>
        </w:tc>
        <w:tc>
          <w:tcPr>
            <w:tcW w:w="2551" w:type="dxa"/>
            <w:vAlign w:val="center"/>
          </w:tcPr>
          <w:p>
            <w:pPr>
              <w:pStyle w:val="12"/>
            </w:pPr>
            <w:r>
              <w:t>38.79</w:t>
            </w:r>
          </w:p>
        </w:tc>
        <w:tc>
          <w:tcPr>
            <w:tcW w:w="2551" w:type="dxa"/>
            <w:vAlign w:val="center"/>
          </w:tcPr>
          <w:p>
            <w:pPr>
              <w:pStyle w:val="12"/>
            </w:pPr>
          </w:p>
        </w:tc>
        <w:tc>
          <w:tcPr>
            <w:tcW w:w="2551" w:type="dxa"/>
            <w:vAlign w:val="center"/>
          </w:tcPr>
          <w:p>
            <w:pPr>
              <w:pStyle w:val="12"/>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2010204</w:t>
            </w:r>
          </w:p>
        </w:tc>
        <w:tc>
          <w:tcPr>
            <w:tcW w:w="4535" w:type="dxa"/>
            <w:vAlign w:val="center"/>
          </w:tcPr>
          <w:p>
            <w:pPr>
              <w:pStyle w:val="13"/>
            </w:pPr>
            <w:r>
              <w:t>政协会议</w:t>
            </w:r>
          </w:p>
        </w:tc>
        <w:tc>
          <w:tcPr>
            <w:tcW w:w="2551" w:type="dxa"/>
            <w:vAlign w:val="center"/>
          </w:tcPr>
          <w:p>
            <w:pPr>
              <w:pStyle w:val="12"/>
            </w:pPr>
            <w:r>
              <w:t>47.50</w:t>
            </w:r>
          </w:p>
        </w:tc>
        <w:tc>
          <w:tcPr>
            <w:tcW w:w="2551" w:type="dxa"/>
            <w:vAlign w:val="center"/>
          </w:tcPr>
          <w:p>
            <w:pPr>
              <w:pStyle w:val="12"/>
            </w:pPr>
          </w:p>
        </w:tc>
        <w:tc>
          <w:tcPr>
            <w:tcW w:w="2551" w:type="dxa"/>
            <w:vAlign w:val="center"/>
          </w:tcPr>
          <w:p>
            <w:pPr>
              <w:pStyle w:val="12"/>
            </w:pPr>
            <w:r>
              <w:t>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2010206</w:t>
            </w:r>
          </w:p>
        </w:tc>
        <w:tc>
          <w:tcPr>
            <w:tcW w:w="4535" w:type="dxa"/>
            <w:vAlign w:val="center"/>
          </w:tcPr>
          <w:p>
            <w:pPr>
              <w:pStyle w:val="13"/>
            </w:pPr>
            <w:r>
              <w:t>参政议政</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522.26</w:t>
            </w:r>
          </w:p>
        </w:tc>
        <w:tc>
          <w:tcPr>
            <w:tcW w:w="2551" w:type="dxa"/>
            <w:vAlign w:val="center"/>
          </w:tcPr>
          <w:p>
            <w:pPr>
              <w:pStyle w:val="16"/>
            </w:pPr>
            <w:r>
              <w:t>460.50</w:t>
            </w:r>
          </w:p>
        </w:tc>
        <w:tc>
          <w:tcPr>
            <w:tcW w:w="2551" w:type="dxa"/>
            <w:vAlign w:val="center"/>
          </w:tcPr>
          <w:p>
            <w:pPr>
              <w:pStyle w:val="16"/>
            </w:pPr>
            <w:r>
              <w:t>61.76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386.07</w:t>
            </w:r>
          </w:p>
        </w:tc>
        <w:tc>
          <w:tcPr>
            <w:tcW w:w="2551" w:type="dxa"/>
            <w:vAlign w:val="center"/>
          </w:tcPr>
          <w:p>
            <w:pPr>
              <w:pStyle w:val="12"/>
            </w:pPr>
            <w:r>
              <w:t>386.07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156.85</w:t>
            </w:r>
          </w:p>
        </w:tc>
        <w:tc>
          <w:tcPr>
            <w:tcW w:w="2551" w:type="dxa"/>
            <w:vAlign w:val="center"/>
          </w:tcPr>
          <w:p>
            <w:pPr>
              <w:pStyle w:val="12"/>
            </w:pPr>
            <w:r>
              <w:t>156.85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58.19</w:t>
            </w:r>
          </w:p>
        </w:tc>
        <w:tc>
          <w:tcPr>
            <w:tcW w:w="2551" w:type="dxa"/>
            <w:vAlign w:val="center"/>
          </w:tcPr>
          <w:p>
            <w:pPr>
              <w:pStyle w:val="12"/>
            </w:pPr>
            <w:r>
              <w:t>58.19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50.02</w:t>
            </w:r>
          </w:p>
        </w:tc>
        <w:tc>
          <w:tcPr>
            <w:tcW w:w="2551" w:type="dxa"/>
            <w:vAlign w:val="center"/>
          </w:tcPr>
          <w:p>
            <w:pPr>
              <w:pStyle w:val="12"/>
            </w:pPr>
            <w:r>
              <w:t>50.02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22.90</w:t>
            </w:r>
          </w:p>
        </w:tc>
        <w:tc>
          <w:tcPr>
            <w:tcW w:w="2551" w:type="dxa"/>
            <w:vAlign w:val="center"/>
          </w:tcPr>
          <w:p>
            <w:pPr>
              <w:pStyle w:val="12"/>
            </w:pPr>
            <w:r>
              <w:t>22.90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40.70</w:t>
            </w:r>
          </w:p>
        </w:tc>
        <w:tc>
          <w:tcPr>
            <w:tcW w:w="2551" w:type="dxa"/>
            <w:vAlign w:val="center"/>
          </w:tcPr>
          <w:p>
            <w:pPr>
              <w:pStyle w:val="12"/>
            </w:pPr>
            <w:r>
              <w:t>40.70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15.51</w:t>
            </w:r>
          </w:p>
        </w:tc>
        <w:tc>
          <w:tcPr>
            <w:tcW w:w="2551" w:type="dxa"/>
            <w:vAlign w:val="center"/>
          </w:tcPr>
          <w:p>
            <w:pPr>
              <w:pStyle w:val="12"/>
            </w:pPr>
            <w:r>
              <w:t>15.51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7.88</w:t>
            </w:r>
          </w:p>
        </w:tc>
        <w:tc>
          <w:tcPr>
            <w:tcW w:w="2551" w:type="dxa"/>
            <w:vAlign w:val="center"/>
          </w:tcPr>
          <w:p>
            <w:pPr>
              <w:pStyle w:val="12"/>
            </w:pPr>
            <w:r>
              <w:t>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1.64</w:t>
            </w:r>
          </w:p>
        </w:tc>
        <w:tc>
          <w:tcPr>
            <w:tcW w:w="2551" w:type="dxa"/>
            <w:vAlign w:val="center"/>
          </w:tcPr>
          <w:p>
            <w:pPr>
              <w:pStyle w:val="12"/>
            </w:pPr>
            <w:r>
              <w:t>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32.38</w:t>
            </w:r>
          </w:p>
        </w:tc>
        <w:tc>
          <w:tcPr>
            <w:tcW w:w="2551" w:type="dxa"/>
            <w:vAlign w:val="center"/>
          </w:tcPr>
          <w:p>
            <w:pPr>
              <w:pStyle w:val="12"/>
            </w:pPr>
            <w:r>
              <w:t>32.38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61.76</w:t>
            </w:r>
          </w:p>
        </w:tc>
        <w:tc>
          <w:tcPr>
            <w:tcW w:w="2551" w:type="dxa"/>
            <w:vAlign w:val="center"/>
          </w:tcPr>
          <w:p>
            <w:pPr>
              <w:pStyle w:val="12"/>
            </w:pPr>
          </w:p>
        </w:tc>
        <w:tc>
          <w:tcPr>
            <w:tcW w:w="2551" w:type="dxa"/>
            <w:vAlign w:val="center"/>
          </w:tcPr>
          <w:p>
            <w:pPr>
              <w:pStyle w:val="12"/>
            </w:pPr>
            <w:r>
              <w:t>61.76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9.55</w:t>
            </w:r>
          </w:p>
        </w:tc>
        <w:tc>
          <w:tcPr>
            <w:tcW w:w="2551" w:type="dxa"/>
            <w:vAlign w:val="center"/>
          </w:tcPr>
          <w:p>
            <w:pPr>
              <w:pStyle w:val="12"/>
            </w:pPr>
          </w:p>
        </w:tc>
        <w:tc>
          <w:tcPr>
            <w:tcW w:w="2551" w:type="dxa"/>
            <w:vAlign w:val="center"/>
          </w:tcPr>
          <w:p>
            <w:pPr>
              <w:pStyle w:val="12"/>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12.06</w:t>
            </w:r>
          </w:p>
        </w:tc>
        <w:tc>
          <w:tcPr>
            <w:tcW w:w="2551" w:type="dxa"/>
            <w:vAlign w:val="center"/>
          </w:tcPr>
          <w:p>
            <w:pPr>
              <w:pStyle w:val="12"/>
            </w:pPr>
          </w:p>
        </w:tc>
        <w:tc>
          <w:tcPr>
            <w:tcW w:w="2551" w:type="dxa"/>
            <w:vAlign w:val="center"/>
          </w:tcPr>
          <w:p>
            <w:pPr>
              <w:pStyle w:val="12"/>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3.05</w:t>
            </w:r>
          </w:p>
        </w:tc>
        <w:tc>
          <w:tcPr>
            <w:tcW w:w="2551" w:type="dxa"/>
            <w:vAlign w:val="center"/>
          </w:tcPr>
          <w:p>
            <w:pPr>
              <w:pStyle w:val="12"/>
            </w:pPr>
          </w:p>
        </w:tc>
        <w:tc>
          <w:tcPr>
            <w:tcW w:w="2551" w:type="dxa"/>
            <w:vAlign w:val="center"/>
          </w:tcPr>
          <w:p>
            <w:pPr>
              <w:pStyle w:val="12"/>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11.64</w:t>
            </w:r>
          </w:p>
        </w:tc>
        <w:tc>
          <w:tcPr>
            <w:tcW w:w="2551" w:type="dxa"/>
            <w:vAlign w:val="center"/>
          </w:tcPr>
          <w:p>
            <w:pPr>
              <w:pStyle w:val="12"/>
            </w:pPr>
          </w:p>
        </w:tc>
        <w:tc>
          <w:tcPr>
            <w:tcW w:w="2551" w:type="dxa"/>
            <w:vAlign w:val="center"/>
          </w:tcPr>
          <w:p>
            <w:pPr>
              <w:pStyle w:val="12"/>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16.91</w:t>
            </w:r>
          </w:p>
        </w:tc>
        <w:tc>
          <w:tcPr>
            <w:tcW w:w="2551" w:type="dxa"/>
            <w:vAlign w:val="center"/>
          </w:tcPr>
          <w:p>
            <w:pPr>
              <w:pStyle w:val="12"/>
            </w:pPr>
          </w:p>
        </w:tc>
        <w:tc>
          <w:tcPr>
            <w:tcW w:w="2551" w:type="dxa"/>
            <w:vAlign w:val="center"/>
          </w:tcPr>
          <w:p>
            <w:pPr>
              <w:pStyle w:val="12"/>
            </w:pPr>
            <w:r>
              <w:t>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8.55</w:t>
            </w:r>
          </w:p>
        </w:tc>
        <w:tc>
          <w:tcPr>
            <w:tcW w:w="2551" w:type="dxa"/>
            <w:vAlign w:val="center"/>
          </w:tcPr>
          <w:p>
            <w:pPr>
              <w:pStyle w:val="12"/>
            </w:pPr>
          </w:p>
        </w:tc>
        <w:tc>
          <w:tcPr>
            <w:tcW w:w="2551" w:type="dxa"/>
            <w:vAlign w:val="center"/>
          </w:tcPr>
          <w:p>
            <w:pPr>
              <w:pStyle w:val="12"/>
            </w:pPr>
            <w:r>
              <w:t>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74.43</w:t>
            </w:r>
          </w:p>
        </w:tc>
        <w:tc>
          <w:tcPr>
            <w:tcW w:w="2551" w:type="dxa"/>
            <w:vAlign w:val="center"/>
          </w:tcPr>
          <w:p>
            <w:pPr>
              <w:pStyle w:val="12"/>
            </w:pPr>
            <w:r>
              <w:t>74.43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72.31</w:t>
            </w:r>
          </w:p>
        </w:tc>
        <w:tc>
          <w:tcPr>
            <w:tcW w:w="2551" w:type="dxa"/>
            <w:vAlign w:val="center"/>
          </w:tcPr>
          <w:p>
            <w:pPr>
              <w:pStyle w:val="12"/>
            </w:pPr>
            <w:r>
              <w:t>72.31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11.64</w:t>
            </w:r>
          </w:p>
        </w:tc>
        <w:tc>
          <w:tcPr>
            <w:tcW w:w="2381" w:type="dxa"/>
            <w:vAlign w:val="center"/>
          </w:tcPr>
          <w:p>
            <w:pPr>
              <w:pStyle w:val="16"/>
            </w:pPr>
            <w:r>
              <w:t>11.64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11.64</w:t>
            </w:r>
          </w:p>
        </w:tc>
        <w:tc>
          <w:tcPr>
            <w:tcW w:w="2381" w:type="dxa"/>
            <w:vAlign w:val="center"/>
          </w:tcPr>
          <w:p>
            <w:pPr>
              <w:pStyle w:val="12"/>
            </w:pPr>
            <w:r>
              <w:t>11.64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11.64</w:t>
            </w:r>
          </w:p>
        </w:tc>
        <w:tc>
          <w:tcPr>
            <w:tcW w:w="2381" w:type="dxa"/>
            <w:vAlign w:val="center"/>
          </w:tcPr>
          <w:p>
            <w:pPr>
              <w:pStyle w:val="12"/>
            </w:pPr>
            <w:r>
              <w:t>11.64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中国人民政治协商会议河北省晋州市委员会2026年部门预算信息公开情况说明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中国人民政治协商会议河北省晋州市委员会2026年部门预算信息公开情况说明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按照《中华人民共和国预算法》、《地方预决算公开操作规程》和《关于进一步推进预算公开工作的实施意见》规定，现将中国人民政治协商会议河北省晋州市委员会2026年部门预算公开如下：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1、宣传、执行国家的宪法、法律、法规和各项方针政策，推动社会力量积极参加社会主义物质文明、政治文明、精神文明、社会文明、生态文明建设事业。</w:t>
      </w:r>
    </w:p>
    <w:p>
      <w:pPr>
        <w:pStyle w:val="18"/>
      </w:pPr>
      <w:r>
        <w:t>2、学习贯彻统一战线和人民政协的理论、政策，提出人民政协履行职能的工作建议。</w:t>
      </w:r>
    </w:p>
    <w:p>
      <w:pPr>
        <w:pStyle w:val="18"/>
      </w:pPr>
      <w:r>
        <w:t>3、负责市政协全体会议、常务委员会会议、主席会议以及其他重要会议的活动组织和服务保障工作。</w:t>
      </w:r>
    </w:p>
    <w:p>
      <w:pPr>
        <w:pStyle w:val="18"/>
      </w:pPr>
      <w:r>
        <w:t>4、负责市政协有关决议、决定的具体组织和督办落实工作。</w:t>
      </w:r>
    </w:p>
    <w:p>
      <w:pPr>
        <w:pStyle w:val="18"/>
      </w:pPr>
      <w:r>
        <w:t>5、负责各专门委员会以及市政协委员视察、考察、调研等活动的组织协调保障工作。</w:t>
      </w:r>
    </w:p>
    <w:p>
      <w:pPr>
        <w:pStyle w:val="18"/>
      </w:pPr>
      <w:r>
        <w:t>6、负责市政协委员提案办理的组织协调和服务工作。</w:t>
      </w:r>
    </w:p>
    <w:p>
      <w:pPr>
        <w:pStyle w:val="18"/>
      </w:pPr>
      <w:r>
        <w:t>7、整理、报送政协组织和委员履行职能形成的调研报告、视察报告；收集反映社情民意，处理政协委员和人民群众的来信来访。</w:t>
      </w:r>
    </w:p>
    <w:p>
      <w:pPr>
        <w:pStyle w:val="18"/>
      </w:pPr>
      <w:r>
        <w:t>8、密切联系市直机关和其他有关组织、各方面人士，开展调查研究，反映社情民意，进行协商讨论，提出意见和建议。</w:t>
      </w:r>
    </w:p>
    <w:p>
      <w:pPr>
        <w:pStyle w:val="18"/>
      </w:pPr>
      <w:r>
        <w:t>9、协助有关部门做好市政协委员的协商推荐等人事工作。</w:t>
      </w:r>
    </w:p>
    <w:p>
      <w:pPr>
        <w:pStyle w:val="18"/>
      </w:pPr>
      <w:r>
        <w:t>10、负责市政协委员的联络、服务、保障工作，建立健全委员信息库、委员参政议政履职档案、履职情况统计等机制。</w:t>
      </w:r>
    </w:p>
    <w:p>
      <w:pPr>
        <w:pStyle w:val="18"/>
      </w:pPr>
      <w:r>
        <w:t>11、完成市委和上级政协交办的其他任务。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中国人民政治协商会议河北省晋州市委员会本级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按照预算管理有关规定，目前部门预算的编制实行综合预算管理，即全部收入和支出都反映在预算中。中国人民政治协商会议河北省晋州市委员会机关及所属事业单位的收支包含在部门预算中。</w:t>
      </w:r>
    </w:p>
    <w:p>
      <w:pPr>
        <w:pStyle w:val="19"/>
      </w:pPr>
      <w:r>
        <w:t>1、收入说明</w:t>
      </w:r>
    </w:p>
    <w:p>
      <w:pPr>
        <w:pStyle w:val="19"/>
      </w:pPr>
      <w:r>
        <w:t>反映本部门当年全部收入。2026年预算收入625.55万元，其中：一般公共预算收入625.55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人民政治协商会议河北省晋州市委员会年度部门预算中支出预算的总体情况。2026年支出预算625.55万元，其中基本支出522.26万元，包括人员经费460.50万元和日常公用经费61.76万元；项目支出103.29万元，主要为政协会议经费、文史资料经费、老干部活动经费、委员活动经费、参政议政能力提升工作经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625.55万元，较2025年预算增加17.00万元，其中：基本支出增加20.00万元，主要为人员工资调整，人员经费增加。项目支出减少3.00万元，主要为减少了政协会议经费和报刊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2026年，我部门机关运行经费共计安排61.76万元，主要用于日常维修、办公用房水电费、办公用房取暖费、办公用房物业管理费等日常运行支出。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11.64万元，其中因公出国（境）费0.00万元；公务用车购置及运维费11.64万元（其中：公务用车购置费为0.00万元，公务用车运维费11.64万元)；公务接待费0.00万元。与2025年相比减少0.36万元，增减变化的主要原因是减少公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履行好政治协商、民主监督、参政议政等基本职能。完善会议制度，规范会议程序，提高会议质量，提高政治协商水平。有效履行民主监督职责，发挥好协调关系、汇聚力量、建言献策、服务大局的作用。通过意见、建议等方式对法律法规的实施、重大方针政策的贯彻执行、党和政府的工作进行政治监督。完善民主监督机制，畅通民主监督渠道，建立健全知情、沟通制度，将民主监督寓于委员提案、进行视察、参与工作检查等活动中，提高民主监督质量和成效。组织好委员视察、考察、调研等活动。发挥扩大社会各界有序参与的重要渠道作用，探索开展活动的新方法新途径，充分调动委员参政议政积极性。完善提案审查、办理和反馈机制，提高提案质量和办理质量，提升政协履职作用。密切联系群众，积极反映社情民意，增进社会各阶层群体的和谐和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（一）订阅报刊，保障政策学习、信息获取及履职参考需求。</w:t>
      </w:r>
    </w:p>
    <w:p>
      <w:pPr>
        <w:pStyle w:val="23"/>
      </w:pPr>
      <w:r>
        <w:t>绩效目标：保障报刊订阅需求，及时获取政策资讯与学习资料等，提升履职尽责的信息基础，拓宽政策理论学习渠道，助理各项工作有序开展，提升整体工作水平。</w:t>
      </w:r>
    </w:p>
    <w:p>
      <w:pPr>
        <w:pStyle w:val="23"/>
      </w:pPr>
      <w:r>
        <w:t>绩效指标：提升工作成效，报刊订阅完成率90%以上。</w:t>
      </w:r>
    </w:p>
    <w:p>
      <w:pPr>
        <w:pStyle w:val="23"/>
      </w:pPr>
      <w:r>
        <w:t>（二）组织委员履职等活动，提升工作质效，为工作开展提供支持。</w:t>
      </w:r>
    </w:p>
    <w:p>
      <w:pPr>
        <w:pStyle w:val="23"/>
      </w:pPr>
      <w:r>
        <w:t>绩效目标：丰富委员履职实践活动，组织委员开展各项视察、调研、座谈等，搭建交流研讨平台，凝聚协商议政共识。</w:t>
      </w:r>
    </w:p>
    <w:p>
      <w:pPr>
        <w:pStyle w:val="23"/>
      </w:pPr>
      <w:r>
        <w:t>绩效指标：委员履职质效提升，活动多样有序，委员活动完成率90%以上。</w:t>
      </w:r>
    </w:p>
    <w:p>
      <w:pPr>
        <w:pStyle w:val="23"/>
      </w:pPr>
      <w:r>
        <w:t>（三）文史资料征集、整理、编撰等，留存相关历史，服务政协工作。</w:t>
      </w:r>
    </w:p>
    <w:p>
      <w:pPr>
        <w:pStyle w:val="23"/>
      </w:pPr>
      <w:r>
        <w:t>绩效目标：征集、整理、编撰文史资料，完善文史资料，使文史资料丰富充实，传承文史脉络，活跃政协工作。</w:t>
      </w:r>
      <w:r>
        <w:tab/>
      </w:r>
    </w:p>
    <w:p>
      <w:pPr>
        <w:pStyle w:val="23"/>
      </w:pPr>
      <w:r>
        <w:t>绩效指标：资料编撰规范，文史价值发挥充分，文史资料编辑完成率90%以上。</w:t>
      </w:r>
    </w:p>
    <w:p>
      <w:pPr>
        <w:pStyle w:val="23"/>
      </w:pPr>
      <w:r>
        <w:t>（四）落实老干部生活待遇，传递组织关怀与温暖。</w:t>
      </w:r>
    </w:p>
    <w:p>
      <w:pPr>
        <w:pStyle w:val="23"/>
      </w:pPr>
      <w:r>
        <w:t>绩效目标：落实好老干部的生活待遇，丰富老干部老年生活，提升生活质量，提高服务老干部能力。</w:t>
      </w:r>
      <w:r>
        <w:tab/>
      </w:r>
      <w:r>
        <w:t xml:space="preserve"> </w:t>
      </w:r>
    </w:p>
    <w:p>
      <w:pPr>
        <w:pStyle w:val="23"/>
      </w:pPr>
      <w:r>
        <w:t>绩效指标：服务能力提升，重要节日慰问老干部完成率90%以上，报刊等征订完成率90%以上。</w:t>
      </w:r>
    </w:p>
    <w:p>
      <w:pPr>
        <w:pStyle w:val="23"/>
      </w:pPr>
      <w:r>
        <w:t>（五）保障政协会议顺利召开，提高会议质量。</w:t>
      </w:r>
    </w:p>
    <w:p>
      <w:pPr>
        <w:pStyle w:val="23"/>
      </w:pPr>
      <w:r>
        <w:t>绩效目标：保障政协会议顺利召开，助力委员充分履职。</w:t>
      </w:r>
    </w:p>
    <w:p>
      <w:pPr>
        <w:pStyle w:val="23"/>
      </w:pPr>
      <w:r>
        <w:t>绩效指标：委员履职充分，会议按期完成率90%以上。</w:t>
      </w:r>
    </w:p>
    <w:p>
      <w:pPr>
        <w:pStyle w:val="23"/>
      </w:pPr>
      <w:r>
        <w:t>（六）参政议政能力提升，助力高效履职。</w:t>
      </w:r>
    </w:p>
    <w:p>
      <w:pPr>
        <w:pStyle w:val="23"/>
      </w:pPr>
      <w:r>
        <w:t>绩效目标：提升政协参政议政能力，提高政治把握能力，增强深入基层的主动性，丰富履职方法，助力高质量建言献策，增强履职实效，提升工作能力，做到懂政协、会协商、善议政，发出政协之声，体现委员之智。</w:t>
      </w:r>
    </w:p>
    <w:p>
      <w:pPr>
        <w:pStyle w:val="23"/>
      </w:pPr>
      <w:r>
        <w:t>绩效指标：履职能力提升，建言献策质量提高，参政议政参与率90%以上。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完善制度建设。完善预算绩效管理、资金管理等制度，为全年预算绩效目标的实现奠定制度基础。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做好绩效自评。按要求开展预算绩效自评和重点评价工作，对评价中发现的问题及时整改，调整优化支出结构，提高财政资金使用效益。</w:t>
      </w:r>
    </w:p>
    <w:p>
      <w:pPr>
        <w:pStyle w:val="24"/>
      </w:pPr>
      <w:r>
        <w:t>规范财务资产管理。强化财务管理，严格审批程序，加强固定资产管理，做到支出合理，物尽其用。</w:t>
      </w:r>
    </w:p>
    <w:p>
      <w:pPr>
        <w:pStyle w:val="24"/>
      </w:pPr>
      <w:r>
        <w:t>加强内部监督。加强内部监督制度建设，对绩效运行情况、重大支出决策、对外投资、资产处置及其他重要经济业务事项的决策和执行进行督导，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1、报刊费绩效目标表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13018326P000328100834</w:t>
            </w:r>
          </w:p>
        </w:tc>
        <w:tc>
          <w:tcPr>
            <w:tcW w:w="2835" w:type="dxa"/>
            <w:vAlign w:val="center"/>
          </w:tcPr>
          <w:p>
            <w:pPr>
              <w:pStyle w:val="11"/>
            </w:pPr>
            <w:r>
              <w:t>项目名称</w:t>
            </w:r>
          </w:p>
        </w:tc>
        <w:tc>
          <w:tcPr>
            <w:tcW w:w="6095" w:type="dxa"/>
            <w:gridSpan w:val="3"/>
            <w:vAlign w:val="center"/>
          </w:tcPr>
          <w:p>
            <w:pPr>
              <w:pStyle w:val="13"/>
            </w:pPr>
            <w:r>
              <w:t>报刊费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用于订阅报刊，保障政策学习、信息获取及履职参考需求。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1.保障报刊订阅需求，及时获取政策资讯与学习资料等，提升履职尽责的信息基础，拓宽政策理论学习渠道，助理各项工作有序开展，提升整体工作水平。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报刊订阅率</w:t>
            </w:r>
          </w:p>
        </w:tc>
        <w:tc>
          <w:tcPr>
            <w:tcW w:w="5386" w:type="dxa"/>
            <w:vAlign w:val="center"/>
          </w:tcPr>
          <w:p>
            <w:pPr>
              <w:pStyle w:val="13"/>
            </w:pPr>
            <w:r>
              <w:t>报刊订阅率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报刊利用率</w:t>
            </w:r>
          </w:p>
        </w:tc>
        <w:tc>
          <w:tcPr>
            <w:tcW w:w="5386" w:type="dxa"/>
            <w:vAlign w:val="center"/>
          </w:tcPr>
          <w:p>
            <w:pPr>
              <w:pStyle w:val="13"/>
            </w:pPr>
            <w:r>
              <w:t>报刊利用率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购置及时率</w:t>
            </w:r>
          </w:p>
        </w:tc>
        <w:tc>
          <w:tcPr>
            <w:tcW w:w="5386" w:type="dxa"/>
            <w:vAlign w:val="center"/>
          </w:tcPr>
          <w:p>
            <w:pPr>
              <w:pStyle w:val="13"/>
            </w:pPr>
            <w:r>
              <w:t>购置及时率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实施成本占预算成本比率</w:t>
            </w:r>
          </w:p>
        </w:tc>
        <w:tc>
          <w:tcPr>
            <w:tcW w:w="5386" w:type="dxa"/>
            <w:vAlign w:val="center"/>
          </w:tcPr>
          <w:p>
            <w:pPr>
              <w:pStyle w:val="13"/>
            </w:pPr>
            <w:r>
              <w:t>实施成本占预算成本比率</w:t>
            </w:r>
          </w:p>
        </w:tc>
        <w:tc>
          <w:tcPr>
            <w:tcW w:w="2268" w:type="dxa"/>
            <w:vAlign w:val="center"/>
          </w:tcPr>
          <w:p>
            <w:pPr>
              <w:pStyle w:val="13"/>
            </w:pPr>
            <w:r>
              <w:t>≤100%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工作提升保障率</w:t>
            </w:r>
          </w:p>
        </w:tc>
        <w:tc>
          <w:tcPr>
            <w:tcW w:w="5386" w:type="dxa"/>
            <w:vAlign w:val="center"/>
          </w:tcPr>
          <w:p>
            <w:pPr>
              <w:pStyle w:val="13"/>
            </w:pPr>
            <w:r>
              <w:t>工作提升保障率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满意和较满意的对象占所有对象的比率</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2、参政议政能力提升工作经费绩效目标表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13018326P00032810086Y</w:t>
            </w:r>
          </w:p>
        </w:tc>
        <w:tc>
          <w:tcPr>
            <w:tcW w:w="2835" w:type="dxa"/>
            <w:vAlign w:val="center"/>
          </w:tcPr>
          <w:p>
            <w:pPr>
              <w:pStyle w:val="11"/>
            </w:pPr>
            <w:r>
              <w:t>项目名称</w:t>
            </w:r>
          </w:p>
        </w:tc>
        <w:tc>
          <w:tcPr>
            <w:tcW w:w="6095" w:type="dxa"/>
            <w:gridSpan w:val="3"/>
            <w:vAlign w:val="center"/>
          </w:tcPr>
          <w:p>
            <w:pPr>
              <w:pStyle w:val="13"/>
            </w:pPr>
            <w:r>
              <w:t>参政议政能力提升工作经费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用于政协参政议政能力提升，助力高效履职。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1.提升政协参政议政能力，提高政治把握能力，增强深入基层的主动性，丰富履职方法，助力高质量建言献策，增强履职实效，提升工作能力，做到懂政协、会协商、善议政，发出政协之声，体现委员之智。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参政议政参与率</w:t>
            </w:r>
          </w:p>
        </w:tc>
        <w:tc>
          <w:tcPr>
            <w:tcW w:w="5386" w:type="dxa"/>
            <w:vAlign w:val="center"/>
          </w:tcPr>
          <w:p>
            <w:pPr>
              <w:pStyle w:val="13"/>
            </w:pPr>
            <w:r>
              <w:t>组织委员参政议政建言献策参与率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提升提案建议实效</w:t>
            </w:r>
          </w:p>
        </w:tc>
        <w:tc>
          <w:tcPr>
            <w:tcW w:w="5386" w:type="dxa"/>
            <w:vAlign w:val="center"/>
          </w:tcPr>
          <w:p>
            <w:pPr>
              <w:pStyle w:val="13"/>
            </w:pPr>
            <w:r>
              <w:t>紧跟政策导向提升提案建议实效</w:t>
            </w:r>
          </w:p>
        </w:tc>
        <w:tc>
          <w:tcPr>
            <w:tcW w:w="2268" w:type="dxa"/>
            <w:vAlign w:val="center"/>
          </w:tcPr>
          <w:p>
            <w:pPr>
              <w:pStyle w:val="13"/>
            </w:pPr>
            <w:r>
              <w:t>≥5%</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按计划完成率</w:t>
            </w:r>
          </w:p>
        </w:tc>
        <w:tc>
          <w:tcPr>
            <w:tcW w:w="5386" w:type="dxa"/>
            <w:vAlign w:val="center"/>
          </w:tcPr>
          <w:p>
            <w:pPr>
              <w:pStyle w:val="13"/>
            </w:pPr>
            <w:r>
              <w:t>树立创新意识，增强参政议政的实效性</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实施成本占预算成本比率</w:t>
            </w:r>
          </w:p>
        </w:tc>
        <w:tc>
          <w:tcPr>
            <w:tcW w:w="5386" w:type="dxa"/>
            <w:vAlign w:val="center"/>
          </w:tcPr>
          <w:p>
            <w:pPr>
              <w:pStyle w:val="13"/>
            </w:pPr>
            <w:r>
              <w:t>实施成本占预算成本比率</w:t>
            </w:r>
          </w:p>
        </w:tc>
        <w:tc>
          <w:tcPr>
            <w:tcW w:w="2268" w:type="dxa"/>
            <w:vAlign w:val="center"/>
          </w:tcPr>
          <w:p>
            <w:pPr>
              <w:pStyle w:val="13"/>
            </w:pPr>
            <w:r>
              <w:t>≤100%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工作提升保障率</w:t>
            </w:r>
          </w:p>
        </w:tc>
        <w:tc>
          <w:tcPr>
            <w:tcW w:w="5386" w:type="dxa"/>
            <w:vAlign w:val="center"/>
          </w:tcPr>
          <w:p>
            <w:pPr>
              <w:pStyle w:val="13"/>
            </w:pPr>
            <w:r>
              <w:t>工作提升保障率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满意和较满意的对象占所有对象的比率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3、老干部活动经费绩效目标表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13018326P000328100886</w:t>
            </w:r>
          </w:p>
        </w:tc>
        <w:tc>
          <w:tcPr>
            <w:tcW w:w="2835" w:type="dxa"/>
            <w:vAlign w:val="center"/>
          </w:tcPr>
          <w:p>
            <w:pPr>
              <w:pStyle w:val="11"/>
            </w:pPr>
            <w:r>
              <w:t>项目名称</w:t>
            </w:r>
          </w:p>
        </w:tc>
        <w:tc>
          <w:tcPr>
            <w:tcW w:w="6095" w:type="dxa"/>
            <w:gridSpan w:val="3"/>
            <w:vAlign w:val="center"/>
          </w:tcPr>
          <w:p>
            <w:pPr>
              <w:pStyle w:val="13"/>
            </w:pPr>
            <w:r>
              <w:t>老干部活动经费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6.29</w:t>
            </w:r>
          </w:p>
        </w:tc>
        <w:tc>
          <w:tcPr>
            <w:tcW w:w="2835" w:type="dxa"/>
            <w:vAlign w:val="center"/>
          </w:tcPr>
          <w:p>
            <w:pPr>
              <w:pStyle w:val="11"/>
            </w:pPr>
            <w:r>
              <w:t>其中：财政    资金</w:t>
            </w:r>
          </w:p>
        </w:tc>
        <w:tc>
          <w:tcPr>
            <w:tcW w:w="2551" w:type="dxa"/>
            <w:vAlign w:val="center"/>
          </w:tcPr>
          <w:p>
            <w:pPr>
              <w:pStyle w:val="13"/>
            </w:pPr>
            <w:r>
              <w:t>6.29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用于落实老干部生活待遇，传递组织关怀与温暖。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1.落实好老干部的生活待遇，丰富老干部老年生活，提升生活质量，提高服务老干部能力。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老干部参与人数</w:t>
            </w:r>
          </w:p>
        </w:tc>
        <w:tc>
          <w:tcPr>
            <w:tcW w:w="5386" w:type="dxa"/>
            <w:vAlign w:val="center"/>
          </w:tcPr>
          <w:p>
            <w:pPr>
              <w:pStyle w:val="13"/>
            </w:pPr>
            <w:r>
              <w:t>组织活动老干部参与人数</w:t>
            </w:r>
          </w:p>
        </w:tc>
        <w:tc>
          <w:tcPr>
            <w:tcW w:w="2268" w:type="dxa"/>
            <w:vAlign w:val="center"/>
          </w:tcPr>
          <w:p>
            <w:pPr>
              <w:pStyle w:val="13"/>
            </w:pPr>
            <w:r>
              <w:t>≥20人</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活动内容贴合率</w:t>
            </w:r>
          </w:p>
        </w:tc>
        <w:tc>
          <w:tcPr>
            <w:tcW w:w="5386" w:type="dxa"/>
            <w:vAlign w:val="center"/>
          </w:tcPr>
          <w:p>
            <w:pPr>
              <w:pStyle w:val="13"/>
            </w:pPr>
            <w:r>
              <w:t>活动内容贴合需求率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按照要求和计划完成老干部活动</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实施成本占预算成本比率</w:t>
            </w:r>
          </w:p>
        </w:tc>
        <w:tc>
          <w:tcPr>
            <w:tcW w:w="5386" w:type="dxa"/>
            <w:vAlign w:val="center"/>
          </w:tcPr>
          <w:p>
            <w:pPr>
              <w:pStyle w:val="13"/>
            </w:pPr>
            <w:r>
              <w:t>实施成本占预算成本比率</w:t>
            </w:r>
          </w:p>
        </w:tc>
        <w:tc>
          <w:tcPr>
            <w:tcW w:w="2268" w:type="dxa"/>
            <w:vAlign w:val="center"/>
          </w:tcPr>
          <w:p>
            <w:pPr>
              <w:pStyle w:val="13"/>
            </w:pPr>
            <w:r>
              <w:t>≤100%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工作提升保障率</w:t>
            </w:r>
          </w:p>
        </w:tc>
        <w:tc>
          <w:tcPr>
            <w:tcW w:w="5386" w:type="dxa"/>
            <w:vAlign w:val="center"/>
          </w:tcPr>
          <w:p>
            <w:pPr>
              <w:pStyle w:val="13"/>
            </w:pPr>
            <w:r>
              <w:t>工作提升保障率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满意和较满意的对象占所有对象的比率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4、委员活动经费绩效目标表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13018326P00032810092C</w:t>
            </w:r>
          </w:p>
        </w:tc>
        <w:tc>
          <w:tcPr>
            <w:tcW w:w="2835" w:type="dxa"/>
            <w:vAlign w:val="center"/>
          </w:tcPr>
          <w:p>
            <w:pPr>
              <w:pStyle w:val="11"/>
            </w:pPr>
            <w:r>
              <w:t>项目名称</w:t>
            </w:r>
          </w:p>
        </w:tc>
        <w:tc>
          <w:tcPr>
            <w:tcW w:w="6095" w:type="dxa"/>
            <w:gridSpan w:val="3"/>
            <w:vAlign w:val="center"/>
          </w:tcPr>
          <w:p>
            <w:pPr>
              <w:pStyle w:val="13"/>
            </w:pPr>
            <w:r>
              <w:t>委员活动经费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用于委员履职活动开展，提升工作质效，为工作开展提供支持。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1.丰富委员履职实践活动，组织委员开展各项视察、调研、座谈等，搭建交流研讨平台，凝聚协商议政共识。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视察完成率</w:t>
            </w:r>
          </w:p>
        </w:tc>
        <w:tc>
          <w:tcPr>
            <w:tcW w:w="5386" w:type="dxa"/>
            <w:vAlign w:val="center"/>
          </w:tcPr>
          <w:p>
            <w:pPr>
              <w:pStyle w:val="13"/>
            </w:pPr>
            <w:r>
              <w:t>组织委员视察完成率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委员视察调研建言献策率</w:t>
            </w:r>
          </w:p>
        </w:tc>
        <w:tc>
          <w:tcPr>
            <w:tcW w:w="5386" w:type="dxa"/>
            <w:vAlign w:val="center"/>
          </w:tcPr>
          <w:p>
            <w:pPr>
              <w:pStyle w:val="13"/>
            </w:pPr>
            <w:r>
              <w:t>委员视察调研建言献策率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视察调研活动完成及时率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实施成本占预算成本比率</w:t>
            </w:r>
          </w:p>
        </w:tc>
        <w:tc>
          <w:tcPr>
            <w:tcW w:w="5386" w:type="dxa"/>
            <w:vAlign w:val="center"/>
          </w:tcPr>
          <w:p>
            <w:pPr>
              <w:pStyle w:val="13"/>
            </w:pPr>
            <w:r>
              <w:t>实施成本占预算成本比率</w:t>
            </w:r>
          </w:p>
        </w:tc>
        <w:tc>
          <w:tcPr>
            <w:tcW w:w="2268" w:type="dxa"/>
            <w:vAlign w:val="center"/>
          </w:tcPr>
          <w:p>
            <w:pPr>
              <w:pStyle w:val="13"/>
            </w:pPr>
            <w:r>
              <w:t>≤100%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意见建议办理完成率</w:t>
            </w:r>
          </w:p>
        </w:tc>
        <w:tc>
          <w:tcPr>
            <w:tcW w:w="5386" w:type="dxa"/>
            <w:vAlign w:val="center"/>
          </w:tcPr>
          <w:p>
            <w:pPr>
              <w:pStyle w:val="13"/>
            </w:pPr>
            <w:r>
              <w:t>意见建议办理完成率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满意和较满意的对象占所有对象的比率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5、文史资料经费绩效目标表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13018326P000328100982</w:t>
            </w:r>
          </w:p>
        </w:tc>
        <w:tc>
          <w:tcPr>
            <w:tcW w:w="2835" w:type="dxa"/>
            <w:vAlign w:val="center"/>
          </w:tcPr>
          <w:p>
            <w:pPr>
              <w:pStyle w:val="11"/>
            </w:pPr>
            <w:r>
              <w:t>项目名称</w:t>
            </w:r>
          </w:p>
        </w:tc>
        <w:tc>
          <w:tcPr>
            <w:tcW w:w="6095" w:type="dxa"/>
            <w:gridSpan w:val="3"/>
            <w:vAlign w:val="center"/>
          </w:tcPr>
          <w:p>
            <w:pPr>
              <w:pStyle w:val="13"/>
            </w:pPr>
            <w:r>
              <w:t>文史资料经费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用于文史资料征集、整理、编撰等，留存相关历史，服务政协工作。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1.征集、整理、编撰文史资料，完善文史资料，使文史资料丰富充实，传承文史脉络，活跃政协工作。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文史资料整体提升率</w:t>
            </w:r>
          </w:p>
        </w:tc>
        <w:tc>
          <w:tcPr>
            <w:tcW w:w="5386" w:type="dxa"/>
            <w:vAlign w:val="center"/>
          </w:tcPr>
          <w:p>
            <w:pPr>
              <w:pStyle w:val="13"/>
            </w:pPr>
            <w:r>
              <w:t>文史资料整体提升率</w:t>
            </w:r>
          </w:p>
        </w:tc>
        <w:tc>
          <w:tcPr>
            <w:tcW w:w="2268" w:type="dxa"/>
            <w:vAlign w:val="center"/>
          </w:tcPr>
          <w:p>
            <w:pPr>
              <w:pStyle w:val="13"/>
            </w:pPr>
            <w:r>
              <w:t>≥2%</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编撰准确率</w:t>
            </w:r>
          </w:p>
        </w:tc>
        <w:tc>
          <w:tcPr>
            <w:tcW w:w="5386" w:type="dxa"/>
            <w:vAlign w:val="center"/>
          </w:tcPr>
          <w:p>
            <w:pPr>
              <w:pStyle w:val="13"/>
            </w:pPr>
            <w:r>
              <w:t>编撰文史准确率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编撰及时完成率</w:t>
            </w:r>
          </w:p>
        </w:tc>
        <w:tc>
          <w:tcPr>
            <w:tcW w:w="5386" w:type="dxa"/>
            <w:vAlign w:val="center"/>
          </w:tcPr>
          <w:p>
            <w:pPr>
              <w:pStyle w:val="13"/>
            </w:pPr>
            <w:r>
              <w:t>编撰文史及时完成率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实施成本占预算成本的比率</w:t>
            </w:r>
          </w:p>
        </w:tc>
        <w:tc>
          <w:tcPr>
            <w:tcW w:w="5386" w:type="dxa"/>
            <w:vAlign w:val="center"/>
          </w:tcPr>
          <w:p>
            <w:pPr>
              <w:pStyle w:val="13"/>
            </w:pPr>
            <w:r>
              <w:t>实施成本占预算成本的比率</w:t>
            </w:r>
          </w:p>
        </w:tc>
        <w:tc>
          <w:tcPr>
            <w:tcW w:w="2268" w:type="dxa"/>
            <w:vAlign w:val="center"/>
          </w:tcPr>
          <w:p>
            <w:pPr>
              <w:pStyle w:val="13"/>
            </w:pPr>
            <w:r>
              <w:t>≤100%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文史传承贡献率</w:t>
            </w:r>
          </w:p>
        </w:tc>
        <w:tc>
          <w:tcPr>
            <w:tcW w:w="5386" w:type="dxa"/>
            <w:vAlign w:val="center"/>
          </w:tcPr>
          <w:p>
            <w:pPr>
              <w:pStyle w:val="13"/>
            </w:pPr>
            <w:r>
              <w:t>文史资料对文史传承的贡献率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满意和较满意的对象占所有对象的比率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6、政协会议经费绩效目标表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13018326P00032810102T</w:t>
            </w:r>
          </w:p>
        </w:tc>
        <w:tc>
          <w:tcPr>
            <w:tcW w:w="2835" w:type="dxa"/>
            <w:vAlign w:val="center"/>
          </w:tcPr>
          <w:p>
            <w:pPr>
              <w:pStyle w:val="11"/>
            </w:pPr>
            <w:r>
              <w:t>项目名称</w:t>
            </w:r>
          </w:p>
        </w:tc>
        <w:tc>
          <w:tcPr>
            <w:tcW w:w="6095" w:type="dxa"/>
            <w:gridSpan w:val="3"/>
            <w:vAlign w:val="center"/>
          </w:tcPr>
          <w:p>
            <w:pPr>
              <w:pStyle w:val="13"/>
            </w:pPr>
            <w:r>
              <w:t>政协会议经费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47.50</w:t>
            </w:r>
          </w:p>
        </w:tc>
        <w:tc>
          <w:tcPr>
            <w:tcW w:w="2835" w:type="dxa"/>
            <w:vAlign w:val="center"/>
          </w:tcPr>
          <w:p>
            <w:pPr>
              <w:pStyle w:val="11"/>
            </w:pPr>
            <w:r>
              <w:t>其中：财政    资金</w:t>
            </w:r>
          </w:p>
        </w:tc>
        <w:tc>
          <w:tcPr>
            <w:tcW w:w="2551" w:type="dxa"/>
            <w:vAlign w:val="center"/>
          </w:tcPr>
          <w:p>
            <w:pPr>
              <w:pStyle w:val="13"/>
            </w:pPr>
            <w:r>
              <w:t>47.50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用于保障政协会议顺利召开，提高会议质量。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1.保障政协会议顺利召开，助力委员充分履职。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召开数量比例</w:t>
            </w:r>
          </w:p>
        </w:tc>
        <w:tc>
          <w:tcPr>
            <w:tcW w:w="5386" w:type="dxa"/>
            <w:vAlign w:val="center"/>
          </w:tcPr>
          <w:p>
            <w:pPr>
              <w:pStyle w:val="13"/>
            </w:pPr>
            <w:r>
              <w:t>召开会议数量占应召开数量比例</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圆满完成会议议程比例</w:t>
            </w:r>
          </w:p>
        </w:tc>
        <w:tc>
          <w:tcPr>
            <w:tcW w:w="5386" w:type="dxa"/>
            <w:vAlign w:val="center"/>
          </w:tcPr>
          <w:p>
            <w:pPr>
              <w:pStyle w:val="13"/>
            </w:pPr>
            <w:r>
              <w:t>圆满完成会议议程比例</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会议按期完成率</w:t>
            </w:r>
          </w:p>
        </w:tc>
        <w:tc>
          <w:tcPr>
            <w:tcW w:w="5386" w:type="dxa"/>
            <w:vAlign w:val="center"/>
          </w:tcPr>
          <w:p>
            <w:pPr>
              <w:pStyle w:val="13"/>
            </w:pPr>
            <w:r>
              <w:t>会议及时召开率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实施成本占预算成本比率</w:t>
            </w:r>
          </w:p>
        </w:tc>
        <w:tc>
          <w:tcPr>
            <w:tcW w:w="5386" w:type="dxa"/>
            <w:vAlign w:val="center"/>
          </w:tcPr>
          <w:p>
            <w:pPr>
              <w:pStyle w:val="13"/>
            </w:pPr>
            <w:r>
              <w:t>实施成本占预算成本比率</w:t>
            </w:r>
          </w:p>
        </w:tc>
        <w:tc>
          <w:tcPr>
            <w:tcW w:w="2268" w:type="dxa"/>
            <w:vAlign w:val="center"/>
          </w:tcPr>
          <w:p>
            <w:pPr>
              <w:pStyle w:val="13"/>
            </w:pPr>
            <w:r>
              <w:t>≤100%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会议精神覆盖率</w:t>
            </w:r>
          </w:p>
        </w:tc>
        <w:tc>
          <w:tcPr>
            <w:tcW w:w="5386" w:type="dxa"/>
            <w:vAlign w:val="center"/>
          </w:tcPr>
          <w:p>
            <w:pPr>
              <w:pStyle w:val="13"/>
            </w:pPr>
            <w:r>
              <w:t>会议精神覆盖率</w:t>
            </w:r>
          </w:p>
        </w:tc>
        <w:tc>
          <w:tcPr>
            <w:tcW w:w="2268" w:type="dxa"/>
            <w:vAlign w:val="center"/>
          </w:tcPr>
          <w:p>
            <w:pPr>
              <w:pStyle w:val="13"/>
            </w:pPr>
            <w:r>
              <w:t>≥90%</w:t>
            </w:r>
          </w:p>
        </w:tc>
        <w:tc>
          <w:tcPr>
            <w:tcW w:w="1276" w:type="dxa"/>
            <w:vAlign w:val="center"/>
          </w:tcPr>
          <w:p>
            <w:pPr>
              <w:pStyle w:val="13"/>
            </w:pPr>
            <w:r>
              <w:t>根据实际工作的需要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满意和较满意的对象占所有对象的比率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w:t>
            </w:r>
          </w:p>
        </w:tc>
        <w:tc>
          <w:tcPr>
            <w:tcW w:w="964" w:type="dxa"/>
            <w:vAlign w:val="center"/>
          </w:tcPr>
          <w:p>
            <w:pPr>
              <w:pStyle w:val="16"/>
            </w:pPr>
            <w:r>
              <w:t>1.00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中国人民政治协商会议河北省晋州市委员会本级小计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w:t>
            </w:r>
          </w:p>
        </w:tc>
        <w:tc>
          <w:tcPr>
            <w:tcW w:w="964" w:type="dxa"/>
            <w:vAlign w:val="center"/>
          </w:tcPr>
          <w:p>
            <w:pPr>
              <w:pStyle w:val="16"/>
            </w:pPr>
            <w:r>
              <w:t>1.00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10.81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w:t>
            </w:r>
          </w:p>
        </w:tc>
        <w:tc>
          <w:tcPr>
            <w:tcW w:w="850" w:type="dxa"/>
            <w:vAlign w:val="center"/>
          </w:tcPr>
          <w:p>
            <w:pPr>
              <w:pStyle w:val="12"/>
            </w:pPr>
            <w:r>
              <w:t>0.25</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中国人民政治协商会议河北省晋州市委员会（含所属单位）上年末固定资产金额为165.59万元（详见下表）。本年度拟购置固定资产总额为0.00万元，已按要求列入政府采购预算，详见政府采购预算表。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131中国人民政治协商会议河北省晋州市委员会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92.46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250</w:t>
            </w:r>
          </w:p>
        </w:tc>
        <w:tc>
          <w:tcPr>
            <w:tcW w:w="2835" w:type="dxa"/>
            <w:vAlign w:val="center"/>
          </w:tcPr>
          <w:p>
            <w:pPr>
              <w:pStyle w:val="12"/>
            </w:pPr>
            <w:r>
              <w:t>73.13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1F8E46"/>
    <w:multiLevelType w:val="singleLevel"/>
    <w:tmpl w:val="3B1F8E4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C4E6B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2026-03-02T08:34:00Z</dcterms:created>
  <dc:creator>Administrator</dc:creator>
  <cp:lastModifiedBy>Administrator</cp:lastModifiedBy>
  <dcterms:modified xsi:type="dcterms:W3CDTF">2026-03-02T02:54:43Z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