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1199.04</w:t>
            </w:r>
          </w:p>
        </w:tc>
        <w:tc>
          <w:tcPr>
            <w:tcW w:w="4535" w:type="dxa"/>
            <w:vAlign w:val="center"/>
          </w:tcPr>
          <w:p>
            <w:pPr>
              <w:pStyle w:val="13"/>
            </w:pPr>
            <w:r>
              <w:t>一、一般公共服务支出</w:t>
            </w:r>
          </w:p>
        </w:tc>
        <w:tc>
          <w:tcPr>
            <w:tcW w:w="2126" w:type="dxa"/>
            <w:vAlign w:val="center"/>
          </w:tcPr>
          <w:p>
            <w:pPr>
              <w:pStyle w:val="12"/>
            </w:pPr>
            <w:r>
              <w:t>1199.04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1199.04</w:t>
            </w:r>
          </w:p>
        </w:tc>
        <w:tc>
          <w:tcPr>
            <w:tcW w:w="4535" w:type="dxa"/>
            <w:vAlign w:val="center"/>
          </w:tcPr>
          <w:p>
            <w:pPr>
              <w:pStyle w:val="15"/>
            </w:pPr>
            <w:r>
              <w:t>本年支出合计</w:t>
            </w:r>
          </w:p>
        </w:tc>
        <w:tc>
          <w:tcPr>
            <w:tcW w:w="2126" w:type="dxa"/>
            <w:vAlign w:val="center"/>
          </w:tcPr>
          <w:p>
            <w:pPr>
              <w:pStyle w:val="16"/>
            </w:pPr>
            <w:r>
              <w:t>1199.04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1199.04</w:t>
            </w:r>
          </w:p>
        </w:tc>
        <w:tc>
          <w:tcPr>
            <w:tcW w:w="4535" w:type="dxa"/>
            <w:vAlign w:val="center"/>
          </w:tcPr>
          <w:p>
            <w:pPr>
              <w:pStyle w:val="15"/>
            </w:pPr>
            <w:r>
              <w:t>支出总计</w:t>
            </w:r>
          </w:p>
        </w:tc>
        <w:tc>
          <w:tcPr>
            <w:tcW w:w="2126" w:type="dxa"/>
            <w:vAlign w:val="center"/>
          </w:tcPr>
          <w:p>
            <w:pPr>
              <w:pStyle w:val="16"/>
            </w:pPr>
            <w:r>
              <w:t>1199.04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1199.04</w:t>
            </w:r>
          </w:p>
        </w:tc>
        <w:tc>
          <w:tcPr>
            <w:tcW w:w="1134" w:type="dxa"/>
            <w:vAlign w:val="center"/>
          </w:tcPr>
          <w:p>
            <w:pPr>
              <w:pStyle w:val="16"/>
            </w:pPr>
            <w:r>
              <w:t>1199.04</w:t>
            </w:r>
          </w:p>
        </w:tc>
        <w:tc>
          <w:tcPr>
            <w:tcW w:w="1134" w:type="dxa"/>
            <w:vAlign w:val="center"/>
          </w:tcPr>
          <w:p>
            <w:pPr>
              <w:pStyle w:val="16"/>
            </w:pPr>
            <w:r>
              <w:t>1199.04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1199.04</w:t>
            </w:r>
          </w:p>
        </w:tc>
        <w:tc>
          <w:tcPr>
            <w:tcW w:w="1134" w:type="dxa"/>
            <w:vAlign w:val="center"/>
          </w:tcPr>
          <w:p>
            <w:pPr>
              <w:pStyle w:val="12"/>
            </w:pPr>
            <w:r>
              <w:t>1199.04</w:t>
            </w:r>
          </w:p>
        </w:tc>
        <w:tc>
          <w:tcPr>
            <w:tcW w:w="1134" w:type="dxa"/>
            <w:vAlign w:val="center"/>
          </w:tcPr>
          <w:p>
            <w:pPr>
              <w:pStyle w:val="12"/>
            </w:pPr>
            <w:r>
              <w:t>1199.04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1199.04</w:t>
            </w:r>
          </w:p>
        </w:tc>
        <w:tc>
          <w:tcPr>
            <w:tcW w:w="1134" w:type="dxa"/>
            <w:vAlign w:val="center"/>
          </w:tcPr>
          <w:p>
            <w:pPr>
              <w:pStyle w:val="12"/>
            </w:pPr>
            <w:r>
              <w:t>1199.04</w:t>
            </w:r>
          </w:p>
        </w:tc>
        <w:tc>
          <w:tcPr>
            <w:tcW w:w="1134" w:type="dxa"/>
            <w:vAlign w:val="center"/>
          </w:tcPr>
          <w:p>
            <w:pPr>
              <w:pStyle w:val="12"/>
            </w:pPr>
            <w:r>
              <w:t>1199.04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780.97</w:t>
            </w:r>
          </w:p>
        </w:tc>
        <w:tc>
          <w:tcPr>
            <w:tcW w:w="1134" w:type="dxa"/>
            <w:vAlign w:val="center"/>
          </w:tcPr>
          <w:p>
            <w:pPr>
              <w:pStyle w:val="12"/>
            </w:pPr>
            <w:r>
              <w:t>780.97</w:t>
            </w:r>
          </w:p>
        </w:tc>
        <w:tc>
          <w:tcPr>
            <w:tcW w:w="1134" w:type="dxa"/>
            <w:vAlign w:val="center"/>
          </w:tcPr>
          <w:p>
            <w:pPr>
              <w:pStyle w:val="12"/>
            </w:pPr>
            <w:r>
              <w:t>780.97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2013102</w:t>
            </w:r>
          </w:p>
        </w:tc>
        <w:tc>
          <w:tcPr>
            <w:tcW w:w="1559" w:type="dxa"/>
            <w:vAlign w:val="center"/>
          </w:tcPr>
          <w:p>
            <w:pPr>
              <w:pStyle w:val="13"/>
            </w:pPr>
            <w:r>
              <w:t>一般行政管理事务</w:t>
            </w:r>
          </w:p>
        </w:tc>
        <w:tc>
          <w:tcPr>
            <w:tcW w:w="1134" w:type="dxa"/>
            <w:vAlign w:val="center"/>
          </w:tcPr>
          <w:p>
            <w:pPr>
              <w:pStyle w:val="12"/>
            </w:pPr>
            <w:r>
              <w:t>185.35</w:t>
            </w:r>
          </w:p>
        </w:tc>
        <w:tc>
          <w:tcPr>
            <w:tcW w:w="1134" w:type="dxa"/>
            <w:vAlign w:val="center"/>
          </w:tcPr>
          <w:p>
            <w:pPr>
              <w:pStyle w:val="12"/>
            </w:pPr>
            <w:r>
              <w:t>185.35</w:t>
            </w:r>
          </w:p>
        </w:tc>
        <w:tc>
          <w:tcPr>
            <w:tcW w:w="1134" w:type="dxa"/>
            <w:vAlign w:val="center"/>
          </w:tcPr>
          <w:p>
            <w:pPr>
              <w:pStyle w:val="12"/>
            </w:pPr>
            <w:r>
              <w:t>185.35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232.72</w:t>
            </w:r>
          </w:p>
        </w:tc>
        <w:tc>
          <w:tcPr>
            <w:tcW w:w="1134" w:type="dxa"/>
            <w:vAlign w:val="center"/>
          </w:tcPr>
          <w:p>
            <w:pPr>
              <w:pStyle w:val="12"/>
            </w:pPr>
            <w:r>
              <w:t>232.72</w:t>
            </w:r>
          </w:p>
        </w:tc>
        <w:tc>
          <w:tcPr>
            <w:tcW w:w="1134" w:type="dxa"/>
            <w:vAlign w:val="center"/>
          </w:tcPr>
          <w:p>
            <w:pPr>
              <w:pStyle w:val="12"/>
            </w:pPr>
            <w:r>
              <w:t>232.72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1199.04</w:t>
            </w:r>
          </w:p>
        </w:tc>
        <w:tc>
          <w:tcPr>
            <w:tcW w:w="1361" w:type="dxa"/>
            <w:vAlign w:val="center"/>
          </w:tcPr>
          <w:p>
            <w:pPr>
              <w:pStyle w:val="16"/>
            </w:pPr>
            <w:r>
              <w:t>780.97</w:t>
            </w:r>
          </w:p>
        </w:tc>
        <w:tc>
          <w:tcPr>
            <w:tcW w:w="1361" w:type="dxa"/>
            <w:vAlign w:val="center"/>
          </w:tcPr>
          <w:p>
            <w:pPr>
              <w:pStyle w:val="16"/>
            </w:pPr>
            <w:r>
              <w:t>418.07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1199.04</w:t>
            </w:r>
          </w:p>
        </w:tc>
        <w:tc>
          <w:tcPr>
            <w:tcW w:w="1361" w:type="dxa"/>
            <w:vAlign w:val="center"/>
          </w:tcPr>
          <w:p>
            <w:pPr>
              <w:pStyle w:val="12"/>
            </w:pPr>
            <w:r>
              <w:t>780.97</w:t>
            </w:r>
          </w:p>
        </w:tc>
        <w:tc>
          <w:tcPr>
            <w:tcW w:w="1361" w:type="dxa"/>
            <w:vAlign w:val="center"/>
          </w:tcPr>
          <w:p>
            <w:pPr>
              <w:pStyle w:val="12"/>
            </w:pPr>
            <w:r>
              <w:t>418.07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1199.04</w:t>
            </w:r>
          </w:p>
        </w:tc>
        <w:tc>
          <w:tcPr>
            <w:tcW w:w="1361" w:type="dxa"/>
            <w:vAlign w:val="center"/>
          </w:tcPr>
          <w:p>
            <w:pPr>
              <w:pStyle w:val="12"/>
            </w:pPr>
            <w:r>
              <w:t>780.97</w:t>
            </w:r>
          </w:p>
        </w:tc>
        <w:tc>
          <w:tcPr>
            <w:tcW w:w="1361" w:type="dxa"/>
            <w:vAlign w:val="center"/>
          </w:tcPr>
          <w:p>
            <w:pPr>
              <w:pStyle w:val="12"/>
            </w:pPr>
            <w:r>
              <w:t>418.07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780.97</w:t>
            </w:r>
          </w:p>
        </w:tc>
        <w:tc>
          <w:tcPr>
            <w:tcW w:w="1361" w:type="dxa"/>
            <w:vAlign w:val="center"/>
          </w:tcPr>
          <w:p>
            <w:pPr>
              <w:pStyle w:val="12"/>
            </w:pPr>
            <w:r>
              <w:t>780.97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185.35</w:t>
            </w:r>
          </w:p>
        </w:tc>
        <w:tc>
          <w:tcPr>
            <w:tcW w:w="1361" w:type="dxa"/>
            <w:vAlign w:val="center"/>
          </w:tcPr>
          <w:p>
            <w:pPr>
              <w:pStyle w:val="12"/>
            </w:pPr>
          </w:p>
        </w:tc>
        <w:tc>
          <w:tcPr>
            <w:tcW w:w="1361" w:type="dxa"/>
            <w:vAlign w:val="center"/>
          </w:tcPr>
          <w:p>
            <w:pPr>
              <w:pStyle w:val="12"/>
            </w:pPr>
            <w:r>
              <w:t>185.35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232.72</w:t>
            </w:r>
          </w:p>
        </w:tc>
        <w:tc>
          <w:tcPr>
            <w:tcW w:w="1361" w:type="dxa"/>
            <w:vAlign w:val="center"/>
          </w:tcPr>
          <w:p>
            <w:pPr>
              <w:pStyle w:val="12"/>
            </w:pPr>
          </w:p>
        </w:tc>
        <w:tc>
          <w:tcPr>
            <w:tcW w:w="1361" w:type="dxa"/>
            <w:vAlign w:val="center"/>
          </w:tcPr>
          <w:p>
            <w:pPr>
              <w:pStyle w:val="12"/>
            </w:pPr>
            <w:r>
              <w:t>232.72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1199.04</w:t>
            </w:r>
          </w:p>
        </w:tc>
        <w:tc>
          <w:tcPr>
            <w:tcW w:w="3402" w:type="dxa"/>
            <w:vAlign w:val="center"/>
          </w:tcPr>
          <w:p>
            <w:pPr>
              <w:pStyle w:val="13"/>
            </w:pPr>
            <w:r>
              <w:t>一、一般公共服务支出</w:t>
            </w:r>
          </w:p>
        </w:tc>
        <w:tc>
          <w:tcPr>
            <w:tcW w:w="1474" w:type="dxa"/>
            <w:vAlign w:val="center"/>
          </w:tcPr>
          <w:p>
            <w:pPr>
              <w:pStyle w:val="12"/>
            </w:pPr>
            <w:r>
              <w:t>1199.04</w:t>
            </w:r>
          </w:p>
        </w:tc>
        <w:tc>
          <w:tcPr>
            <w:tcW w:w="1474" w:type="dxa"/>
            <w:vAlign w:val="center"/>
          </w:tcPr>
          <w:p>
            <w:pPr>
              <w:pStyle w:val="12"/>
            </w:pPr>
            <w:r>
              <w:t>1199.04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1199.04</w:t>
            </w:r>
          </w:p>
        </w:tc>
        <w:tc>
          <w:tcPr>
            <w:tcW w:w="3402" w:type="dxa"/>
            <w:vAlign w:val="center"/>
          </w:tcPr>
          <w:p>
            <w:pPr>
              <w:pStyle w:val="15"/>
            </w:pPr>
            <w:r>
              <w:t>本年支出合计</w:t>
            </w:r>
          </w:p>
        </w:tc>
        <w:tc>
          <w:tcPr>
            <w:tcW w:w="1474" w:type="dxa"/>
            <w:vAlign w:val="center"/>
          </w:tcPr>
          <w:p>
            <w:pPr>
              <w:pStyle w:val="16"/>
            </w:pPr>
            <w:r>
              <w:t>1199.04</w:t>
            </w:r>
          </w:p>
        </w:tc>
        <w:tc>
          <w:tcPr>
            <w:tcW w:w="1474" w:type="dxa"/>
            <w:vAlign w:val="center"/>
          </w:tcPr>
          <w:p>
            <w:pPr>
              <w:pStyle w:val="16"/>
            </w:pPr>
            <w:r>
              <w:t>1199.04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1199.04</w:t>
            </w:r>
          </w:p>
        </w:tc>
        <w:tc>
          <w:tcPr>
            <w:tcW w:w="3402" w:type="dxa"/>
            <w:vAlign w:val="center"/>
          </w:tcPr>
          <w:p>
            <w:pPr>
              <w:pStyle w:val="15"/>
            </w:pPr>
            <w:r>
              <w:t>支出总计</w:t>
            </w:r>
          </w:p>
        </w:tc>
        <w:tc>
          <w:tcPr>
            <w:tcW w:w="1474" w:type="dxa"/>
            <w:vAlign w:val="center"/>
          </w:tcPr>
          <w:p>
            <w:pPr>
              <w:pStyle w:val="16"/>
            </w:pPr>
            <w:r>
              <w:t>1199.04</w:t>
            </w:r>
          </w:p>
        </w:tc>
        <w:tc>
          <w:tcPr>
            <w:tcW w:w="1474" w:type="dxa"/>
            <w:vAlign w:val="center"/>
          </w:tcPr>
          <w:p>
            <w:pPr>
              <w:pStyle w:val="16"/>
            </w:pPr>
            <w:r>
              <w:t>1199.04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1199.04</w:t>
            </w:r>
          </w:p>
        </w:tc>
        <w:tc>
          <w:tcPr>
            <w:tcW w:w="2551" w:type="dxa"/>
            <w:vAlign w:val="center"/>
          </w:tcPr>
          <w:p>
            <w:pPr>
              <w:pStyle w:val="16"/>
            </w:pPr>
            <w:r>
              <w:t>780.97</w:t>
            </w:r>
          </w:p>
        </w:tc>
        <w:tc>
          <w:tcPr>
            <w:tcW w:w="2551" w:type="dxa"/>
            <w:vAlign w:val="center"/>
          </w:tcPr>
          <w:p>
            <w:pPr>
              <w:pStyle w:val="16"/>
            </w:pPr>
            <w:r>
              <w:t>418.07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1199.04</w:t>
            </w:r>
          </w:p>
        </w:tc>
        <w:tc>
          <w:tcPr>
            <w:tcW w:w="2551" w:type="dxa"/>
            <w:vAlign w:val="center"/>
          </w:tcPr>
          <w:p>
            <w:pPr>
              <w:pStyle w:val="12"/>
            </w:pPr>
            <w:r>
              <w:t>780.97</w:t>
            </w:r>
          </w:p>
        </w:tc>
        <w:tc>
          <w:tcPr>
            <w:tcW w:w="2551" w:type="dxa"/>
            <w:vAlign w:val="center"/>
          </w:tcPr>
          <w:p>
            <w:pPr>
              <w:pStyle w:val="12"/>
            </w:pPr>
            <w:r>
              <w:t>418.07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1199.04</w:t>
            </w:r>
          </w:p>
        </w:tc>
        <w:tc>
          <w:tcPr>
            <w:tcW w:w="2551" w:type="dxa"/>
            <w:vAlign w:val="center"/>
          </w:tcPr>
          <w:p>
            <w:pPr>
              <w:pStyle w:val="12"/>
            </w:pPr>
            <w:r>
              <w:t>780.97</w:t>
            </w:r>
          </w:p>
        </w:tc>
        <w:tc>
          <w:tcPr>
            <w:tcW w:w="2551" w:type="dxa"/>
            <w:vAlign w:val="center"/>
          </w:tcPr>
          <w:p>
            <w:pPr>
              <w:pStyle w:val="12"/>
            </w:pPr>
            <w:r>
              <w:t>418.07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780.97</w:t>
            </w:r>
          </w:p>
        </w:tc>
        <w:tc>
          <w:tcPr>
            <w:tcW w:w="2551" w:type="dxa"/>
            <w:vAlign w:val="center"/>
          </w:tcPr>
          <w:p>
            <w:pPr>
              <w:pStyle w:val="12"/>
            </w:pPr>
            <w:r>
              <w:t>780.97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185.35</w:t>
            </w:r>
          </w:p>
        </w:tc>
        <w:tc>
          <w:tcPr>
            <w:tcW w:w="2551" w:type="dxa"/>
            <w:vAlign w:val="center"/>
          </w:tcPr>
          <w:p>
            <w:pPr>
              <w:pStyle w:val="12"/>
            </w:pPr>
          </w:p>
        </w:tc>
        <w:tc>
          <w:tcPr>
            <w:tcW w:w="2551" w:type="dxa"/>
            <w:vAlign w:val="center"/>
          </w:tcPr>
          <w:p>
            <w:pPr>
              <w:pStyle w:val="12"/>
            </w:pPr>
            <w:r>
              <w:t>185.35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232.72</w:t>
            </w:r>
          </w:p>
        </w:tc>
        <w:tc>
          <w:tcPr>
            <w:tcW w:w="2551" w:type="dxa"/>
            <w:vAlign w:val="center"/>
          </w:tcPr>
          <w:p>
            <w:pPr>
              <w:pStyle w:val="12"/>
            </w:pPr>
          </w:p>
        </w:tc>
        <w:tc>
          <w:tcPr>
            <w:tcW w:w="2551" w:type="dxa"/>
            <w:vAlign w:val="center"/>
          </w:tcPr>
          <w:p>
            <w:pPr>
              <w:pStyle w:val="12"/>
            </w:pPr>
            <w:r>
              <w:t>232.72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780.97</w:t>
            </w:r>
          </w:p>
        </w:tc>
        <w:tc>
          <w:tcPr>
            <w:tcW w:w="2551" w:type="dxa"/>
            <w:vAlign w:val="center"/>
          </w:tcPr>
          <w:p>
            <w:pPr>
              <w:pStyle w:val="16"/>
            </w:pPr>
            <w:r>
              <w:t>672.41</w:t>
            </w:r>
          </w:p>
        </w:tc>
        <w:tc>
          <w:tcPr>
            <w:tcW w:w="2551" w:type="dxa"/>
            <w:vAlign w:val="center"/>
          </w:tcPr>
          <w:p>
            <w:pPr>
              <w:pStyle w:val="16"/>
            </w:pPr>
            <w:r>
              <w:t>108.56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614.71</w:t>
            </w:r>
          </w:p>
        </w:tc>
        <w:tc>
          <w:tcPr>
            <w:tcW w:w="2551" w:type="dxa"/>
            <w:vAlign w:val="center"/>
          </w:tcPr>
          <w:p>
            <w:pPr>
              <w:pStyle w:val="12"/>
            </w:pPr>
            <w:r>
              <w:t>614.71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228.43</w:t>
            </w:r>
          </w:p>
        </w:tc>
        <w:tc>
          <w:tcPr>
            <w:tcW w:w="2551" w:type="dxa"/>
            <w:vAlign w:val="center"/>
          </w:tcPr>
          <w:p>
            <w:pPr>
              <w:pStyle w:val="12"/>
            </w:pPr>
            <w:r>
              <w:t>228.43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106.85</w:t>
            </w:r>
          </w:p>
        </w:tc>
        <w:tc>
          <w:tcPr>
            <w:tcW w:w="2551" w:type="dxa"/>
            <w:vAlign w:val="center"/>
          </w:tcPr>
          <w:p>
            <w:pPr>
              <w:pStyle w:val="12"/>
            </w:pPr>
            <w:r>
              <w:t>106.85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92.64</w:t>
            </w:r>
          </w:p>
        </w:tc>
        <w:tc>
          <w:tcPr>
            <w:tcW w:w="2551" w:type="dxa"/>
            <w:vAlign w:val="center"/>
          </w:tcPr>
          <w:p>
            <w:pPr>
              <w:pStyle w:val="12"/>
            </w:pPr>
            <w:r>
              <w:t>92.64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26.44</w:t>
            </w:r>
          </w:p>
        </w:tc>
        <w:tc>
          <w:tcPr>
            <w:tcW w:w="2551" w:type="dxa"/>
            <w:vAlign w:val="center"/>
          </w:tcPr>
          <w:p>
            <w:pPr>
              <w:pStyle w:val="12"/>
            </w:pPr>
            <w:r>
              <w:t>26.44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63.38</w:t>
            </w:r>
          </w:p>
        </w:tc>
        <w:tc>
          <w:tcPr>
            <w:tcW w:w="2551" w:type="dxa"/>
            <w:vAlign w:val="center"/>
          </w:tcPr>
          <w:p>
            <w:pPr>
              <w:pStyle w:val="12"/>
            </w:pPr>
            <w:r>
              <w:t>63.38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26.49</w:t>
            </w:r>
          </w:p>
        </w:tc>
        <w:tc>
          <w:tcPr>
            <w:tcW w:w="2551" w:type="dxa"/>
            <w:vAlign w:val="center"/>
          </w:tcPr>
          <w:p>
            <w:pPr>
              <w:pStyle w:val="12"/>
            </w:pPr>
            <w:r>
              <w:t>26.49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13.46</w:t>
            </w:r>
          </w:p>
        </w:tc>
        <w:tc>
          <w:tcPr>
            <w:tcW w:w="2551" w:type="dxa"/>
            <w:vAlign w:val="center"/>
          </w:tcPr>
          <w:p>
            <w:pPr>
              <w:pStyle w:val="12"/>
            </w:pPr>
            <w:r>
              <w:t>13.46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2.39</w:t>
            </w:r>
          </w:p>
        </w:tc>
        <w:tc>
          <w:tcPr>
            <w:tcW w:w="2551" w:type="dxa"/>
            <w:vAlign w:val="center"/>
          </w:tcPr>
          <w:p>
            <w:pPr>
              <w:pStyle w:val="12"/>
            </w:pPr>
            <w:r>
              <w:t>2.39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51.27</w:t>
            </w:r>
          </w:p>
        </w:tc>
        <w:tc>
          <w:tcPr>
            <w:tcW w:w="2551" w:type="dxa"/>
            <w:vAlign w:val="center"/>
          </w:tcPr>
          <w:p>
            <w:pPr>
              <w:pStyle w:val="12"/>
            </w:pPr>
            <w:r>
              <w:t>51.27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3.36</w:t>
            </w:r>
          </w:p>
        </w:tc>
        <w:tc>
          <w:tcPr>
            <w:tcW w:w="2551" w:type="dxa"/>
            <w:vAlign w:val="center"/>
          </w:tcPr>
          <w:p>
            <w:pPr>
              <w:pStyle w:val="12"/>
            </w:pPr>
            <w:r>
              <w:t>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108.56</w:t>
            </w:r>
          </w:p>
        </w:tc>
        <w:tc>
          <w:tcPr>
            <w:tcW w:w="2551" w:type="dxa"/>
            <w:vAlign w:val="center"/>
          </w:tcPr>
          <w:p>
            <w:pPr>
              <w:pStyle w:val="12"/>
            </w:pPr>
          </w:p>
        </w:tc>
        <w:tc>
          <w:tcPr>
            <w:tcW w:w="2551" w:type="dxa"/>
            <w:vAlign w:val="center"/>
          </w:tcPr>
          <w:p>
            <w:pPr>
              <w:pStyle w:val="12"/>
            </w:pPr>
            <w:r>
              <w:t>108.56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11.64</w:t>
            </w:r>
          </w:p>
        </w:tc>
        <w:tc>
          <w:tcPr>
            <w:tcW w:w="2551" w:type="dxa"/>
            <w:vAlign w:val="center"/>
          </w:tcPr>
          <w:p>
            <w:pPr>
              <w:pStyle w:val="12"/>
            </w:pPr>
          </w:p>
        </w:tc>
        <w:tc>
          <w:tcPr>
            <w:tcW w:w="2551" w:type="dxa"/>
            <w:vAlign w:val="center"/>
          </w:tcPr>
          <w:p>
            <w:pPr>
              <w:pStyle w:val="12"/>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22.65</w:t>
            </w:r>
          </w:p>
        </w:tc>
        <w:tc>
          <w:tcPr>
            <w:tcW w:w="2551" w:type="dxa"/>
            <w:vAlign w:val="center"/>
          </w:tcPr>
          <w:p>
            <w:pPr>
              <w:pStyle w:val="12"/>
            </w:pPr>
          </w:p>
        </w:tc>
        <w:tc>
          <w:tcPr>
            <w:tcW w:w="2551" w:type="dxa"/>
            <w:vAlign w:val="center"/>
          </w:tcPr>
          <w:p>
            <w:pPr>
              <w:pStyle w:val="12"/>
            </w:pPr>
            <w:r>
              <w:t>22.65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4.79</w:t>
            </w:r>
          </w:p>
        </w:tc>
        <w:tc>
          <w:tcPr>
            <w:tcW w:w="2551" w:type="dxa"/>
            <w:vAlign w:val="center"/>
          </w:tcPr>
          <w:p>
            <w:pPr>
              <w:pStyle w:val="12"/>
            </w:pPr>
          </w:p>
        </w:tc>
        <w:tc>
          <w:tcPr>
            <w:tcW w:w="2551" w:type="dxa"/>
            <w:vAlign w:val="center"/>
          </w:tcPr>
          <w:p>
            <w:pPr>
              <w:pStyle w:val="12"/>
            </w:pPr>
            <w:r>
              <w:t>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23.28</w:t>
            </w:r>
          </w:p>
        </w:tc>
        <w:tc>
          <w:tcPr>
            <w:tcW w:w="2551" w:type="dxa"/>
            <w:vAlign w:val="center"/>
          </w:tcPr>
          <w:p>
            <w:pPr>
              <w:pStyle w:val="12"/>
            </w:pPr>
          </w:p>
        </w:tc>
        <w:tc>
          <w:tcPr>
            <w:tcW w:w="2551" w:type="dxa"/>
            <w:vAlign w:val="center"/>
          </w:tcPr>
          <w:p>
            <w:pPr>
              <w:pStyle w:val="12"/>
            </w:pPr>
            <w:r>
              <w:t>23.28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28.61</w:t>
            </w:r>
          </w:p>
        </w:tc>
        <w:tc>
          <w:tcPr>
            <w:tcW w:w="2551" w:type="dxa"/>
            <w:vAlign w:val="center"/>
          </w:tcPr>
          <w:p>
            <w:pPr>
              <w:pStyle w:val="12"/>
            </w:pPr>
          </w:p>
        </w:tc>
        <w:tc>
          <w:tcPr>
            <w:tcW w:w="2551" w:type="dxa"/>
            <w:vAlign w:val="center"/>
          </w:tcPr>
          <w:p>
            <w:pPr>
              <w:pStyle w:val="12"/>
            </w:pPr>
            <w:r>
              <w:t>28.61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11.84</w:t>
            </w:r>
          </w:p>
        </w:tc>
        <w:tc>
          <w:tcPr>
            <w:tcW w:w="2551" w:type="dxa"/>
            <w:vAlign w:val="center"/>
          </w:tcPr>
          <w:p>
            <w:pPr>
              <w:pStyle w:val="12"/>
            </w:pPr>
          </w:p>
        </w:tc>
        <w:tc>
          <w:tcPr>
            <w:tcW w:w="2551" w:type="dxa"/>
            <w:vAlign w:val="center"/>
          </w:tcPr>
          <w:p>
            <w:pPr>
              <w:pStyle w:val="12"/>
            </w:pPr>
            <w:r>
              <w:t>11.84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57.70</w:t>
            </w:r>
          </w:p>
        </w:tc>
        <w:tc>
          <w:tcPr>
            <w:tcW w:w="2551" w:type="dxa"/>
            <w:vAlign w:val="center"/>
          </w:tcPr>
          <w:p>
            <w:pPr>
              <w:pStyle w:val="12"/>
            </w:pPr>
            <w:r>
              <w:t>57.70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56.64</w:t>
            </w:r>
          </w:p>
        </w:tc>
        <w:tc>
          <w:tcPr>
            <w:tcW w:w="2551" w:type="dxa"/>
            <w:vAlign w:val="center"/>
          </w:tcPr>
          <w:p>
            <w:pPr>
              <w:pStyle w:val="12"/>
            </w:pPr>
            <w:r>
              <w:t>56.64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23.28</w:t>
            </w:r>
          </w:p>
        </w:tc>
        <w:tc>
          <w:tcPr>
            <w:tcW w:w="2381" w:type="dxa"/>
            <w:vAlign w:val="center"/>
          </w:tcPr>
          <w:p>
            <w:pPr>
              <w:pStyle w:val="16"/>
            </w:pPr>
            <w:r>
              <w:t>23.28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23.28</w:t>
            </w:r>
          </w:p>
        </w:tc>
        <w:tc>
          <w:tcPr>
            <w:tcW w:w="2381" w:type="dxa"/>
            <w:vAlign w:val="center"/>
          </w:tcPr>
          <w:p>
            <w:pPr>
              <w:pStyle w:val="12"/>
            </w:pPr>
            <w:r>
              <w:t>23.28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23.28</w:t>
            </w:r>
          </w:p>
        </w:tc>
        <w:tc>
          <w:tcPr>
            <w:tcW w:w="2381" w:type="dxa"/>
            <w:vAlign w:val="center"/>
          </w:tcPr>
          <w:p>
            <w:pPr>
              <w:pStyle w:val="12"/>
            </w:pPr>
            <w:r>
              <w:t>23.28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（一）负责党中央、省委、石家庄市委和晋州市委决策部署的落实，按照市委要求协调有关工作，承担市委运行保障具体事务。</w:t>
      </w:r>
    </w:p>
    <w:p>
      <w:pPr>
        <w:pStyle w:val="18"/>
      </w:pPr>
      <w:r>
        <w:t>（二）负责市委和市委办公室文件、市委领导讲话稿的起草、修改等工作。</w:t>
      </w:r>
    </w:p>
    <w:p>
      <w:pPr>
        <w:pStyle w:val="18"/>
      </w:pPr>
      <w:r>
        <w:t>（三）负责党中央、省委、石家庄市委和晋州市委决策部署贯彻落实的督促检查，领导批示和交办事项的催办反馈，市委统一部署的重大专项活动的推进落实。</w:t>
      </w:r>
    </w:p>
    <w:p>
      <w:pPr>
        <w:pStyle w:val="18"/>
      </w:pPr>
      <w:r>
        <w:t>（四）围绕党中央、省委、石家庄市委和晋州市委总体工作部署开展调查研究，收集和处理信息、反映动态；负责社情民意的搜集、整理和编报工作。</w:t>
      </w:r>
    </w:p>
    <w:p>
      <w:pPr>
        <w:pStyle w:val="18"/>
      </w:pPr>
      <w:r>
        <w:t>（五）负责市委全会、市委常委会和市委其他重要会议的会务工作；负责市委领导参加重大活动和日常工作活动的组织安排；承担市委值班工作；负责编写市委大事记。</w:t>
      </w:r>
    </w:p>
    <w:p>
      <w:pPr>
        <w:pStyle w:val="18"/>
      </w:pPr>
      <w:r>
        <w:t>（六）承担市委履行全面从严治党主体责任相关工作的谋划、部署、督导、推动和落实；负责统筹协调和督促指导全市党务公开工作。</w:t>
      </w:r>
    </w:p>
    <w:p>
      <w:pPr>
        <w:pStyle w:val="18"/>
      </w:pPr>
      <w:r>
        <w:t>（七）负责市委日常文书处理；负责市委文件和市委办公室代市委行文的审核工作；负责市委制定规范性文件的服务工作。</w:t>
      </w:r>
    </w:p>
    <w:p>
      <w:pPr>
        <w:pStyle w:val="18"/>
      </w:pPr>
      <w:r>
        <w:t>（八）负责石家庄市委、石家庄市政府和晋州市党政军领导机关及要害部门核心机密的传递工作。</w:t>
      </w:r>
    </w:p>
    <w:p>
      <w:pPr>
        <w:pStyle w:val="18"/>
      </w:pPr>
      <w:r>
        <w:t>（九）负责围绕市委中心工作，组织力量对经济建设、政治建设、文化建设、社会建设、生态文明建设和党的建设等方面的重大问题进行调查研究，提出相应对策，供市委决策参考。</w:t>
      </w:r>
    </w:p>
    <w:p>
      <w:pPr>
        <w:pStyle w:val="18"/>
      </w:pPr>
      <w:r>
        <w:t>（十）负责组织开展全市全面深化改革重大问题的调查研究，督促、推动各乡镇（开发区）、市直各部门落实市委全面深化改革委员会决定事项、工作部署。承担市委全面深化改革委员会日常工作。</w:t>
      </w:r>
    </w:p>
    <w:p>
      <w:pPr>
        <w:pStyle w:val="18"/>
      </w:pPr>
      <w:r>
        <w:t>（十一）负责全市党政机关及经济、科学等领域保密管理，通信和计算机网络的保密管理，全市核心密码、普通密码的装备、使用和管理工作；负责失泄密事件的查处工作；负责全市保密机要干部教育培训工作；负责全市电子政务内网、党委系统信息化等建设和管理工作；负责全市密码通信网络的管理工作；负责全市党政专用通信网的管理、维护工作；承担市委保密委员会和市密码工作领导小组的日常工作。</w:t>
      </w:r>
    </w:p>
    <w:p>
      <w:pPr>
        <w:pStyle w:val="18"/>
      </w:pPr>
      <w:r>
        <w:t>（十二）贯彻落实党中央、省、石家庄市和晋州市委关于国家安全工作的各项决策部署，负责研究提出市委国家安全委员会重点工作安排，收集汇总、整理分析并上报涉及国家安全的情报信息，指导协调有关方面开展国家安全风险排查，组织全市国家安全工作督查检查、考评考核工作。</w:t>
      </w:r>
    </w:p>
    <w:p>
      <w:pPr>
        <w:pStyle w:val="18"/>
      </w:pPr>
      <w:r>
        <w:t>（十三）负责全市档案事业宏观管理和执法复议、监督指导等工作。</w:t>
      </w:r>
    </w:p>
    <w:p>
      <w:pPr>
        <w:pStyle w:val="18"/>
      </w:pPr>
      <w:r>
        <w:t>（十四）负责组织指导、督查检查全市地方志工作。</w:t>
      </w:r>
    </w:p>
    <w:p>
      <w:pPr>
        <w:pStyle w:val="18"/>
      </w:pPr>
      <w:r>
        <w:t>（十五）负责市委机关行政后勤、安全保卫和市委办公室财务管理工作。</w:t>
      </w:r>
    </w:p>
    <w:p>
      <w:pPr>
        <w:pStyle w:val="18"/>
      </w:pPr>
      <w:r>
        <w:t>（十六）完成市委交办的其他任务。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按照预算管理有关规定，目前部门预算的编制实行综合预算管理，即全部收入和支出都反映在预算中。中国共产党晋州市委员会办公室机关及所属事业单位的收支包含在部门预算中。</w:t>
      </w:r>
    </w:p>
    <w:p>
      <w:pPr>
        <w:pStyle w:val="19"/>
      </w:pPr>
      <w:r>
        <w:t>1、收入说明</w:t>
      </w:r>
    </w:p>
    <w:p>
      <w:pPr>
        <w:pStyle w:val="19"/>
      </w:pPr>
      <w:r>
        <w:t>反映本部门当年全部收入。2026年预算收入1199.04万元，其中：一般公共预算收入1199.04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委员会办公室年度部门预算中支出预算的总体情况。2026年支出预算1199.04万元，其中基本支出780.97万元，包括人员经费672.41万元和日常公用经费108.56万元；项目支出418.07万元，主要为党政专用电视会议系统、机要密码通信和管理能力现代化提升、密码通讯网络和电子政务内网运行维护费、值班室会议室公文运转保障费等保障市委工作运转的项目支出；预计下年使用的单位资金结余0.00万元。委托业务费共计安排57.23万元，主要用于因技术原因确需对外委托的辅助性工作和确有必要对外委托开展咨询、评审、规划等工作。</w:t>
      </w:r>
    </w:p>
    <w:p>
      <w:pPr>
        <w:pStyle w:val="19"/>
      </w:pPr>
      <w:r>
        <w:t>3、比上年增减情况</w:t>
      </w:r>
    </w:p>
    <w:p>
      <w:pPr>
        <w:pStyle w:val="19"/>
      </w:pPr>
      <w:r>
        <w:t>2026年预算收支安排1199.04万元，较2025年预算增加0.07万元，其中：基本支出增加0.24万元，主要为年度工资调整导致人员经费增加。项目支出减少0.17万元，主要为劳务派遣人员经费及会议费变化导致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2026年，我部门机关运行经费共计安排108.56万元，主要用于日常维修、办公用房水电费、办公用房取暖费、办公用房物业管理费等日常运行支出。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23.28万元，其中因公出国（境）费0.00万元；公务用车购置及运维费23.28万元（其中：公务用车购置费为0.00万元，公务用车运维费23.28万元)；公务接待费0.00万元。与2025年相比减少1.53万元，增减变化的主要原因是厉行节俭，减少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认真贯彻落实党中央和省、市委有关决策部署，努力适应新形势新任务的要求，坚持以“让领导满意、让基层满意、让群众满意”为工作宗旨，紧紧围绕市委中心工作，统筹协调、狠抓落实，不断提高“三服务”水平，当好市委参谋部和后勤部，为我市经济发展、社会进步作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（一）按照“服务中心、服务决策，突出重点，追求质量”的要求，强化服务、主动作为，扎实做好服务工作。</w:t>
      </w:r>
    </w:p>
    <w:p>
      <w:pPr>
        <w:pStyle w:val="23"/>
      </w:pPr>
      <w:r>
        <w:t>绩效目标：以高度认真负责态度，做好公文规范审核、值班应急值守及会务服务工作。</w:t>
      </w:r>
    </w:p>
    <w:p>
      <w:pPr>
        <w:pStyle w:val="23"/>
      </w:pPr>
      <w:r>
        <w:t>绩效指标：进一步做好党内法规工作，保障市委公文规范、高效运转；做好值班室建设提升，强化突发事件审核报送机制，规范值班运转；保障各类会议正常运行，做好会议室防疫、消毒，窗帘、背巾、台布、会议室保洁，会议室桌椅、门窗维修及其他办公用品保障工作。保障市委日常工作正常运转率≥98%。</w:t>
      </w:r>
    </w:p>
    <w:p>
      <w:pPr>
        <w:pStyle w:val="23"/>
      </w:pPr>
      <w:r>
        <w:t>（二）认真做好有关工作，为领导决策提供依据，保障落实到位，切实发挥好参谋助手作用。</w:t>
      </w:r>
    </w:p>
    <w:p>
      <w:pPr>
        <w:pStyle w:val="23"/>
      </w:pPr>
      <w:r>
        <w:t>绩效目标：提供车辆、专用设备、人员及经费保障，切实做好信息、督查、保密及日常性工作。</w:t>
      </w:r>
    </w:p>
    <w:p>
      <w:pPr>
        <w:pStyle w:val="23"/>
      </w:pPr>
      <w:r>
        <w:t>绩效指标：积极开展信息收集、整理、上报工作，主动应对网络舆情，保障信息工作正常开展；及时开展督导检查，保障交办任务顺利完成；全力做好保密工作；保障日常工作正常开展。结论采用率≥90%。</w:t>
      </w:r>
    </w:p>
    <w:p>
      <w:pPr>
        <w:pStyle w:val="23"/>
      </w:pPr>
      <w:r>
        <w:t>（三）提升密码通信工作水平，全方位保障密码通信服务工作，确保机要安全无差错。</w:t>
      </w:r>
    </w:p>
    <w:p>
      <w:pPr>
        <w:pStyle w:val="23"/>
      </w:pPr>
      <w:r>
        <w:t>绩效目标：保障密码通信绝对安全、绝对畅通，切实提高应急通信能力，保障机要工作顺利开展。</w:t>
      </w:r>
    </w:p>
    <w:p>
      <w:pPr>
        <w:pStyle w:val="23"/>
      </w:pPr>
      <w:r>
        <w:t>绩效指标：做好密码设备更新及内网建设（升级）、维护工作；做好我市电子政务内网建设工程的组织实施工作，满足我市党政部门对内网业务运行的实际需求；圆满完成应急通讯演练任务，切实提高应急通信能力。密码通信安全运转率100%。</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一是坚持民主集中制。建设团结和谐的领导班子，在班子内部认真执行民主集中制，充分发扬民主，做到集体领导，分工协作。大事讲原则，小事讲风格，成绩共享，责任共担。加强与干部群众的交流和沟通，营造宽松、舒畅、和谐的工作环境。二是明确岗位职责。对各个科室、各个岗位的职责任务、目标要求进行量化分解，责任到人，切实做到平时分工明确，任务具体，各尽其职，各负其责；忙时有人牵头，相互协作，重点突破，使办公室各项工作既有分工，又有协作，始终保持高效快速有序运转。三是规范工作程序。对会务、行文、调研、机要、保密等各项工作程序作了详细的规定，避免工作的随意性和盲目性，减少了工作纰漏。四是健全规章制度。出台理论学习、文件传阅、政务值班、财务管理等工作制度，有效避免以往办事凭经验、工作无章法的状况。</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1、办公场所维护费绩效目标表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13018326P00032810240C</w:t>
            </w:r>
          </w:p>
        </w:tc>
        <w:tc>
          <w:tcPr>
            <w:tcW w:w="2835" w:type="dxa"/>
            <w:vAlign w:val="center"/>
          </w:tcPr>
          <w:p>
            <w:pPr>
              <w:pStyle w:val="11"/>
            </w:pPr>
            <w:r>
              <w:t>项目名称</w:t>
            </w:r>
          </w:p>
        </w:tc>
        <w:tc>
          <w:tcPr>
            <w:tcW w:w="6095" w:type="dxa"/>
            <w:gridSpan w:val="3"/>
            <w:vAlign w:val="center"/>
          </w:tcPr>
          <w:p>
            <w:pPr>
              <w:pStyle w:val="13"/>
            </w:pPr>
            <w:r>
              <w:t>办公场所维护费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用于机关大院和办公楼的维修维护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1.完成机关大院和办公楼的维修维护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维修数量比例</w:t>
            </w:r>
          </w:p>
        </w:tc>
        <w:tc>
          <w:tcPr>
            <w:tcW w:w="5386" w:type="dxa"/>
            <w:vAlign w:val="center"/>
          </w:tcPr>
          <w:p>
            <w:pPr>
              <w:pStyle w:val="13"/>
            </w:pPr>
            <w:r>
              <w:t>实际维修数量占应维修数量比例</w:t>
            </w:r>
          </w:p>
        </w:tc>
        <w:tc>
          <w:tcPr>
            <w:tcW w:w="2268" w:type="dxa"/>
            <w:vAlign w:val="center"/>
          </w:tcPr>
          <w:p>
            <w:pPr>
              <w:pStyle w:val="13"/>
            </w:pPr>
            <w:r>
              <w:t>≥98%</w:t>
            </w:r>
          </w:p>
        </w:tc>
        <w:tc>
          <w:tcPr>
            <w:tcW w:w="1276" w:type="dxa"/>
            <w:vAlign w:val="center"/>
          </w:tcPr>
          <w:p>
            <w:pPr>
              <w:pStyle w:val="13"/>
            </w:pPr>
            <w:r>
              <w:t>根据《关于市委办公场所维护费的请示》领导批示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维修质量达标率</w:t>
            </w:r>
          </w:p>
        </w:tc>
        <w:tc>
          <w:tcPr>
            <w:tcW w:w="5386" w:type="dxa"/>
            <w:vAlign w:val="center"/>
          </w:tcPr>
          <w:p>
            <w:pPr>
              <w:pStyle w:val="13"/>
            </w:pPr>
            <w:r>
              <w:t>维修质量达标所占比例</w:t>
            </w:r>
          </w:p>
        </w:tc>
        <w:tc>
          <w:tcPr>
            <w:tcW w:w="2268" w:type="dxa"/>
            <w:vAlign w:val="center"/>
          </w:tcPr>
          <w:p>
            <w:pPr>
              <w:pStyle w:val="13"/>
            </w:pPr>
            <w:r>
              <w:t>≥98%</w:t>
            </w:r>
          </w:p>
        </w:tc>
        <w:tc>
          <w:tcPr>
            <w:tcW w:w="1276" w:type="dxa"/>
            <w:vAlign w:val="center"/>
          </w:tcPr>
          <w:p>
            <w:pPr>
              <w:pStyle w:val="13"/>
            </w:pPr>
            <w:r>
              <w:t>根据《关于市委办公场所维护费的请示》领导批示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及时维修率</w:t>
            </w:r>
          </w:p>
        </w:tc>
        <w:tc>
          <w:tcPr>
            <w:tcW w:w="5386" w:type="dxa"/>
            <w:vAlign w:val="center"/>
          </w:tcPr>
          <w:p>
            <w:pPr>
              <w:pStyle w:val="13"/>
            </w:pPr>
            <w:r>
              <w:t>需维修部位得到及时维修所占比例</w:t>
            </w:r>
          </w:p>
        </w:tc>
        <w:tc>
          <w:tcPr>
            <w:tcW w:w="2268" w:type="dxa"/>
            <w:vAlign w:val="center"/>
          </w:tcPr>
          <w:p>
            <w:pPr>
              <w:pStyle w:val="13"/>
            </w:pPr>
            <w:r>
              <w:t>≥98%</w:t>
            </w:r>
          </w:p>
        </w:tc>
        <w:tc>
          <w:tcPr>
            <w:tcW w:w="1276" w:type="dxa"/>
            <w:vAlign w:val="center"/>
          </w:tcPr>
          <w:p>
            <w:pPr>
              <w:pStyle w:val="13"/>
            </w:pPr>
            <w:r>
              <w:t>根据《关于市委办公场所维护费的请示》领导批示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w:t>
            </w:r>
          </w:p>
        </w:tc>
        <w:tc>
          <w:tcPr>
            <w:tcW w:w="5386" w:type="dxa"/>
            <w:vAlign w:val="center"/>
          </w:tcPr>
          <w:p>
            <w:pPr>
              <w:pStyle w:val="13"/>
            </w:pPr>
            <w:r>
              <w:t>实施成本金额</w:t>
            </w:r>
          </w:p>
        </w:tc>
        <w:tc>
          <w:tcPr>
            <w:tcW w:w="2268" w:type="dxa"/>
            <w:vAlign w:val="center"/>
          </w:tcPr>
          <w:p>
            <w:pPr>
              <w:pStyle w:val="13"/>
            </w:pPr>
            <w:r>
              <w:t>5万元</w:t>
            </w:r>
          </w:p>
        </w:tc>
        <w:tc>
          <w:tcPr>
            <w:tcW w:w="1276" w:type="dxa"/>
            <w:vAlign w:val="center"/>
          </w:tcPr>
          <w:p>
            <w:pPr>
              <w:pStyle w:val="13"/>
            </w:pPr>
            <w:r>
              <w:t>根据《关于市委办公场所维护费的请示》领导批示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维修成果维持时长</w:t>
            </w:r>
          </w:p>
        </w:tc>
        <w:tc>
          <w:tcPr>
            <w:tcW w:w="5386" w:type="dxa"/>
            <w:vAlign w:val="center"/>
          </w:tcPr>
          <w:p>
            <w:pPr>
              <w:pStyle w:val="13"/>
            </w:pPr>
            <w:r>
              <w:t>维修成果维持时长</w:t>
            </w:r>
          </w:p>
        </w:tc>
        <w:tc>
          <w:tcPr>
            <w:tcW w:w="2268" w:type="dxa"/>
            <w:vAlign w:val="center"/>
          </w:tcPr>
          <w:p>
            <w:pPr>
              <w:pStyle w:val="13"/>
            </w:pPr>
            <w:r>
              <w:t>≥1年</w:t>
            </w:r>
          </w:p>
        </w:tc>
        <w:tc>
          <w:tcPr>
            <w:tcW w:w="1276" w:type="dxa"/>
            <w:vAlign w:val="center"/>
          </w:tcPr>
          <w:p>
            <w:pPr>
              <w:pStyle w:val="13"/>
            </w:pPr>
            <w:r>
              <w:t>根据《关于市委办公场所维护费的请示》领导批示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2、保密工作经费绩效目标表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13018326P00032810245E</w:t>
            </w:r>
          </w:p>
        </w:tc>
        <w:tc>
          <w:tcPr>
            <w:tcW w:w="2835" w:type="dxa"/>
            <w:vAlign w:val="center"/>
          </w:tcPr>
          <w:p>
            <w:pPr>
              <w:pStyle w:val="11"/>
            </w:pPr>
            <w:r>
              <w:t>项目名称</w:t>
            </w:r>
          </w:p>
        </w:tc>
        <w:tc>
          <w:tcPr>
            <w:tcW w:w="6095" w:type="dxa"/>
            <w:gridSpan w:val="3"/>
            <w:vAlign w:val="center"/>
          </w:tcPr>
          <w:p>
            <w:pPr>
              <w:pStyle w:val="13"/>
            </w:pPr>
            <w:r>
              <w:t>保密工作经费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用于完善保密制度机制，加强保密宣传等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1.健全和完善党管保密的制度机制，加强保密法制、保密宣传工作。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数量完成率</w:t>
            </w:r>
          </w:p>
        </w:tc>
        <w:tc>
          <w:tcPr>
            <w:tcW w:w="5386" w:type="dxa"/>
            <w:vAlign w:val="center"/>
          </w:tcPr>
          <w:p>
            <w:pPr>
              <w:pStyle w:val="13"/>
            </w:pPr>
            <w:r>
              <w:t>保密工作任务数量完成比例</w:t>
            </w:r>
          </w:p>
        </w:tc>
        <w:tc>
          <w:tcPr>
            <w:tcW w:w="2268" w:type="dxa"/>
            <w:vAlign w:val="center"/>
          </w:tcPr>
          <w:p>
            <w:pPr>
              <w:pStyle w:val="13"/>
            </w:pPr>
            <w:r>
              <w:t>≥98%</w:t>
            </w:r>
          </w:p>
        </w:tc>
        <w:tc>
          <w:tcPr>
            <w:tcW w:w="1276" w:type="dxa"/>
            <w:vAlign w:val="center"/>
          </w:tcPr>
          <w:p>
            <w:pPr>
              <w:pStyle w:val="13"/>
            </w:pPr>
            <w:r>
              <w:t>根据《关于市委保密工作经费的请示》领导批示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保密工作高质量完成率</w:t>
            </w:r>
          </w:p>
        </w:tc>
        <w:tc>
          <w:tcPr>
            <w:tcW w:w="5386" w:type="dxa"/>
            <w:vAlign w:val="center"/>
          </w:tcPr>
          <w:p>
            <w:pPr>
              <w:pStyle w:val="13"/>
            </w:pPr>
            <w:r>
              <w:t>保密工作高质量完成所占比例</w:t>
            </w:r>
          </w:p>
        </w:tc>
        <w:tc>
          <w:tcPr>
            <w:tcW w:w="2268" w:type="dxa"/>
            <w:vAlign w:val="center"/>
          </w:tcPr>
          <w:p>
            <w:pPr>
              <w:pStyle w:val="13"/>
            </w:pPr>
            <w:r>
              <w:t>≥98%</w:t>
            </w:r>
          </w:p>
        </w:tc>
        <w:tc>
          <w:tcPr>
            <w:tcW w:w="1276" w:type="dxa"/>
            <w:vAlign w:val="center"/>
          </w:tcPr>
          <w:p>
            <w:pPr>
              <w:pStyle w:val="13"/>
            </w:pPr>
            <w:r>
              <w:t>根据《关于市委保密工作经费的请示》领导批示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保密工作任务及时完成率</w:t>
            </w:r>
          </w:p>
        </w:tc>
        <w:tc>
          <w:tcPr>
            <w:tcW w:w="5386" w:type="dxa"/>
            <w:vAlign w:val="center"/>
          </w:tcPr>
          <w:p>
            <w:pPr>
              <w:pStyle w:val="13"/>
            </w:pPr>
            <w:r>
              <w:t>保密工作任务及时完成所占比例</w:t>
            </w:r>
          </w:p>
        </w:tc>
        <w:tc>
          <w:tcPr>
            <w:tcW w:w="2268" w:type="dxa"/>
            <w:vAlign w:val="center"/>
          </w:tcPr>
          <w:p>
            <w:pPr>
              <w:pStyle w:val="13"/>
            </w:pPr>
            <w:r>
              <w:t>≥98%</w:t>
            </w:r>
          </w:p>
        </w:tc>
        <w:tc>
          <w:tcPr>
            <w:tcW w:w="1276" w:type="dxa"/>
            <w:vAlign w:val="center"/>
          </w:tcPr>
          <w:p>
            <w:pPr>
              <w:pStyle w:val="13"/>
            </w:pPr>
            <w:r>
              <w:t>根据《关于市委保密工作经费的请示》领导批示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项目实施资金</w:t>
            </w:r>
          </w:p>
        </w:tc>
        <w:tc>
          <w:tcPr>
            <w:tcW w:w="2268" w:type="dxa"/>
            <w:vAlign w:val="center"/>
          </w:tcPr>
          <w:p>
            <w:pPr>
              <w:pStyle w:val="13"/>
            </w:pPr>
            <w:r>
              <w:t>10万元</w:t>
            </w:r>
          </w:p>
        </w:tc>
        <w:tc>
          <w:tcPr>
            <w:tcW w:w="1276" w:type="dxa"/>
            <w:vAlign w:val="center"/>
          </w:tcPr>
          <w:p>
            <w:pPr>
              <w:pStyle w:val="13"/>
            </w:pPr>
            <w:r>
              <w:t>根据《关于市委保密工作经费的请示》领导批示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保密法宣传率</w:t>
            </w:r>
          </w:p>
        </w:tc>
        <w:tc>
          <w:tcPr>
            <w:tcW w:w="5386" w:type="dxa"/>
            <w:vAlign w:val="center"/>
          </w:tcPr>
          <w:p>
            <w:pPr>
              <w:pStyle w:val="13"/>
            </w:pPr>
            <w:r>
              <w:t>保密法宣传率</w:t>
            </w:r>
          </w:p>
        </w:tc>
        <w:tc>
          <w:tcPr>
            <w:tcW w:w="2268" w:type="dxa"/>
            <w:vAlign w:val="center"/>
          </w:tcPr>
          <w:p>
            <w:pPr>
              <w:pStyle w:val="13"/>
            </w:pPr>
            <w:r>
              <w:t>≥98%</w:t>
            </w:r>
          </w:p>
        </w:tc>
        <w:tc>
          <w:tcPr>
            <w:tcW w:w="1276" w:type="dxa"/>
            <w:vAlign w:val="center"/>
          </w:tcPr>
          <w:p>
            <w:pPr>
              <w:pStyle w:val="13"/>
            </w:pPr>
            <w:r>
              <w:t>根据《关于市委保密工作经费的请示》领导批示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3、报刊征订费绩效目标表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13018326P00032810251U</w:t>
            </w:r>
          </w:p>
        </w:tc>
        <w:tc>
          <w:tcPr>
            <w:tcW w:w="2835" w:type="dxa"/>
            <w:vAlign w:val="center"/>
          </w:tcPr>
          <w:p>
            <w:pPr>
              <w:pStyle w:val="11"/>
            </w:pPr>
            <w:r>
              <w:t>项目名称</w:t>
            </w:r>
          </w:p>
        </w:tc>
        <w:tc>
          <w:tcPr>
            <w:tcW w:w="6095" w:type="dxa"/>
            <w:gridSpan w:val="3"/>
            <w:vAlign w:val="center"/>
          </w:tcPr>
          <w:p>
            <w:pPr>
              <w:pStyle w:val="13"/>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用于报刊征订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55%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1.按时按量完成报刊征订任务。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发放率</w:t>
            </w:r>
          </w:p>
        </w:tc>
        <w:tc>
          <w:tcPr>
            <w:tcW w:w="5386" w:type="dxa"/>
            <w:vAlign w:val="center"/>
          </w:tcPr>
          <w:p>
            <w:pPr>
              <w:pStyle w:val="13"/>
            </w:pPr>
            <w:r>
              <w:t>实际发放数量占征订数量比例</w:t>
            </w:r>
          </w:p>
        </w:tc>
        <w:tc>
          <w:tcPr>
            <w:tcW w:w="2268" w:type="dxa"/>
            <w:vAlign w:val="center"/>
          </w:tcPr>
          <w:p>
            <w:pPr>
              <w:pStyle w:val="13"/>
            </w:pPr>
            <w:r>
              <w:t>≥98%</w:t>
            </w:r>
          </w:p>
        </w:tc>
        <w:tc>
          <w:tcPr>
            <w:tcW w:w="1276" w:type="dxa"/>
            <w:vAlign w:val="center"/>
          </w:tcPr>
          <w:p>
            <w:pPr>
              <w:pStyle w:val="13"/>
            </w:pPr>
            <w:r>
              <w:t>根据《关于市委报刊征订费的请示》领导批示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征订完成率</w:t>
            </w:r>
          </w:p>
        </w:tc>
        <w:tc>
          <w:tcPr>
            <w:tcW w:w="5386" w:type="dxa"/>
            <w:vAlign w:val="center"/>
          </w:tcPr>
          <w:p>
            <w:pPr>
              <w:pStyle w:val="13"/>
            </w:pPr>
            <w:r>
              <w:t>征订完成率</w:t>
            </w:r>
          </w:p>
        </w:tc>
        <w:tc>
          <w:tcPr>
            <w:tcW w:w="2268" w:type="dxa"/>
            <w:vAlign w:val="center"/>
          </w:tcPr>
          <w:p>
            <w:pPr>
              <w:pStyle w:val="13"/>
            </w:pPr>
            <w:r>
              <w:t>≥98%</w:t>
            </w:r>
          </w:p>
        </w:tc>
        <w:tc>
          <w:tcPr>
            <w:tcW w:w="1276" w:type="dxa"/>
            <w:vAlign w:val="center"/>
          </w:tcPr>
          <w:p>
            <w:pPr>
              <w:pStyle w:val="13"/>
            </w:pPr>
            <w:r>
              <w:t>根据《关于市委报刊征订费的请示》领导批示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≥98%</w:t>
            </w:r>
          </w:p>
        </w:tc>
        <w:tc>
          <w:tcPr>
            <w:tcW w:w="1276" w:type="dxa"/>
            <w:vAlign w:val="center"/>
          </w:tcPr>
          <w:p>
            <w:pPr>
              <w:pStyle w:val="13"/>
            </w:pPr>
            <w:r>
              <w:t>根据《关于市委报刊征订费的请示》领导批示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项目实施金额</w:t>
            </w:r>
          </w:p>
        </w:tc>
        <w:tc>
          <w:tcPr>
            <w:tcW w:w="2268" w:type="dxa"/>
            <w:vAlign w:val="center"/>
          </w:tcPr>
          <w:p>
            <w:pPr>
              <w:pStyle w:val="13"/>
            </w:pPr>
            <w:r>
              <w:t>8万元</w:t>
            </w:r>
          </w:p>
        </w:tc>
        <w:tc>
          <w:tcPr>
            <w:tcW w:w="1276" w:type="dxa"/>
            <w:vAlign w:val="center"/>
          </w:tcPr>
          <w:p>
            <w:pPr>
              <w:pStyle w:val="13"/>
            </w:pPr>
            <w:r>
              <w:t>根据《关于市委报刊征订费的请示》领导批示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社会影响率</w:t>
            </w:r>
          </w:p>
        </w:tc>
        <w:tc>
          <w:tcPr>
            <w:tcW w:w="5386" w:type="dxa"/>
            <w:vAlign w:val="center"/>
          </w:tcPr>
          <w:p>
            <w:pPr>
              <w:pStyle w:val="13"/>
            </w:pPr>
            <w:r>
              <w:t>党报党刊发放率</w:t>
            </w:r>
          </w:p>
        </w:tc>
        <w:tc>
          <w:tcPr>
            <w:tcW w:w="2268" w:type="dxa"/>
            <w:vAlign w:val="center"/>
          </w:tcPr>
          <w:p>
            <w:pPr>
              <w:pStyle w:val="13"/>
            </w:pPr>
            <w:r>
              <w:t>≥98%</w:t>
            </w:r>
          </w:p>
        </w:tc>
        <w:tc>
          <w:tcPr>
            <w:tcW w:w="1276" w:type="dxa"/>
            <w:vAlign w:val="center"/>
          </w:tcPr>
          <w:p>
            <w:pPr>
              <w:pStyle w:val="13"/>
            </w:pPr>
            <w:r>
              <w:t>根据《关于市委报刊征订费的请示》领导批示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4、党政专用电视会议系统绩效目标表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13018326P000328102533</w:t>
            </w:r>
          </w:p>
        </w:tc>
        <w:tc>
          <w:tcPr>
            <w:tcW w:w="2835" w:type="dxa"/>
            <w:vAlign w:val="center"/>
          </w:tcPr>
          <w:p>
            <w:pPr>
              <w:pStyle w:val="11"/>
            </w:pPr>
            <w:r>
              <w:t>项目名称</w:t>
            </w:r>
          </w:p>
        </w:tc>
        <w:tc>
          <w:tcPr>
            <w:tcW w:w="6095" w:type="dxa"/>
            <w:gridSpan w:val="3"/>
            <w:vAlign w:val="center"/>
          </w:tcPr>
          <w:p>
            <w:pPr>
              <w:pStyle w:val="13"/>
            </w:pPr>
            <w:r>
              <w:t>党政专用电视会议系统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用于党政专用电视会议系统的建设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1.完成我市党政专用电视会议系统的建设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建设数量比例</w:t>
            </w:r>
          </w:p>
        </w:tc>
        <w:tc>
          <w:tcPr>
            <w:tcW w:w="5386" w:type="dxa"/>
            <w:vAlign w:val="center"/>
          </w:tcPr>
          <w:p>
            <w:pPr>
              <w:pStyle w:val="13"/>
            </w:pPr>
            <w:r>
              <w:t>实际建设数量占应建设数量比例</w:t>
            </w:r>
          </w:p>
        </w:tc>
        <w:tc>
          <w:tcPr>
            <w:tcW w:w="2268" w:type="dxa"/>
            <w:vAlign w:val="center"/>
          </w:tcPr>
          <w:p>
            <w:pPr>
              <w:pStyle w:val="13"/>
            </w:pPr>
            <w:r>
              <w:t>≥98%</w:t>
            </w:r>
          </w:p>
        </w:tc>
        <w:tc>
          <w:tcPr>
            <w:tcW w:w="1276" w:type="dxa"/>
            <w:vAlign w:val="center"/>
          </w:tcPr>
          <w:p>
            <w:pPr>
              <w:pStyle w:val="13"/>
            </w:pPr>
            <w:r>
              <w:t>根据《关于将党政专用电视会议系统建设经费列入年度预算的报告》领导批示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100%</w:t>
            </w:r>
          </w:p>
        </w:tc>
        <w:tc>
          <w:tcPr>
            <w:tcW w:w="1276" w:type="dxa"/>
            <w:vAlign w:val="center"/>
          </w:tcPr>
          <w:p>
            <w:pPr>
              <w:pStyle w:val="13"/>
            </w:pPr>
            <w:r>
              <w:t>根据《关于将党政专用电视会议系统建设经费列入年度预算的报告》领导批示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≥98%</w:t>
            </w:r>
          </w:p>
        </w:tc>
        <w:tc>
          <w:tcPr>
            <w:tcW w:w="1276" w:type="dxa"/>
            <w:vAlign w:val="center"/>
          </w:tcPr>
          <w:p>
            <w:pPr>
              <w:pStyle w:val="13"/>
            </w:pPr>
            <w:r>
              <w:t>根据《关于将党政专用电视会议系统建设经费列入年度预算的报告》领导批示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项目实施金额</w:t>
            </w:r>
          </w:p>
        </w:tc>
        <w:tc>
          <w:tcPr>
            <w:tcW w:w="2268" w:type="dxa"/>
            <w:vAlign w:val="center"/>
          </w:tcPr>
          <w:p>
            <w:pPr>
              <w:pStyle w:val="13"/>
            </w:pPr>
            <w:r>
              <w:t>180万元</w:t>
            </w:r>
          </w:p>
        </w:tc>
        <w:tc>
          <w:tcPr>
            <w:tcW w:w="1276" w:type="dxa"/>
            <w:vAlign w:val="center"/>
          </w:tcPr>
          <w:p>
            <w:pPr>
              <w:pStyle w:val="13"/>
            </w:pPr>
            <w:r>
              <w:t>根据《关于将党政专用电视会议系统建设经费列入年度预算的报告》领导批示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正常运转率</w:t>
            </w:r>
          </w:p>
        </w:tc>
        <w:tc>
          <w:tcPr>
            <w:tcW w:w="5386" w:type="dxa"/>
            <w:vAlign w:val="center"/>
          </w:tcPr>
          <w:p>
            <w:pPr>
              <w:pStyle w:val="13"/>
            </w:pPr>
            <w:r>
              <w:t>正常运转率</w:t>
            </w:r>
          </w:p>
        </w:tc>
        <w:tc>
          <w:tcPr>
            <w:tcW w:w="2268" w:type="dxa"/>
            <w:vAlign w:val="center"/>
          </w:tcPr>
          <w:p>
            <w:pPr>
              <w:pStyle w:val="13"/>
            </w:pPr>
            <w:r>
              <w:t>≥98%</w:t>
            </w:r>
          </w:p>
        </w:tc>
        <w:tc>
          <w:tcPr>
            <w:tcW w:w="1276" w:type="dxa"/>
            <w:vAlign w:val="center"/>
          </w:tcPr>
          <w:p>
            <w:pPr>
              <w:pStyle w:val="13"/>
            </w:pPr>
            <w:r>
              <w:t>根据《关于将党政专用电视会议系统建设经费列入年度预算的报告》领导批示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5、国安办工作经费绩效目标表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13018326P00032810257H</w:t>
            </w:r>
          </w:p>
        </w:tc>
        <w:tc>
          <w:tcPr>
            <w:tcW w:w="2835" w:type="dxa"/>
            <w:vAlign w:val="center"/>
          </w:tcPr>
          <w:p>
            <w:pPr>
              <w:pStyle w:val="11"/>
            </w:pPr>
            <w:r>
              <w:t>项目名称</w:t>
            </w:r>
          </w:p>
        </w:tc>
        <w:tc>
          <w:tcPr>
            <w:tcW w:w="6095" w:type="dxa"/>
            <w:gridSpan w:val="3"/>
            <w:vAlign w:val="center"/>
          </w:tcPr>
          <w:p>
            <w:pPr>
              <w:pStyle w:val="13"/>
            </w:pPr>
            <w:r>
              <w:t>国安办工作经费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用于国安宣传宣教等活动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1.按计划完成“4.15”全民国家安全宣传教育日宣教活动及国家安全“六进”活动。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实际完成数量占应完成比例</w:t>
            </w:r>
          </w:p>
        </w:tc>
        <w:tc>
          <w:tcPr>
            <w:tcW w:w="2268" w:type="dxa"/>
            <w:vAlign w:val="center"/>
          </w:tcPr>
          <w:p>
            <w:pPr>
              <w:pStyle w:val="13"/>
            </w:pPr>
            <w:r>
              <w:t>≥98%</w:t>
            </w:r>
          </w:p>
        </w:tc>
        <w:tc>
          <w:tcPr>
            <w:tcW w:w="1276" w:type="dxa"/>
            <w:vAlign w:val="center"/>
          </w:tcPr>
          <w:p>
            <w:pPr>
              <w:pStyle w:val="13"/>
            </w:pPr>
            <w:r>
              <w:t>根据《关于国安办工作经费的请示》领导批示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工作质量达标率</w:t>
            </w:r>
          </w:p>
        </w:tc>
        <w:tc>
          <w:tcPr>
            <w:tcW w:w="2268" w:type="dxa"/>
            <w:vAlign w:val="center"/>
          </w:tcPr>
          <w:p>
            <w:pPr>
              <w:pStyle w:val="13"/>
            </w:pPr>
            <w:r>
              <w:t>≥98%</w:t>
            </w:r>
          </w:p>
        </w:tc>
        <w:tc>
          <w:tcPr>
            <w:tcW w:w="1276" w:type="dxa"/>
            <w:vAlign w:val="center"/>
          </w:tcPr>
          <w:p>
            <w:pPr>
              <w:pStyle w:val="13"/>
            </w:pPr>
            <w:r>
              <w:t>根据《关于国安办工作经费的请示》领导批示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工作及时完成率</w:t>
            </w:r>
          </w:p>
        </w:tc>
        <w:tc>
          <w:tcPr>
            <w:tcW w:w="2268" w:type="dxa"/>
            <w:vAlign w:val="center"/>
          </w:tcPr>
          <w:p>
            <w:pPr>
              <w:pStyle w:val="13"/>
            </w:pPr>
            <w:r>
              <w:t>≥98%</w:t>
            </w:r>
          </w:p>
        </w:tc>
        <w:tc>
          <w:tcPr>
            <w:tcW w:w="1276" w:type="dxa"/>
            <w:vAlign w:val="center"/>
          </w:tcPr>
          <w:p>
            <w:pPr>
              <w:pStyle w:val="13"/>
            </w:pPr>
            <w:r>
              <w:t>根据《关于国安办工作经费的请示》领导批示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项目预算资金</w:t>
            </w:r>
          </w:p>
        </w:tc>
        <w:tc>
          <w:tcPr>
            <w:tcW w:w="2268" w:type="dxa"/>
            <w:vAlign w:val="center"/>
          </w:tcPr>
          <w:p>
            <w:pPr>
              <w:pStyle w:val="13"/>
            </w:pPr>
            <w:r>
              <w:t>10万元</w:t>
            </w:r>
          </w:p>
        </w:tc>
        <w:tc>
          <w:tcPr>
            <w:tcW w:w="1276" w:type="dxa"/>
            <w:vAlign w:val="center"/>
          </w:tcPr>
          <w:p>
            <w:pPr>
              <w:pStyle w:val="13"/>
            </w:pPr>
            <w:r>
              <w:t>根据《关于国安办工作经费的请示》领导批示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宣教影响覆盖率</w:t>
            </w:r>
          </w:p>
        </w:tc>
        <w:tc>
          <w:tcPr>
            <w:tcW w:w="5386" w:type="dxa"/>
            <w:vAlign w:val="center"/>
          </w:tcPr>
          <w:p>
            <w:pPr>
              <w:pStyle w:val="13"/>
            </w:pPr>
            <w:r>
              <w:t>国安宣教覆盖区域占全市比例</w:t>
            </w:r>
          </w:p>
        </w:tc>
        <w:tc>
          <w:tcPr>
            <w:tcW w:w="2268" w:type="dxa"/>
            <w:vAlign w:val="center"/>
          </w:tcPr>
          <w:p>
            <w:pPr>
              <w:pStyle w:val="13"/>
            </w:pPr>
            <w:r>
              <w:t>≥90%</w:t>
            </w:r>
          </w:p>
        </w:tc>
        <w:tc>
          <w:tcPr>
            <w:tcW w:w="1276" w:type="dxa"/>
            <w:vAlign w:val="center"/>
          </w:tcPr>
          <w:p>
            <w:pPr>
              <w:pStyle w:val="13"/>
            </w:pPr>
            <w:r>
              <w:t>根据《关于国安办工作经费的请示》领导批示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13018326P00032810259Q</w:t>
            </w:r>
          </w:p>
        </w:tc>
        <w:tc>
          <w:tcPr>
            <w:tcW w:w="2835" w:type="dxa"/>
            <w:vAlign w:val="center"/>
          </w:tcPr>
          <w:p>
            <w:pPr>
              <w:pStyle w:val="11"/>
            </w:pPr>
            <w:r>
              <w:t>项目名称</w:t>
            </w:r>
          </w:p>
        </w:tc>
        <w:tc>
          <w:tcPr>
            <w:tcW w:w="6095" w:type="dxa"/>
            <w:gridSpan w:val="3"/>
            <w:vAlign w:val="center"/>
          </w:tcPr>
          <w:p>
            <w:pPr>
              <w:pStyle w:val="13"/>
            </w:pPr>
            <w:r>
              <w:t>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用于以市委名义召开的各种会议及上级领导视察、调研、召开现场办公会议等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1.完成以市委名义召开的各种会议的组织、安排及协调上级领导视察、调研、召开现场办公会议等工作。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召开数量比例</w:t>
            </w:r>
          </w:p>
        </w:tc>
        <w:tc>
          <w:tcPr>
            <w:tcW w:w="5386" w:type="dxa"/>
            <w:vAlign w:val="center"/>
          </w:tcPr>
          <w:p>
            <w:pPr>
              <w:pStyle w:val="13"/>
            </w:pPr>
            <w:r>
              <w:t>召开会议数量占应召开数量比例</w:t>
            </w:r>
          </w:p>
        </w:tc>
        <w:tc>
          <w:tcPr>
            <w:tcW w:w="2268" w:type="dxa"/>
            <w:vAlign w:val="center"/>
          </w:tcPr>
          <w:p>
            <w:pPr>
              <w:pStyle w:val="13"/>
            </w:pPr>
            <w:r>
              <w:t>≥98%</w:t>
            </w:r>
          </w:p>
        </w:tc>
        <w:tc>
          <w:tcPr>
            <w:tcW w:w="1276" w:type="dxa"/>
            <w:vAlign w:val="center"/>
          </w:tcPr>
          <w:p>
            <w:pPr>
              <w:pStyle w:val="13"/>
            </w:pPr>
            <w:r>
              <w:t>根据《关于市委办会议场地占用费的请示》领导批示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圆满完成会议议程比例</w:t>
            </w:r>
          </w:p>
        </w:tc>
        <w:tc>
          <w:tcPr>
            <w:tcW w:w="5386" w:type="dxa"/>
            <w:vAlign w:val="center"/>
          </w:tcPr>
          <w:p>
            <w:pPr>
              <w:pStyle w:val="13"/>
            </w:pPr>
            <w:r>
              <w:t>圆满完成会议议程比例</w:t>
            </w:r>
          </w:p>
        </w:tc>
        <w:tc>
          <w:tcPr>
            <w:tcW w:w="2268" w:type="dxa"/>
            <w:vAlign w:val="center"/>
          </w:tcPr>
          <w:p>
            <w:pPr>
              <w:pStyle w:val="13"/>
            </w:pPr>
            <w:r>
              <w:t>≥98%</w:t>
            </w:r>
          </w:p>
        </w:tc>
        <w:tc>
          <w:tcPr>
            <w:tcW w:w="1276" w:type="dxa"/>
            <w:vAlign w:val="center"/>
          </w:tcPr>
          <w:p>
            <w:pPr>
              <w:pStyle w:val="13"/>
            </w:pPr>
            <w:r>
              <w:t>根据《关于市委办会议场地占用费的请示》领导批示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会议及时召开率</w:t>
            </w:r>
          </w:p>
        </w:tc>
        <w:tc>
          <w:tcPr>
            <w:tcW w:w="5386" w:type="dxa"/>
            <w:vAlign w:val="center"/>
          </w:tcPr>
          <w:p>
            <w:pPr>
              <w:pStyle w:val="13"/>
            </w:pPr>
            <w:r>
              <w:t>及时召开比例</w:t>
            </w:r>
          </w:p>
        </w:tc>
        <w:tc>
          <w:tcPr>
            <w:tcW w:w="2268" w:type="dxa"/>
            <w:vAlign w:val="center"/>
          </w:tcPr>
          <w:p>
            <w:pPr>
              <w:pStyle w:val="13"/>
            </w:pPr>
            <w:r>
              <w:t>≥98%</w:t>
            </w:r>
          </w:p>
        </w:tc>
        <w:tc>
          <w:tcPr>
            <w:tcW w:w="1276" w:type="dxa"/>
            <w:vAlign w:val="center"/>
          </w:tcPr>
          <w:p>
            <w:pPr>
              <w:pStyle w:val="13"/>
            </w:pPr>
            <w:r>
              <w:t>根据《关于市委办会议场地占用费的请示》领导批示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项目实施金额</w:t>
            </w:r>
          </w:p>
        </w:tc>
        <w:tc>
          <w:tcPr>
            <w:tcW w:w="2268" w:type="dxa"/>
            <w:vAlign w:val="center"/>
          </w:tcPr>
          <w:p>
            <w:pPr>
              <w:pStyle w:val="13"/>
            </w:pPr>
            <w:r>
              <w:t>9.5万元</w:t>
            </w:r>
          </w:p>
        </w:tc>
        <w:tc>
          <w:tcPr>
            <w:tcW w:w="1276" w:type="dxa"/>
            <w:vAlign w:val="center"/>
          </w:tcPr>
          <w:p>
            <w:pPr>
              <w:pStyle w:val="13"/>
            </w:pPr>
            <w:r>
              <w:t>根据《关于市委办会议场地占用费的请示》领导批示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会议影响率</w:t>
            </w:r>
          </w:p>
        </w:tc>
        <w:tc>
          <w:tcPr>
            <w:tcW w:w="5386" w:type="dxa"/>
            <w:vAlign w:val="center"/>
          </w:tcPr>
          <w:p>
            <w:pPr>
              <w:pStyle w:val="13"/>
            </w:pPr>
            <w:r>
              <w:t>传达上级会议精神</w:t>
            </w:r>
          </w:p>
        </w:tc>
        <w:tc>
          <w:tcPr>
            <w:tcW w:w="2268" w:type="dxa"/>
            <w:vAlign w:val="center"/>
          </w:tcPr>
          <w:p>
            <w:pPr>
              <w:pStyle w:val="13"/>
            </w:pPr>
            <w:r>
              <w:t>≥98%</w:t>
            </w:r>
          </w:p>
        </w:tc>
        <w:tc>
          <w:tcPr>
            <w:tcW w:w="1276" w:type="dxa"/>
            <w:vAlign w:val="center"/>
          </w:tcPr>
          <w:p>
            <w:pPr>
              <w:pStyle w:val="13"/>
            </w:pPr>
            <w:r>
              <w:t>根据《关于市委办会议场地占用费的请示》领导批示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7、机要局业务费绩效目标表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13018326P00032810261P</w:t>
            </w:r>
          </w:p>
        </w:tc>
        <w:tc>
          <w:tcPr>
            <w:tcW w:w="2835" w:type="dxa"/>
            <w:vAlign w:val="center"/>
          </w:tcPr>
          <w:p>
            <w:pPr>
              <w:pStyle w:val="11"/>
            </w:pPr>
            <w:r>
              <w:t>项目名称</w:t>
            </w:r>
          </w:p>
        </w:tc>
        <w:tc>
          <w:tcPr>
            <w:tcW w:w="6095" w:type="dxa"/>
            <w:gridSpan w:val="3"/>
            <w:vAlign w:val="center"/>
          </w:tcPr>
          <w:p>
            <w:pPr>
              <w:pStyle w:val="13"/>
            </w:pPr>
            <w:r>
              <w:t>机要局业务费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用于完成机要工作任务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55%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1.完成市委机要局年度工作任务。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数量完成率</w:t>
            </w:r>
          </w:p>
        </w:tc>
        <w:tc>
          <w:tcPr>
            <w:tcW w:w="5386" w:type="dxa"/>
            <w:vAlign w:val="center"/>
          </w:tcPr>
          <w:p>
            <w:pPr>
              <w:pStyle w:val="13"/>
            </w:pPr>
            <w:r>
              <w:t>实际完成工作数量占应完成比例</w:t>
            </w:r>
          </w:p>
        </w:tc>
        <w:tc>
          <w:tcPr>
            <w:tcW w:w="2268" w:type="dxa"/>
            <w:vAlign w:val="center"/>
          </w:tcPr>
          <w:p>
            <w:pPr>
              <w:pStyle w:val="13"/>
            </w:pPr>
            <w:r>
              <w:t>≥98%</w:t>
            </w:r>
          </w:p>
        </w:tc>
        <w:tc>
          <w:tcPr>
            <w:tcW w:w="1276" w:type="dxa"/>
            <w:vAlign w:val="center"/>
          </w:tcPr>
          <w:p>
            <w:pPr>
              <w:pStyle w:val="13"/>
            </w:pPr>
            <w:r>
              <w:t>根据《关于市委机要局业务费的请示》领导批示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保障密码通信绝对安全。绝对畅通</w:t>
            </w:r>
          </w:p>
        </w:tc>
        <w:tc>
          <w:tcPr>
            <w:tcW w:w="2268" w:type="dxa"/>
            <w:vAlign w:val="center"/>
          </w:tcPr>
          <w:p>
            <w:pPr>
              <w:pStyle w:val="13"/>
            </w:pPr>
            <w:r>
              <w:t>100%</w:t>
            </w:r>
          </w:p>
        </w:tc>
        <w:tc>
          <w:tcPr>
            <w:tcW w:w="1276" w:type="dxa"/>
            <w:vAlign w:val="center"/>
          </w:tcPr>
          <w:p>
            <w:pPr>
              <w:pStyle w:val="13"/>
            </w:pPr>
            <w:r>
              <w:t>根据《关于市委机要局业务费的请示》领导批示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及时保障率</w:t>
            </w:r>
          </w:p>
        </w:tc>
        <w:tc>
          <w:tcPr>
            <w:tcW w:w="5386" w:type="dxa"/>
            <w:vAlign w:val="center"/>
          </w:tcPr>
          <w:p>
            <w:pPr>
              <w:pStyle w:val="13"/>
            </w:pPr>
            <w:r>
              <w:t>保障应急通信能力</w:t>
            </w:r>
          </w:p>
        </w:tc>
        <w:tc>
          <w:tcPr>
            <w:tcW w:w="2268" w:type="dxa"/>
            <w:vAlign w:val="center"/>
          </w:tcPr>
          <w:p>
            <w:pPr>
              <w:pStyle w:val="13"/>
            </w:pPr>
            <w:r>
              <w:t>≥98%</w:t>
            </w:r>
          </w:p>
        </w:tc>
        <w:tc>
          <w:tcPr>
            <w:tcW w:w="1276" w:type="dxa"/>
            <w:vAlign w:val="center"/>
          </w:tcPr>
          <w:p>
            <w:pPr>
              <w:pStyle w:val="13"/>
            </w:pPr>
            <w:r>
              <w:t>根据《关于市委机要局业务费的请示》领导批示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项目实施资金</w:t>
            </w:r>
          </w:p>
        </w:tc>
        <w:tc>
          <w:tcPr>
            <w:tcW w:w="2268" w:type="dxa"/>
            <w:vAlign w:val="center"/>
          </w:tcPr>
          <w:p>
            <w:pPr>
              <w:pStyle w:val="13"/>
            </w:pPr>
            <w:r>
              <w:t>9万元</w:t>
            </w:r>
          </w:p>
        </w:tc>
        <w:tc>
          <w:tcPr>
            <w:tcW w:w="1276" w:type="dxa"/>
            <w:vAlign w:val="center"/>
          </w:tcPr>
          <w:p>
            <w:pPr>
              <w:pStyle w:val="13"/>
            </w:pPr>
            <w:r>
              <w:t>根据《关于市委机要局业务费的请示》领导批示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保障机要工作完成率</w:t>
            </w:r>
          </w:p>
        </w:tc>
        <w:tc>
          <w:tcPr>
            <w:tcW w:w="5386" w:type="dxa"/>
            <w:vAlign w:val="center"/>
          </w:tcPr>
          <w:p>
            <w:pPr>
              <w:pStyle w:val="13"/>
            </w:pPr>
            <w:r>
              <w:t>保障机要工作完成率</w:t>
            </w:r>
          </w:p>
        </w:tc>
        <w:tc>
          <w:tcPr>
            <w:tcW w:w="2268" w:type="dxa"/>
            <w:vAlign w:val="center"/>
          </w:tcPr>
          <w:p>
            <w:pPr>
              <w:pStyle w:val="13"/>
            </w:pPr>
            <w:r>
              <w:t>≥98%</w:t>
            </w:r>
          </w:p>
        </w:tc>
        <w:tc>
          <w:tcPr>
            <w:tcW w:w="1276" w:type="dxa"/>
            <w:vAlign w:val="center"/>
          </w:tcPr>
          <w:p>
            <w:pPr>
              <w:pStyle w:val="13"/>
            </w:pPr>
            <w:r>
              <w:t>根据《关于市委机要局业务费的请示》领导批示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8、机要密码通信和管理能力现代化提升绩效目标表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13018326P000328102656</w:t>
            </w:r>
          </w:p>
        </w:tc>
        <w:tc>
          <w:tcPr>
            <w:tcW w:w="2835" w:type="dxa"/>
            <w:vAlign w:val="center"/>
          </w:tcPr>
          <w:p>
            <w:pPr>
              <w:pStyle w:val="11"/>
            </w:pPr>
            <w:r>
              <w:t>项目名称</w:t>
            </w:r>
          </w:p>
        </w:tc>
        <w:tc>
          <w:tcPr>
            <w:tcW w:w="6095" w:type="dxa"/>
            <w:gridSpan w:val="3"/>
            <w:vAlign w:val="center"/>
          </w:tcPr>
          <w:p>
            <w:pPr>
              <w:pStyle w:val="13"/>
            </w:pPr>
            <w:r>
              <w:t>机要密码通信和管理能力现代化提升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42.72</w:t>
            </w:r>
          </w:p>
        </w:tc>
        <w:tc>
          <w:tcPr>
            <w:tcW w:w="2835" w:type="dxa"/>
            <w:vAlign w:val="center"/>
          </w:tcPr>
          <w:p>
            <w:pPr>
              <w:pStyle w:val="11"/>
            </w:pPr>
            <w:r>
              <w:t>其中：财政    资金</w:t>
            </w:r>
          </w:p>
        </w:tc>
        <w:tc>
          <w:tcPr>
            <w:tcW w:w="2551" w:type="dxa"/>
            <w:vAlign w:val="center"/>
          </w:tcPr>
          <w:p>
            <w:pPr>
              <w:pStyle w:val="13"/>
            </w:pPr>
            <w:r>
              <w:t>42.72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用于机要密码通信和管理能力现代化提升工程建设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65%</w:t>
            </w:r>
          </w:p>
        </w:tc>
        <w:tc>
          <w:tcPr>
            <w:tcW w:w="2551" w:type="dxa"/>
            <w:vAlign w:val="center"/>
          </w:tcPr>
          <w:p>
            <w:pPr>
              <w:pStyle w:val="14"/>
            </w:pPr>
            <w:r>
              <w:t>85%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1.按时完成机要密码通信和管理能力现代化提升工程建设。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需建设数量完成度</w:t>
            </w:r>
          </w:p>
        </w:tc>
        <w:tc>
          <w:tcPr>
            <w:tcW w:w="5386" w:type="dxa"/>
            <w:vAlign w:val="center"/>
          </w:tcPr>
          <w:p>
            <w:pPr>
              <w:pStyle w:val="13"/>
            </w:pPr>
            <w:r>
              <w:t>按要求完成工程数量占比</w:t>
            </w:r>
          </w:p>
        </w:tc>
        <w:tc>
          <w:tcPr>
            <w:tcW w:w="2268" w:type="dxa"/>
            <w:vAlign w:val="center"/>
          </w:tcPr>
          <w:p>
            <w:pPr>
              <w:pStyle w:val="13"/>
            </w:pPr>
            <w:r>
              <w:t>100%</w:t>
            </w:r>
          </w:p>
        </w:tc>
        <w:tc>
          <w:tcPr>
            <w:tcW w:w="1276" w:type="dxa"/>
            <w:vAlign w:val="center"/>
          </w:tcPr>
          <w:p>
            <w:pPr>
              <w:pStyle w:val="13"/>
            </w:pPr>
            <w:r>
              <w:t>根据《关于申请机要密码通信和管理能力现代化提升工程建设经费的请示》领导批示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工程质量达标部分所占比例</w:t>
            </w:r>
          </w:p>
        </w:tc>
        <w:tc>
          <w:tcPr>
            <w:tcW w:w="2268" w:type="dxa"/>
            <w:vAlign w:val="center"/>
          </w:tcPr>
          <w:p>
            <w:pPr>
              <w:pStyle w:val="13"/>
            </w:pPr>
            <w:r>
              <w:t>100%</w:t>
            </w:r>
          </w:p>
        </w:tc>
        <w:tc>
          <w:tcPr>
            <w:tcW w:w="1276" w:type="dxa"/>
            <w:vAlign w:val="center"/>
          </w:tcPr>
          <w:p>
            <w:pPr>
              <w:pStyle w:val="13"/>
            </w:pPr>
            <w:r>
              <w:t>根据《关于申请机要密码通信和管理能力现代化提升工程建设经费的请示》领导批示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按时完成的工程所占比例</w:t>
            </w:r>
          </w:p>
        </w:tc>
        <w:tc>
          <w:tcPr>
            <w:tcW w:w="2268" w:type="dxa"/>
            <w:vAlign w:val="center"/>
          </w:tcPr>
          <w:p>
            <w:pPr>
              <w:pStyle w:val="13"/>
            </w:pPr>
            <w:r>
              <w:t>100%</w:t>
            </w:r>
          </w:p>
        </w:tc>
        <w:tc>
          <w:tcPr>
            <w:tcW w:w="1276" w:type="dxa"/>
            <w:vAlign w:val="center"/>
          </w:tcPr>
          <w:p>
            <w:pPr>
              <w:pStyle w:val="13"/>
            </w:pPr>
            <w:r>
              <w:t>根据《关于申请机要密码通信和管理能力现代化提升工程建设经费的请示》领导批示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项目实施金额</w:t>
            </w:r>
          </w:p>
        </w:tc>
        <w:tc>
          <w:tcPr>
            <w:tcW w:w="2268" w:type="dxa"/>
            <w:vAlign w:val="center"/>
          </w:tcPr>
          <w:p>
            <w:pPr>
              <w:pStyle w:val="13"/>
            </w:pPr>
            <w:r>
              <w:t>42.72万元</w:t>
            </w:r>
          </w:p>
        </w:tc>
        <w:tc>
          <w:tcPr>
            <w:tcW w:w="1276" w:type="dxa"/>
            <w:vAlign w:val="center"/>
          </w:tcPr>
          <w:p>
            <w:pPr>
              <w:pStyle w:val="13"/>
            </w:pPr>
            <w:r>
              <w:t>根据《关于申请机要密码通信和管理能力现代化提升工程建设经费的请示》领导批示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机要通信管理能力提升率</w:t>
            </w:r>
          </w:p>
        </w:tc>
        <w:tc>
          <w:tcPr>
            <w:tcW w:w="5386" w:type="dxa"/>
            <w:vAlign w:val="center"/>
          </w:tcPr>
          <w:p>
            <w:pPr>
              <w:pStyle w:val="13"/>
            </w:pPr>
            <w:r>
              <w:t>机要通信管理得到提升所占比例</w:t>
            </w:r>
          </w:p>
        </w:tc>
        <w:tc>
          <w:tcPr>
            <w:tcW w:w="2268" w:type="dxa"/>
            <w:vAlign w:val="center"/>
          </w:tcPr>
          <w:p>
            <w:pPr>
              <w:pStyle w:val="13"/>
            </w:pPr>
            <w:r>
              <w:t>≥98%</w:t>
            </w:r>
          </w:p>
        </w:tc>
        <w:tc>
          <w:tcPr>
            <w:tcW w:w="1276" w:type="dxa"/>
            <w:vAlign w:val="center"/>
          </w:tcPr>
          <w:p>
            <w:pPr>
              <w:pStyle w:val="13"/>
            </w:pPr>
            <w:r>
              <w:t>根据《关于申请机要密码通信和管理能力现代化提升工程建设经费的请示》领导批示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9、密码通讯网络和电子政务内网运行维护费绩效目标表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13018326P000328102752</w:t>
            </w:r>
          </w:p>
        </w:tc>
        <w:tc>
          <w:tcPr>
            <w:tcW w:w="2835" w:type="dxa"/>
            <w:vAlign w:val="center"/>
          </w:tcPr>
          <w:p>
            <w:pPr>
              <w:pStyle w:val="11"/>
            </w:pPr>
            <w:r>
              <w:t>项目名称</w:t>
            </w:r>
          </w:p>
        </w:tc>
        <w:tc>
          <w:tcPr>
            <w:tcW w:w="6095" w:type="dxa"/>
            <w:gridSpan w:val="3"/>
            <w:vAlign w:val="center"/>
          </w:tcPr>
          <w:p>
            <w:pPr>
              <w:pStyle w:val="13"/>
            </w:pPr>
            <w:r>
              <w:t>密码通讯网络和电子政务内网运行维护费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用于密码通讯主渠道网络设备运行维护及电子政务内网运行维护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1.开展密码通讯主渠道网络设备运行维护费；开展电子政务内网一期运行维护。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维护数量完成率</w:t>
            </w:r>
          </w:p>
        </w:tc>
        <w:tc>
          <w:tcPr>
            <w:tcW w:w="5386" w:type="dxa"/>
            <w:vAlign w:val="center"/>
          </w:tcPr>
          <w:p>
            <w:pPr>
              <w:pStyle w:val="13"/>
            </w:pPr>
            <w:r>
              <w:t>实际完成数量占计划完成比例</w:t>
            </w:r>
          </w:p>
        </w:tc>
        <w:tc>
          <w:tcPr>
            <w:tcW w:w="2268" w:type="dxa"/>
            <w:vAlign w:val="center"/>
          </w:tcPr>
          <w:p>
            <w:pPr>
              <w:pStyle w:val="13"/>
            </w:pPr>
            <w:r>
              <w:t>≥95%</w:t>
            </w:r>
          </w:p>
        </w:tc>
        <w:tc>
          <w:tcPr>
            <w:tcW w:w="1276" w:type="dxa"/>
            <w:vAlign w:val="center"/>
          </w:tcPr>
          <w:p>
            <w:pPr>
              <w:pStyle w:val="13"/>
            </w:pPr>
            <w:r>
              <w:t>根据《关于密码通讯网络和电子政务内网运行维护费的请示》领导批示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维护质量达标率</w:t>
            </w:r>
          </w:p>
        </w:tc>
        <w:tc>
          <w:tcPr>
            <w:tcW w:w="5386" w:type="dxa"/>
            <w:vAlign w:val="center"/>
          </w:tcPr>
          <w:p>
            <w:pPr>
              <w:pStyle w:val="13"/>
            </w:pPr>
            <w:r>
              <w:t>维护部位质量达标占所有维护部位比例</w:t>
            </w:r>
          </w:p>
        </w:tc>
        <w:tc>
          <w:tcPr>
            <w:tcW w:w="2268" w:type="dxa"/>
            <w:vAlign w:val="center"/>
          </w:tcPr>
          <w:p>
            <w:pPr>
              <w:pStyle w:val="13"/>
            </w:pPr>
            <w:r>
              <w:t>≥95%</w:t>
            </w:r>
          </w:p>
        </w:tc>
        <w:tc>
          <w:tcPr>
            <w:tcW w:w="1276" w:type="dxa"/>
            <w:vAlign w:val="center"/>
          </w:tcPr>
          <w:p>
            <w:pPr>
              <w:pStyle w:val="13"/>
            </w:pPr>
            <w:r>
              <w:t>根据《关于密码通讯网络和电子政务内网运行维护费的请示》领导批示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设备、网络及时维护率</w:t>
            </w:r>
          </w:p>
        </w:tc>
        <w:tc>
          <w:tcPr>
            <w:tcW w:w="5386" w:type="dxa"/>
            <w:vAlign w:val="center"/>
          </w:tcPr>
          <w:p>
            <w:pPr>
              <w:pStyle w:val="13"/>
            </w:pPr>
            <w:r>
              <w:t>设备、网络及时维护率</w:t>
            </w:r>
          </w:p>
        </w:tc>
        <w:tc>
          <w:tcPr>
            <w:tcW w:w="2268" w:type="dxa"/>
            <w:vAlign w:val="center"/>
          </w:tcPr>
          <w:p>
            <w:pPr>
              <w:pStyle w:val="13"/>
            </w:pPr>
            <w:r>
              <w:t>≥98%</w:t>
            </w:r>
          </w:p>
        </w:tc>
        <w:tc>
          <w:tcPr>
            <w:tcW w:w="1276" w:type="dxa"/>
            <w:vAlign w:val="center"/>
          </w:tcPr>
          <w:p>
            <w:pPr>
              <w:pStyle w:val="13"/>
            </w:pPr>
            <w:r>
              <w:t>根据《关于密码通讯网络和电子政务内网运行维护费的请示》领导批示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项目实施资金</w:t>
            </w:r>
          </w:p>
        </w:tc>
        <w:tc>
          <w:tcPr>
            <w:tcW w:w="2268" w:type="dxa"/>
            <w:vAlign w:val="center"/>
          </w:tcPr>
          <w:p>
            <w:pPr>
              <w:pStyle w:val="13"/>
            </w:pPr>
            <w:r>
              <w:t>10万元</w:t>
            </w:r>
          </w:p>
        </w:tc>
        <w:tc>
          <w:tcPr>
            <w:tcW w:w="1276" w:type="dxa"/>
            <w:vAlign w:val="center"/>
          </w:tcPr>
          <w:p>
            <w:pPr>
              <w:pStyle w:val="13"/>
            </w:pPr>
            <w:r>
              <w:t>根据《关于密码通讯网络和电子政务内网运行维护费的请示》领导批示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保障机要工作顺利完成率</w:t>
            </w:r>
          </w:p>
        </w:tc>
        <w:tc>
          <w:tcPr>
            <w:tcW w:w="5386" w:type="dxa"/>
            <w:vAlign w:val="center"/>
          </w:tcPr>
          <w:p>
            <w:pPr>
              <w:pStyle w:val="13"/>
            </w:pPr>
            <w:r>
              <w:t>保障机要工作顺利完成比例</w:t>
            </w:r>
          </w:p>
        </w:tc>
        <w:tc>
          <w:tcPr>
            <w:tcW w:w="2268" w:type="dxa"/>
            <w:vAlign w:val="center"/>
          </w:tcPr>
          <w:p>
            <w:pPr>
              <w:pStyle w:val="13"/>
            </w:pPr>
            <w:r>
              <w:t>≥99%</w:t>
            </w:r>
          </w:p>
        </w:tc>
        <w:tc>
          <w:tcPr>
            <w:tcW w:w="1276" w:type="dxa"/>
            <w:vAlign w:val="center"/>
          </w:tcPr>
          <w:p>
            <w:pPr>
              <w:pStyle w:val="13"/>
            </w:pPr>
            <w:r>
              <w:t>根据《关于密码通讯网络和电子政务内网运行维护费的请示》领导批示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10、年鉴经费绩效目标表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13018326P00032810280U</w:t>
            </w:r>
          </w:p>
        </w:tc>
        <w:tc>
          <w:tcPr>
            <w:tcW w:w="2835" w:type="dxa"/>
            <w:vAlign w:val="center"/>
          </w:tcPr>
          <w:p>
            <w:pPr>
              <w:pStyle w:val="11"/>
            </w:pPr>
            <w:r>
              <w:t>项目名称</w:t>
            </w:r>
          </w:p>
        </w:tc>
        <w:tc>
          <w:tcPr>
            <w:tcW w:w="6095" w:type="dxa"/>
            <w:gridSpan w:val="3"/>
            <w:vAlign w:val="center"/>
          </w:tcPr>
          <w:p>
            <w:pPr>
              <w:pStyle w:val="13"/>
            </w:pPr>
            <w:r>
              <w:t>年鉴经费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用于整理资料、编校文稿，完成县级地方志书印刷出版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1.搜集整理资料、编校文稿，完成县级地方志书印刷出版。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搜集整理年鉴资料字数</w:t>
            </w:r>
          </w:p>
        </w:tc>
        <w:tc>
          <w:tcPr>
            <w:tcW w:w="5386" w:type="dxa"/>
            <w:vAlign w:val="center"/>
          </w:tcPr>
          <w:p>
            <w:pPr>
              <w:pStyle w:val="13"/>
            </w:pPr>
            <w:r>
              <w:t>征集各部门相关资料总字数</w:t>
            </w:r>
          </w:p>
        </w:tc>
        <w:tc>
          <w:tcPr>
            <w:tcW w:w="2268" w:type="dxa"/>
            <w:vAlign w:val="center"/>
          </w:tcPr>
          <w:p>
            <w:pPr>
              <w:pStyle w:val="13"/>
            </w:pPr>
            <w:r>
              <w:t>≥500000字</w:t>
            </w:r>
          </w:p>
        </w:tc>
        <w:tc>
          <w:tcPr>
            <w:tcW w:w="1276" w:type="dxa"/>
            <w:vAlign w:val="center"/>
          </w:tcPr>
          <w:p>
            <w:pPr>
              <w:pStyle w:val="13"/>
            </w:pPr>
            <w:r>
              <w:t>根据《关于年鉴经费的请示》领导批示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差错率</w:t>
            </w:r>
          </w:p>
        </w:tc>
        <w:tc>
          <w:tcPr>
            <w:tcW w:w="5386" w:type="dxa"/>
            <w:vAlign w:val="center"/>
          </w:tcPr>
          <w:p>
            <w:pPr>
              <w:pStyle w:val="13"/>
            </w:pPr>
            <w:r>
              <w:t>差错率</w:t>
            </w:r>
          </w:p>
        </w:tc>
        <w:tc>
          <w:tcPr>
            <w:tcW w:w="2268" w:type="dxa"/>
            <w:vAlign w:val="center"/>
          </w:tcPr>
          <w:p>
            <w:pPr>
              <w:pStyle w:val="13"/>
            </w:pPr>
            <w:r>
              <w:t>≤0.01%</w:t>
            </w:r>
          </w:p>
        </w:tc>
        <w:tc>
          <w:tcPr>
            <w:tcW w:w="1276" w:type="dxa"/>
            <w:vAlign w:val="center"/>
          </w:tcPr>
          <w:p>
            <w:pPr>
              <w:pStyle w:val="13"/>
            </w:pPr>
            <w:r>
              <w:t>根据《关于年鉴经费的请示》领导批示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印刷及时率</w:t>
            </w:r>
          </w:p>
        </w:tc>
        <w:tc>
          <w:tcPr>
            <w:tcW w:w="5386" w:type="dxa"/>
            <w:vAlign w:val="center"/>
          </w:tcPr>
          <w:p>
            <w:pPr>
              <w:pStyle w:val="13"/>
            </w:pPr>
            <w:r>
              <w:t>搜集、整理、编校、印刷任务完成及时率</w:t>
            </w:r>
          </w:p>
        </w:tc>
        <w:tc>
          <w:tcPr>
            <w:tcW w:w="2268" w:type="dxa"/>
            <w:vAlign w:val="center"/>
          </w:tcPr>
          <w:p>
            <w:pPr>
              <w:pStyle w:val="13"/>
            </w:pPr>
            <w:r>
              <w:t>≥100%</w:t>
            </w:r>
          </w:p>
        </w:tc>
        <w:tc>
          <w:tcPr>
            <w:tcW w:w="1276" w:type="dxa"/>
            <w:vAlign w:val="center"/>
          </w:tcPr>
          <w:p>
            <w:pPr>
              <w:pStyle w:val="13"/>
            </w:pPr>
            <w:r>
              <w:t>根据《关于年鉴经费的请示》领导批示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编印画册的单册成本</w:t>
            </w:r>
          </w:p>
        </w:tc>
        <w:tc>
          <w:tcPr>
            <w:tcW w:w="2268" w:type="dxa"/>
            <w:vAlign w:val="center"/>
          </w:tcPr>
          <w:p>
            <w:pPr>
              <w:pStyle w:val="13"/>
            </w:pPr>
            <w:r>
              <w:t>≤300元</w:t>
            </w:r>
          </w:p>
        </w:tc>
        <w:tc>
          <w:tcPr>
            <w:tcW w:w="1276" w:type="dxa"/>
            <w:vAlign w:val="center"/>
          </w:tcPr>
          <w:p>
            <w:pPr>
              <w:pStyle w:val="13"/>
            </w:pPr>
            <w:r>
              <w:t>根据《关于年鉴经费的请示》领导批示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资政、教化作用</w:t>
            </w:r>
          </w:p>
        </w:tc>
        <w:tc>
          <w:tcPr>
            <w:tcW w:w="2268" w:type="dxa"/>
            <w:vAlign w:val="center"/>
          </w:tcPr>
          <w:p>
            <w:pPr>
              <w:pStyle w:val="13"/>
            </w:pPr>
            <w:r>
              <w:t>≥80%</w:t>
            </w:r>
          </w:p>
        </w:tc>
        <w:tc>
          <w:tcPr>
            <w:tcW w:w="1276" w:type="dxa"/>
            <w:vAlign w:val="center"/>
          </w:tcPr>
          <w:p>
            <w:pPr>
              <w:pStyle w:val="13"/>
            </w:pPr>
            <w:r>
              <w:t>根据《关于年鉴经费的请示》领导批示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13018326P000328102681</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57.23</w:t>
            </w:r>
          </w:p>
        </w:tc>
        <w:tc>
          <w:tcPr>
            <w:tcW w:w="2835" w:type="dxa"/>
            <w:vAlign w:val="center"/>
          </w:tcPr>
          <w:p>
            <w:pPr>
              <w:pStyle w:val="11"/>
            </w:pPr>
            <w:r>
              <w:t>其中：财政    资金</w:t>
            </w:r>
          </w:p>
        </w:tc>
        <w:tc>
          <w:tcPr>
            <w:tcW w:w="2551" w:type="dxa"/>
            <w:vAlign w:val="center"/>
          </w:tcPr>
          <w:p>
            <w:pPr>
              <w:pStyle w:val="13"/>
            </w:pPr>
            <w:r>
              <w:t>57.23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用于发放劳务派遣人员工资，缴纳各项保险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1.按时发放劳务派遣人员工资，缴纳各项保险费用。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工资发放、社保缴纳人数</w:t>
            </w:r>
          </w:p>
        </w:tc>
        <w:tc>
          <w:tcPr>
            <w:tcW w:w="5386" w:type="dxa"/>
            <w:vAlign w:val="center"/>
          </w:tcPr>
          <w:p>
            <w:pPr>
              <w:pStyle w:val="13"/>
            </w:pPr>
            <w:r>
              <w:t>保障工资发放、社保缴纳人数</w:t>
            </w:r>
          </w:p>
        </w:tc>
        <w:tc>
          <w:tcPr>
            <w:tcW w:w="2268" w:type="dxa"/>
            <w:vAlign w:val="center"/>
          </w:tcPr>
          <w:p>
            <w:pPr>
              <w:pStyle w:val="13"/>
            </w:pPr>
            <w:r>
              <w:t>12人</w:t>
            </w:r>
          </w:p>
        </w:tc>
        <w:tc>
          <w:tcPr>
            <w:tcW w:w="1276" w:type="dxa"/>
            <w:vAlign w:val="center"/>
          </w:tcPr>
          <w:p>
            <w:pPr>
              <w:pStyle w:val="13"/>
            </w:pPr>
            <w:r>
              <w:t>根据《关于市委办劳务派遣人员经费的请示》领导批示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相关人员工作达标率</w:t>
            </w:r>
          </w:p>
        </w:tc>
        <w:tc>
          <w:tcPr>
            <w:tcW w:w="5386" w:type="dxa"/>
            <w:vAlign w:val="center"/>
          </w:tcPr>
          <w:p>
            <w:pPr>
              <w:pStyle w:val="13"/>
            </w:pPr>
            <w:r>
              <w:t>相关人员工作达标率</w:t>
            </w:r>
          </w:p>
        </w:tc>
        <w:tc>
          <w:tcPr>
            <w:tcW w:w="2268" w:type="dxa"/>
            <w:vAlign w:val="center"/>
          </w:tcPr>
          <w:p>
            <w:pPr>
              <w:pStyle w:val="13"/>
            </w:pPr>
            <w:r>
              <w:t>≥98%</w:t>
            </w:r>
          </w:p>
        </w:tc>
        <w:tc>
          <w:tcPr>
            <w:tcW w:w="1276" w:type="dxa"/>
            <w:vAlign w:val="center"/>
          </w:tcPr>
          <w:p>
            <w:pPr>
              <w:pStyle w:val="13"/>
            </w:pPr>
            <w:r>
              <w:t>根据《关于市委办劳务派遣人员经费的请示》领导批示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根据《关于市委办劳务派遣人员经费的请示》领导批示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项目实施资金</w:t>
            </w:r>
          </w:p>
        </w:tc>
        <w:tc>
          <w:tcPr>
            <w:tcW w:w="2268" w:type="dxa"/>
            <w:vAlign w:val="center"/>
          </w:tcPr>
          <w:p>
            <w:pPr>
              <w:pStyle w:val="13"/>
            </w:pPr>
            <w:r>
              <w:t>57.23万元</w:t>
            </w:r>
          </w:p>
        </w:tc>
        <w:tc>
          <w:tcPr>
            <w:tcW w:w="1276" w:type="dxa"/>
            <w:vAlign w:val="center"/>
          </w:tcPr>
          <w:p>
            <w:pPr>
              <w:pStyle w:val="13"/>
            </w:pPr>
            <w:r>
              <w:t>根据《关于市委办劳务派遣人员经费的请示》领导批示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正常运转率</w:t>
            </w:r>
          </w:p>
        </w:tc>
        <w:tc>
          <w:tcPr>
            <w:tcW w:w="5386" w:type="dxa"/>
            <w:vAlign w:val="center"/>
          </w:tcPr>
          <w:p>
            <w:pPr>
              <w:pStyle w:val="13"/>
            </w:pPr>
            <w:r>
              <w:t>市委办日常工作顺利开展率</w:t>
            </w:r>
          </w:p>
        </w:tc>
        <w:tc>
          <w:tcPr>
            <w:tcW w:w="2268" w:type="dxa"/>
            <w:vAlign w:val="center"/>
          </w:tcPr>
          <w:p>
            <w:pPr>
              <w:pStyle w:val="13"/>
            </w:pPr>
            <w:r>
              <w:t>≥98%</w:t>
            </w:r>
          </w:p>
        </w:tc>
        <w:tc>
          <w:tcPr>
            <w:tcW w:w="1276" w:type="dxa"/>
            <w:vAlign w:val="center"/>
          </w:tcPr>
          <w:p>
            <w:pPr>
              <w:pStyle w:val="13"/>
            </w:pPr>
            <w:r>
              <w:t>根据《关于市委办劳务派遣人员经费的请示》领导批示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12、全会经费绩效目标表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13018326P000328102823</w:t>
            </w:r>
          </w:p>
        </w:tc>
        <w:tc>
          <w:tcPr>
            <w:tcW w:w="2835" w:type="dxa"/>
            <w:vAlign w:val="center"/>
          </w:tcPr>
          <w:p>
            <w:pPr>
              <w:pStyle w:val="11"/>
            </w:pPr>
            <w:r>
              <w:t>项目名称</w:t>
            </w:r>
          </w:p>
        </w:tc>
        <w:tc>
          <w:tcPr>
            <w:tcW w:w="6095" w:type="dxa"/>
            <w:gridSpan w:val="3"/>
            <w:vAlign w:val="center"/>
          </w:tcPr>
          <w:p>
            <w:pPr>
              <w:pStyle w:val="13"/>
            </w:pPr>
            <w:r>
              <w:t>全会经费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用于保障全会各项会议顺利进行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1.保障全会各项会议议程圆满完成。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数量完成率</w:t>
            </w:r>
          </w:p>
        </w:tc>
        <w:tc>
          <w:tcPr>
            <w:tcW w:w="5386" w:type="dxa"/>
            <w:vAlign w:val="center"/>
          </w:tcPr>
          <w:p>
            <w:pPr>
              <w:pStyle w:val="13"/>
            </w:pPr>
            <w:r>
              <w:t>各项会议议程完成数量占总体数量比例</w:t>
            </w:r>
          </w:p>
        </w:tc>
        <w:tc>
          <w:tcPr>
            <w:tcW w:w="2268" w:type="dxa"/>
            <w:vAlign w:val="center"/>
          </w:tcPr>
          <w:p>
            <w:pPr>
              <w:pStyle w:val="13"/>
            </w:pPr>
            <w:r>
              <w:t>100%</w:t>
            </w:r>
          </w:p>
        </w:tc>
        <w:tc>
          <w:tcPr>
            <w:tcW w:w="1276" w:type="dxa"/>
            <w:vAlign w:val="center"/>
          </w:tcPr>
          <w:p>
            <w:pPr>
              <w:pStyle w:val="13"/>
            </w:pPr>
            <w:r>
              <w:t>根据《关于市委全会经费的请示》领导批示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质量完成率</w:t>
            </w:r>
          </w:p>
        </w:tc>
        <w:tc>
          <w:tcPr>
            <w:tcW w:w="5386" w:type="dxa"/>
            <w:vAlign w:val="center"/>
          </w:tcPr>
          <w:p>
            <w:pPr>
              <w:pStyle w:val="13"/>
            </w:pPr>
            <w:r>
              <w:t>高质量完成会议议程比例</w:t>
            </w:r>
          </w:p>
        </w:tc>
        <w:tc>
          <w:tcPr>
            <w:tcW w:w="2268" w:type="dxa"/>
            <w:vAlign w:val="center"/>
          </w:tcPr>
          <w:p>
            <w:pPr>
              <w:pStyle w:val="13"/>
            </w:pPr>
            <w:r>
              <w:t>100%</w:t>
            </w:r>
          </w:p>
        </w:tc>
        <w:tc>
          <w:tcPr>
            <w:tcW w:w="1276" w:type="dxa"/>
            <w:vAlign w:val="center"/>
          </w:tcPr>
          <w:p>
            <w:pPr>
              <w:pStyle w:val="13"/>
            </w:pPr>
            <w:r>
              <w:t>根据《关于市委全会经费的请示》领导批示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会议及时召开率</w:t>
            </w:r>
          </w:p>
        </w:tc>
        <w:tc>
          <w:tcPr>
            <w:tcW w:w="5386" w:type="dxa"/>
            <w:vAlign w:val="center"/>
          </w:tcPr>
          <w:p>
            <w:pPr>
              <w:pStyle w:val="13"/>
            </w:pPr>
            <w:r>
              <w:t>会议及时召开率</w:t>
            </w:r>
          </w:p>
        </w:tc>
        <w:tc>
          <w:tcPr>
            <w:tcW w:w="2268" w:type="dxa"/>
            <w:vAlign w:val="center"/>
          </w:tcPr>
          <w:p>
            <w:pPr>
              <w:pStyle w:val="13"/>
            </w:pPr>
            <w:r>
              <w:t>100%</w:t>
            </w:r>
          </w:p>
        </w:tc>
        <w:tc>
          <w:tcPr>
            <w:tcW w:w="1276" w:type="dxa"/>
            <w:vAlign w:val="center"/>
          </w:tcPr>
          <w:p>
            <w:pPr>
              <w:pStyle w:val="13"/>
            </w:pPr>
            <w:r>
              <w:t>根据《关于市委全会经费的请示》领导批示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项目实施资金</w:t>
            </w:r>
          </w:p>
        </w:tc>
        <w:tc>
          <w:tcPr>
            <w:tcW w:w="2268" w:type="dxa"/>
            <w:vAlign w:val="center"/>
          </w:tcPr>
          <w:p>
            <w:pPr>
              <w:pStyle w:val="13"/>
            </w:pPr>
            <w:r>
              <w:t>6万元</w:t>
            </w:r>
          </w:p>
        </w:tc>
        <w:tc>
          <w:tcPr>
            <w:tcW w:w="1276" w:type="dxa"/>
            <w:vAlign w:val="center"/>
          </w:tcPr>
          <w:p>
            <w:pPr>
              <w:pStyle w:val="13"/>
            </w:pPr>
            <w:r>
              <w:t>根据《关于市委全会经费的请示》领导批示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宣传全会精神区域覆盖率</w:t>
            </w:r>
          </w:p>
        </w:tc>
        <w:tc>
          <w:tcPr>
            <w:tcW w:w="5386" w:type="dxa"/>
            <w:vAlign w:val="center"/>
          </w:tcPr>
          <w:p>
            <w:pPr>
              <w:pStyle w:val="13"/>
            </w:pPr>
            <w:r>
              <w:t>宣传全会精神区域覆盖率</w:t>
            </w:r>
          </w:p>
        </w:tc>
        <w:tc>
          <w:tcPr>
            <w:tcW w:w="2268" w:type="dxa"/>
            <w:vAlign w:val="center"/>
          </w:tcPr>
          <w:p>
            <w:pPr>
              <w:pStyle w:val="13"/>
            </w:pPr>
            <w:r>
              <w:t>≥95%</w:t>
            </w:r>
          </w:p>
        </w:tc>
        <w:tc>
          <w:tcPr>
            <w:tcW w:w="1276" w:type="dxa"/>
            <w:vAlign w:val="center"/>
          </w:tcPr>
          <w:p>
            <w:pPr>
              <w:pStyle w:val="13"/>
            </w:pPr>
            <w:r>
              <w:t>根据《关于市委全会经费的请示》领导批示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13、市委值班通信及应急值守及市委一会议室视频专线费绩效目标表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13018326P00032810284A</w:t>
            </w:r>
          </w:p>
        </w:tc>
        <w:tc>
          <w:tcPr>
            <w:tcW w:w="2835" w:type="dxa"/>
            <w:vAlign w:val="center"/>
          </w:tcPr>
          <w:p>
            <w:pPr>
              <w:pStyle w:val="11"/>
            </w:pPr>
            <w:r>
              <w:t>项目名称</w:t>
            </w:r>
          </w:p>
        </w:tc>
        <w:tc>
          <w:tcPr>
            <w:tcW w:w="6095" w:type="dxa"/>
            <w:gridSpan w:val="3"/>
            <w:vAlign w:val="center"/>
          </w:tcPr>
          <w:p>
            <w:pPr>
              <w:pStyle w:val="13"/>
            </w:pPr>
            <w:r>
              <w:t>市委值班通信及应急值守及市委一会议室视频专线费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18.62</w:t>
            </w:r>
          </w:p>
        </w:tc>
        <w:tc>
          <w:tcPr>
            <w:tcW w:w="2835" w:type="dxa"/>
            <w:vAlign w:val="center"/>
          </w:tcPr>
          <w:p>
            <w:pPr>
              <w:pStyle w:val="11"/>
            </w:pPr>
            <w:r>
              <w:t>其中：财政    资金</w:t>
            </w:r>
          </w:p>
        </w:tc>
        <w:tc>
          <w:tcPr>
            <w:tcW w:w="2551" w:type="dxa"/>
            <w:vAlign w:val="center"/>
          </w:tcPr>
          <w:p>
            <w:pPr>
              <w:pStyle w:val="13"/>
            </w:pPr>
            <w:r>
              <w:t>18.62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用于缴纳市委值班通信、应急值守及市委一会议室视频专线费用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1.及时缴纳市委值班通信、应急值守及市委一会议室视频专线费用，保障市委工作正常开展。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保障值班通信、视频专线数量</w:t>
            </w:r>
          </w:p>
        </w:tc>
        <w:tc>
          <w:tcPr>
            <w:tcW w:w="5386" w:type="dxa"/>
            <w:vAlign w:val="center"/>
          </w:tcPr>
          <w:p>
            <w:pPr>
              <w:pStyle w:val="13"/>
            </w:pPr>
            <w:r>
              <w:t>实际保障值班通信、视频专线数量</w:t>
            </w:r>
          </w:p>
        </w:tc>
        <w:tc>
          <w:tcPr>
            <w:tcW w:w="2268" w:type="dxa"/>
            <w:vAlign w:val="center"/>
          </w:tcPr>
          <w:p>
            <w:pPr>
              <w:pStyle w:val="13"/>
            </w:pPr>
            <w:r>
              <w:t>≥5条</w:t>
            </w:r>
          </w:p>
        </w:tc>
        <w:tc>
          <w:tcPr>
            <w:tcW w:w="1276" w:type="dxa"/>
            <w:vAlign w:val="center"/>
          </w:tcPr>
          <w:p>
            <w:pPr>
              <w:pStyle w:val="13"/>
            </w:pPr>
            <w:r>
              <w:t>根据《关于市委值班通信、应急值守及市委一会议室视频专线费的请示》领导批示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平台质量达标率</w:t>
            </w:r>
          </w:p>
        </w:tc>
        <w:tc>
          <w:tcPr>
            <w:tcW w:w="2268" w:type="dxa"/>
            <w:vAlign w:val="center"/>
          </w:tcPr>
          <w:p>
            <w:pPr>
              <w:pStyle w:val="13"/>
            </w:pPr>
            <w:r>
              <w:t>≥98%</w:t>
            </w:r>
          </w:p>
        </w:tc>
        <w:tc>
          <w:tcPr>
            <w:tcW w:w="1276" w:type="dxa"/>
            <w:vAlign w:val="center"/>
          </w:tcPr>
          <w:p>
            <w:pPr>
              <w:pStyle w:val="13"/>
            </w:pPr>
            <w:r>
              <w:t>根据《关于市委值班通信、应急值守及市委一会议室视频专线费的请示》领导批示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及时保障率</w:t>
            </w:r>
          </w:p>
        </w:tc>
        <w:tc>
          <w:tcPr>
            <w:tcW w:w="5386" w:type="dxa"/>
            <w:vAlign w:val="center"/>
          </w:tcPr>
          <w:p>
            <w:pPr>
              <w:pStyle w:val="13"/>
            </w:pPr>
            <w:r>
              <w:t>市委值班通信、应急值守及视频专线得到及时保障所占比例</w:t>
            </w:r>
          </w:p>
        </w:tc>
        <w:tc>
          <w:tcPr>
            <w:tcW w:w="2268" w:type="dxa"/>
            <w:vAlign w:val="center"/>
          </w:tcPr>
          <w:p>
            <w:pPr>
              <w:pStyle w:val="13"/>
            </w:pPr>
            <w:r>
              <w:t>≥98%</w:t>
            </w:r>
          </w:p>
        </w:tc>
        <w:tc>
          <w:tcPr>
            <w:tcW w:w="1276" w:type="dxa"/>
            <w:vAlign w:val="center"/>
          </w:tcPr>
          <w:p>
            <w:pPr>
              <w:pStyle w:val="13"/>
            </w:pPr>
            <w:r>
              <w:t>根据《关于市委值班通信、应急值守及市委一会议室视频专线费的请示》领导批示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项目实施金额</w:t>
            </w:r>
          </w:p>
        </w:tc>
        <w:tc>
          <w:tcPr>
            <w:tcW w:w="2268" w:type="dxa"/>
            <w:vAlign w:val="center"/>
          </w:tcPr>
          <w:p>
            <w:pPr>
              <w:pStyle w:val="13"/>
            </w:pPr>
            <w:r>
              <w:t>18.62%</w:t>
            </w:r>
          </w:p>
        </w:tc>
        <w:tc>
          <w:tcPr>
            <w:tcW w:w="1276" w:type="dxa"/>
            <w:vAlign w:val="center"/>
          </w:tcPr>
          <w:p>
            <w:pPr>
              <w:pStyle w:val="13"/>
            </w:pPr>
            <w:r>
              <w:t>根据《关于市委值班通信、应急值守及市委一会议室视频专线费的请示》领导批示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值班通讯完成率</w:t>
            </w:r>
          </w:p>
        </w:tc>
        <w:tc>
          <w:tcPr>
            <w:tcW w:w="5386" w:type="dxa"/>
            <w:vAlign w:val="center"/>
          </w:tcPr>
          <w:p>
            <w:pPr>
              <w:pStyle w:val="13"/>
            </w:pPr>
            <w:r>
              <w:t>值班通讯完成率</w:t>
            </w:r>
          </w:p>
        </w:tc>
        <w:tc>
          <w:tcPr>
            <w:tcW w:w="2268" w:type="dxa"/>
            <w:vAlign w:val="center"/>
          </w:tcPr>
          <w:p>
            <w:pPr>
              <w:pStyle w:val="13"/>
            </w:pPr>
            <w:r>
              <w:t>≥98%</w:t>
            </w:r>
          </w:p>
        </w:tc>
        <w:tc>
          <w:tcPr>
            <w:tcW w:w="1276" w:type="dxa"/>
            <w:vAlign w:val="center"/>
          </w:tcPr>
          <w:p>
            <w:pPr>
              <w:pStyle w:val="13"/>
            </w:pPr>
            <w:r>
              <w:t>根据《关于市委值班通信、应急值守及市委一会议室视频专线费的请示》领导批示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14、信息督查经费绩效目标表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13018326P00032810286H</w:t>
            </w:r>
          </w:p>
        </w:tc>
        <w:tc>
          <w:tcPr>
            <w:tcW w:w="2835" w:type="dxa"/>
            <w:vAlign w:val="center"/>
          </w:tcPr>
          <w:p>
            <w:pPr>
              <w:pStyle w:val="11"/>
            </w:pPr>
            <w:r>
              <w:t>项目名称</w:t>
            </w:r>
          </w:p>
        </w:tc>
        <w:tc>
          <w:tcPr>
            <w:tcW w:w="6095" w:type="dxa"/>
            <w:gridSpan w:val="3"/>
            <w:vAlign w:val="center"/>
          </w:tcPr>
          <w:p>
            <w:pPr>
              <w:pStyle w:val="13"/>
            </w:pPr>
            <w:r>
              <w:t>信息督查经费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用于开展信息收集、整理、督导、检查、保密及相关工作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55%</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1.保障我市信息收集、整理、督导、检查、保密及相关工作顺利开展，为领导决策提供依据，保障落实到位，做好领导的参谋、助手。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结论采纳比例</w:t>
            </w:r>
          </w:p>
        </w:tc>
        <w:tc>
          <w:tcPr>
            <w:tcW w:w="5386" w:type="dxa"/>
            <w:vAlign w:val="center"/>
          </w:tcPr>
          <w:p>
            <w:pPr>
              <w:pStyle w:val="13"/>
            </w:pPr>
            <w:r>
              <w:t>各项工作结论决策采用数量占总体数量比例</w:t>
            </w:r>
          </w:p>
        </w:tc>
        <w:tc>
          <w:tcPr>
            <w:tcW w:w="2268" w:type="dxa"/>
            <w:vAlign w:val="center"/>
          </w:tcPr>
          <w:p>
            <w:pPr>
              <w:pStyle w:val="13"/>
            </w:pPr>
            <w:r>
              <w:t>≥98%</w:t>
            </w:r>
          </w:p>
        </w:tc>
        <w:tc>
          <w:tcPr>
            <w:tcW w:w="1276" w:type="dxa"/>
            <w:vAlign w:val="center"/>
          </w:tcPr>
          <w:p>
            <w:pPr>
              <w:pStyle w:val="13"/>
            </w:pPr>
            <w:r>
              <w:t>根据《关于市委信息督查费的请示》领导批示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信息督查工作办结率</w:t>
            </w:r>
          </w:p>
        </w:tc>
        <w:tc>
          <w:tcPr>
            <w:tcW w:w="5386" w:type="dxa"/>
            <w:vAlign w:val="center"/>
          </w:tcPr>
          <w:p>
            <w:pPr>
              <w:pStyle w:val="13"/>
            </w:pPr>
            <w:r>
              <w:t>信息督查工作办结所占比例</w:t>
            </w:r>
          </w:p>
        </w:tc>
        <w:tc>
          <w:tcPr>
            <w:tcW w:w="2268" w:type="dxa"/>
            <w:vAlign w:val="center"/>
          </w:tcPr>
          <w:p>
            <w:pPr>
              <w:pStyle w:val="13"/>
            </w:pPr>
            <w:r>
              <w:t>≥98%</w:t>
            </w:r>
          </w:p>
        </w:tc>
        <w:tc>
          <w:tcPr>
            <w:tcW w:w="1276" w:type="dxa"/>
            <w:vAlign w:val="center"/>
          </w:tcPr>
          <w:p>
            <w:pPr>
              <w:pStyle w:val="13"/>
            </w:pPr>
            <w:r>
              <w:t>根据《关于市委信息督查费的请示》领导批示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信息督查任务按时完成率</w:t>
            </w:r>
          </w:p>
        </w:tc>
        <w:tc>
          <w:tcPr>
            <w:tcW w:w="5386" w:type="dxa"/>
            <w:vAlign w:val="center"/>
          </w:tcPr>
          <w:p>
            <w:pPr>
              <w:pStyle w:val="13"/>
            </w:pPr>
            <w:r>
              <w:t>工作及时完成率</w:t>
            </w:r>
          </w:p>
        </w:tc>
        <w:tc>
          <w:tcPr>
            <w:tcW w:w="2268" w:type="dxa"/>
            <w:vAlign w:val="center"/>
          </w:tcPr>
          <w:p>
            <w:pPr>
              <w:pStyle w:val="13"/>
            </w:pPr>
            <w:r>
              <w:t>≥98%</w:t>
            </w:r>
          </w:p>
        </w:tc>
        <w:tc>
          <w:tcPr>
            <w:tcW w:w="1276" w:type="dxa"/>
            <w:vAlign w:val="center"/>
          </w:tcPr>
          <w:p>
            <w:pPr>
              <w:pStyle w:val="13"/>
            </w:pPr>
            <w:r>
              <w:t>根据《关于市委信息督查费的请示》领导批示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项目实施资金</w:t>
            </w:r>
          </w:p>
        </w:tc>
        <w:tc>
          <w:tcPr>
            <w:tcW w:w="2268" w:type="dxa"/>
            <w:vAlign w:val="center"/>
          </w:tcPr>
          <w:p>
            <w:pPr>
              <w:pStyle w:val="13"/>
            </w:pPr>
            <w:r>
              <w:t>26万元</w:t>
            </w:r>
          </w:p>
        </w:tc>
        <w:tc>
          <w:tcPr>
            <w:tcW w:w="1276" w:type="dxa"/>
            <w:vAlign w:val="center"/>
          </w:tcPr>
          <w:p>
            <w:pPr>
              <w:pStyle w:val="13"/>
            </w:pPr>
            <w:r>
              <w:t>根据《关于市委信息督查费的请示》领导批示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信息督查工作顺利开展率</w:t>
            </w:r>
          </w:p>
        </w:tc>
        <w:tc>
          <w:tcPr>
            <w:tcW w:w="5386" w:type="dxa"/>
            <w:vAlign w:val="center"/>
          </w:tcPr>
          <w:p>
            <w:pPr>
              <w:pStyle w:val="13"/>
            </w:pPr>
            <w:r>
              <w:t>信息督查工作顺利开展比例</w:t>
            </w:r>
          </w:p>
        </w:tc>
        <w:tc>
          <w:tcPr>
            <w:tcW w:w="2268" w:type="dxa"/>
            <w:vAlign w:val="center"/>
          </w:tcPr>
          <w:p>
            <w:pPr>
              <w:pStyle w:val="13"/>
            </w:pPr>
            <w:r>
              <w:t>≥98%</w:t>
            </w:r>
          </w:p>
        </w:tc>
        <w:tc>
          <w:tcPr>
            <w:tcW w:w="1276" w:type="dxa"/>
            <w:vAlign w:val="center"/>
          </w:tcPr>
          <w:p>
            <w:pPr>
              <w:pStyle w:val="13"/>
            </w:pPr>
            <w:r>
              <w:t>根据《关于市委信息督查费的请示》领导批示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15、值班室、会议室及公文运转保障费绩效目标表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13018326P00032810291B</w:t>
            </w:r>
          </w:p>
        </w:tc>
        <w:tc>
          <w:tcPr>
            <w:tcW w:w="2835" w:type="dxa"/>
            <w:vAlign w:val="center"/>
          </w:tcPr>
          <w:p>
            <w:pPr>
              <w:pStyle w:val="11"/>
            </w:pPr>
            <w:r>
              <w:t>项目名称</w:t>
            </w:r>
          </w:p>
        </w:tc>
        <w:tc>
          <w:tcPr>
            <w:tcW w:w="6095" w:type="dxa"/>
            <w:gridSpan w:val="3"/>
            <w:vAlign w:val="center"/>
          </w:tcPr>
          <w:p>
            <w:pPr>
              <w:pStyle w:val="13"/>
            </w:pPr>
            <w:r>
              <w:t>值班室、会议室及公文运转保障费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用于保障值班室、会议室及公文运转，完成市委日常工作任务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55%</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1.保障值班室、会议室及公文运转，完成市委日常工作任务。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工作任务完成率</w:t>
            </w:r>
          </w:p>
        </w:tc>
        <w:tc>
          <w:tcPr>
            <w:tcW w:w="5386" w:type="dxa"/>
            <w:vAlign w:val="center"/>
          </w:tcPr>
          <w:p>
            <w:pPr>
              <w:pStyle w:val="13"/>
            </w:pPr>
            <w:r>
              <w:t>完成工作数量占应完成数量比例</w:t>
            </w:r>
          </w:p>
        </w:tc>
        <w:tc>
          <w:tcPr>
            <w:tcW w:w="2268" w:type="dxa"/>
            <w:vAlign w:val="center"/>
          </w:tcPr>
          <w:p>
            <w:pPr>
              <w:pStyle w:val="13"/>
            </w:pPr>
            <w:r>
              <w:t>≥98%</w:t>
            </w:r>
          </w:p>
        </w:tc>
        <w:tc>
          <w:tcPr>
            <w:tcW w:w="1276" w:type="dxa"/>
            <w:vAlign w:val="center"/>
          </w:tcPr>
          <w:p>
            <w:pPr>
              <w:pStyle w:val="13"/>
            </w:pPr>
            <w:r>
              <w:t>根据《关于值班室、会议室及公文运转保障费的请示》领导批示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完成工作质量达标率</w:t>
            </w:r>
          </w:p>
        </w:tc>
        <w:tc>
          <w:tcPr>
            <w:tcW w:w="5386" w:type="dxa"/>
            <w:vAlign w:val="center"/>
          </w:tcPr>
          <w:p>
            <w:pPr>
              <w:pStyle w:val="13"/>
            </w:pPr>
            <w:r>
              <w:t>完成工作质量达标所占比例</w:t>
            </w:r>
          </w:p>
        </w:tc>
        <w:tc>
          <w:tcPr>
            <w:tcW w:w="2268" w:type="dxa"/>
            <w:vAlign w:val="center"/>
          </w:tcPr>
          <w:p>
            <w:pPr>
              <w:pStyle w:val="13"/>
            </w:pPr>
            <w:r>
              <w:t>≥98%</w:t>
            </w:r>
          </w:p>
        </w:tc>
        <w:tc>
          <w:tcPr>
            <w:tcW w:w="1276" w:type="dxa"/>
            <w:vAlign w:val="center"/>
          </w:tcPr>
          <w:p>
            <w:pPr>
              <w:pStyle w:val="13"/>
            </w:pPr>
            <w:r>
              <w:t>根据《关于值班室、会议室及公文运转保障费的请示》领导批示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按时完成的工作任务所占比例</w:t>
            </w:r>
          </w:p>
        </w:tc>
        <w:tc>
          <w:tcPr>
            <w:tcW w:w="2268" w:type="dxa"/>
            <w:vAlign w:val="center"/>
          </w:tcPr>
          <w:p>
            <w:pPr>
              <w:pStyle w:val="13"/>
            </w:pPr>
            <w:r>
              <w:t>≥98%</w:t>
            </w:r>
          </w:p>
        </w:tc>
        <w:tc>
          <w:tcPr>
            <w:tcW w:w="1276" w:type="dxa"/>
            <w:vAlign w:val="center"/>
          </w:tcPr>
          <w:p>
            <w:pPr>
              <w:pStyle w:val="13"/>
            </w:pPr>
            <w:r>
              <w:t>根据《关于值班室、会议室及公文运转保障费的请示》领导批示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项目实施资金</w:t>
            </w:r>
          </w:p>
        </w:tc>
        <w:tc>
          <w:tcPr>
            <w:tcW w:w="2268" w:type="dxa"/>
            <w:vAlign w:val="center"/>
          </w:tcPr>
          <w:p>
            <w:pPr>
              <w:pStyle w:val="13"/>
            </w:pPr>
            <w:r>
              <w:t>20%</w:t>
            </w:r>
          </w:p>
        </w:tc>
        <w:tc>
          <w:tcPr>
            <w:tcW w:w="1276" w:type="dxa"/>
            <w:vAlign w:val="center"/>
          </w:tcPr>
          <w:p>
            <w:pPr>
              <w:pStyle w:val="13"/>
            </w:pPr>
            <w:r>
              <w:t>根据《关于值班室、会议室及公文运转保障费的请示》领导批示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正常运转率</w:t>
            </w:r>
          </w:p>
        </w:tc>
        <w:tc>
          <w:tcPr>
            <w:tcW w:w="5386" w:type="dxa"/>
            <w:vAlign w:val="center"/>
          </w:tcPr>
          <w:p>
            <w:pPr>
              <w:pStyle w:val="13"/>
            </w:pPr>
            <w:r>
              <w:t>保障及时处置突发事件比例</w:t>
            </w:r>
          </w:p>
        </w:tc>
        <w:tc>
          <w:tcPr>
            <w:tcW w:w="2268" w:type="dxa"/>
            <w:vAlign w:val="center"/>
          </w:tcPr>
          <w:p>
            <w:pPr>
              <w:pStyle w:val="13"/>
            </w:pPr>
            <w:r>
              <w:t>≥98%</w:t>
            </w:r>
          </w:p>
        </w:tc>
        <w:tc>
          <w:tcPr>
            <w:tcW w:w="1276" w:type="dxa"/>
            <w:vAlign w:val="center"/>
          </w:tcPr>
          <w:p>
            <w:pPr>
              <w:pStyle w:val="13"/>
            </w:pPr>
            <w:r>
              <w:t>根据《关于值班室、会议室及公文运转保障费的请示》领导批示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中国共产党晋州市委员会办公室本级小计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中国共产党晋州市委员会办公室（含所属单位）上年末固定资产金额为752.31万元（详见下表）。本年度拟购置固定资产总额为0.00万元，已按要求列入政府采购预算，详见政府采购预算表。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201中国共产党晋州市委员会办公室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752.31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178.53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1838</w:t>
            </w:r>
          </w:p>
        </w:tc>
        <w:tc>
          <w:tcPr>
            <w:tcW w:w="2835" w:type="dxa"/>
            <w:vAlign w:val="center"/>
          </w:tcPr>
          <w:p>
            <w:pPr>
              <w:pStyle w:val="12"/>
            </w:pPr>
            <w:r>
              <w:t>573.78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7A74C"/>
    <w:multiLevelType w:val="singleLevel"/>
    <w:tmpl w:val="A587A74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81366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2026-03-02T08:34:00Z</dcterms:created>
  <dc:creator>Administrator</dc:creator>
  <cp:lastModifiedBy>Administrator</cp:lastModifiedBy>
  <dcterms:modified xsi:type="dcterms:W3CDTF">2026-03-02T02:55:41Z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