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一、晋州市信访局本级收支预算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一、晋州市信访局本级收支预算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202001晋州市信访局本级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352.85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352.85</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352.85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352.85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352.85</w:t>
            </w:r>
          </w:p>
        </w:tc>
        <w:tc>
          <w:tcPr>
            <w:tcW w:w="4535" w:type="dxa"/>
            <w:vAlign w:val="center"/>
          </w:tcPr>
          <w:p>
            <w:pPr>
              <w:pStyle w:val="单元格样式6"/>
            </w:pPr>
            <w:r>
              <w:t xml:space="preserve">支出总计</w:t>
            </w:r>
          </w:p>
        </w:tc>
        <w:tc>
          <w:tcPr>
            <w:tcW w:w="2126" w:type="dxa"/>
            <w:vAlign w:val="center"/>
          </w:tcPr>
          <w:p>
            <w:pPr>
              <w:pStyle w:val="单元格样式7"/>
            </w:pPr>
            <w:r>
              <w:t xml:space="preserve">352.85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202001晋州市信访局本级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352.85</w:t>
            </w:r>
          </w:p>
        </w:tc>
        <w:tc>
          <w:tcPr>
            <w:tcW w:w="1134" w:type="dxa"/>
            <w:vAlign w:val="center"/>
          </w:tcPr>
          <w:p>
            <w:pPr>
              <w:pStyle w:val="单元格样式7"/>
            </w:pPr>
            <w:r>
              <w:t xml:space="preserve">352.85</w:t>
            </w:r>
          </w:p>
        </w:tc>
        <w:tc>
          <w:tcPr>
            <w:tcW w:w="1134" w:type="dxa"/>
            <w:vAlign w:val="center"/>
          </w:tcPr>
          <w:p>
            <w:pPr>
              <w:pStyle w:val="单元格样式7"/>
            </w:pPr>
            <w:r>
              <w:t xml:space="preserve">352.85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352.85</w:t>
            </w:r>
          </w:p>
        </w:tc>
        <w:tc>
          <w:tcPr>
            <w:tcW w:w="1134" w:type="dxa"/>
            <w:vAlign w:val="center"/>
          </w:tcPr>
          <w:p>
            <w:pPr>
              <w:pStyle w:val="单元格样式4"/>
            </w:pPr>
            <w:r>
              <w:t xml:space="preserve">352.85</w:t>
            </w:r>
          </w:p>
        </w:tc>
        <w:tc>
          <w:tcPr>
            <w:tcW w:w="1134" w:type="dxa"/>
            <w:vAlign w:val="center"/>
          </w:tcPr>
          <w:p>
            <w:pPr>
              <w:pStyle w:val="单元格样式4"/>
            </w:pPr>
            <w:r>
              <w:t xml:space="preserve">352.85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20140</w:t>
            </w:r>
          </w:p>
        </w:tc>
        <w:tc>
          <w:tcPr>
            <w:tcW w:w="1559" w:type="dxa"/>
            <w:vAlign w:val="center"/>
          </w:tcPr>
          <w:p>
            <w:pPr>
              <w:pStyle w:val="单元格样式2"/>
            </w:pPr>
            <w:r>
              <w:t xml:space="preserve">信访事务</w:t>
            </w:r>
          </w:p>
        </w:tc>
        <w:tc>
          <w:tcPr>
            <w:tcW w:w="1134" w:type="dxa"/>
            <w:vAlign w:val="center"/>
          </w:tcPr>
          <w:p>
            <w:pPr>
              <w:pStyle w:val="单元格样式4"/>
            </w:pPr>
            <w:r>
              <w:t xml:space="preserve">352.85</w:t>
            </w:r>
          </w:p>
        </w:tc>
        <w:tc>
          <w:tcPr>
            <w:tcW w:w="1134" w:type="dxa"/>
            <w:vAlign w:val="center"/>
          </w:tcPr>
          <w:p>
            <w:pPr>
              <w:pStyle w:val="单元格样式4"/>
            </w:pPr>
            <w:r>
              <w:t xml:space="preserve">352.85</w:t>
            </w:r>
          </w:p>
        </w:tc>
        <w:tc>
          <w:tcPr>
            <w:tcW w:w="1134" w:type="dxa"/>
            <w:vAlign w:val="center"/>
          </w:tcPr>
          <w:p>
            <w:pPr>
              <w:pStyle w:val="单元格样式4"/>
            </w:pPr>
            <w:r>
              <w:t xml:space="preserve">352.85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2014001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252.85</w:t>
            </w:r>
          </w:p>
        </w:tc>
        <w:tc>
          <w:tcPr>
            <w:tcW w:w="1134" w:type="dxa"/>
            <w:vAlign w:val="center"/>
          </w:tcPr>
          <w:p>
            <w:pPr>
              <w:pStyle w:val="单元格样式4"/>
            </w:pPr>
            <w:r>
              <w:t xml:space="preserve">252.85</w:t>
            </w:r>
          </w:p>
        </w:tc>
        <w:tc>
          <w:tcPr>
            <w:tcW w:w="1134" w:type="dxa"/>
            <w:vAlign w:val="center"/>
          </w:tcPr>
          <w:p>
            <w:pPr>
              <w:pStyle w:val="单元格样式4"/>
            </w:pPr>
            <w:r>
              <w:t xml:space="preserve">252.85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2014004</w:t>
            </w:r>
          </w:p>
        </w:tc>
        <w:tc>
          <w:tcPr>
            <w:tcW w:w="1559" w:type="dxa"/>
            <w:vAlign w:val="center"/>
          </w:tcPr>
          <w:p>
            <w:pPr>
              <w:pStyle w:val="单元格样式2"/>
            </w:pPr>
            <w:r>
              <w:t xml:space="preserve">信访业务</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r>
              <w:t xml:space="preserve">100.00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202001晋州市信访局本级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352.85</w:t>
            </w:r>
          </w:p>
        </w:tc>
        <w:tc>
          <w:tcPr>
            <w:tcW w:w="1361" w:type="dxa"/>
            <w:vAlign w:val="center"/>
          </w:tcPr>
          <w:p>
            <w:pPr>
              <w:pStyle w:val="单元格样式7"/>
            </w:pPr>
            <w:r>
              <w:t xml:space="preserve">252.85</w:t>
            </w:r>
          </w:p>
        </w:tc>
        <w:tc>
          <w:tcPr>
            <w:tcW w:w="1361" w:type="dxa"/>
            <w:vAlign w:val="center"/>
          </w:tcPr>
          <w:p>
            <w:pPr>
              <w:pStyle w:val="单元格样式7"/>
            </w:pPr>
            <w:r>
              <w:t xml:space="preserve">100.00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352.85</w:t>
            </w:r>
          </w:p>
        </w:tc>
        <w:tc>
          <w:tcPr>
            <w:tcW w:w="1361" w:type="dxa"/>
            <w:vAlign w:val="center"/>
          </w:tcPr>
          <w:p>
            <w:pPr>
              <w:pStyle w:val="单元格样式4"/>
            </w:pPr>
            <w:r>
              <w:t xml:space="preserve">252.85</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20140</w:t>
            </w:r>
          </w:p>
        </w:tc>
        <w:tc>
          <w:tcPr>
            <w:tcW w:w="4535" w:type="dxa"/>
            <w:vAlign w:val="center"/>
          </w:tcPr>
          <w:p>
            <w:pPr>
              <w:pStyle w:val="单元格样式2"/>
            </w:pPr>
            <w:r>
              <w:t xml:space="preserve">信访事务</w:t>
            </w:r>
          </w:p>
        </w:tc>
        <w:tc>
          <w:tcPr>
            <w:tcW w:w="1361" w:type="dxa"/>
            <w:vAlign w:val="center"/>
          </w:tcPr>
          <w:p>
            <w:pPr>
              <w:pStyle w:val="单元格样式4"/>
            </w:pPr>
            <w:r>
              <w:t xml:space="preserve">352.85</w:t>
            </w:r>
          </w:p>
        </w:tc>
        <w:tc>
          <w:tcPr>
            <w:tcW w:w="1361" w:type="dxa"/>
            <w:vAlign w:val="center"/>
          </w:tcPr>
          <w:p>
            <w:pPr>
              <w:pStyle w:val="单元格样式4"/>
            </w:pPr>
            <w:r>
              <w:t xml:space="preserve">252.85</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2014001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252.85</w:t>
            </w:r>
          </w:p>
        </w:tc>
        <w:tc>
          <w:tcPr>
            <w:tcW w:w="1361" w:type="dxa"/>
            <w:vAlign w:val="center"/>
          </w:tcPr>
          <w:p>
            <w:pPr>
              <w:pStyle w:val="单元格样式4"/>
            </w:pPr>
            <w:r>
              <w:t xml:space="preserve">252.85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2014004</w:t>
            </w:r>
          </w:p>
        </w:tc>
        <w:tc>
          <w:tcPr>
            <w:tcW w:w="4535" w:type="dxa"/>
            <w:vAlign w:val="center"/>
          </w:tcPr>
          <w:p>
            <w:pPr>
              <w:pStyle w:val="单元格样式2"/>
            </w:pPr>
            <w:r>
              <w:t xml:space="preserve">信访业务</w:t>
            </w: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r>
              <w:t xml:space="preserve">100.00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202001晋州市信访局本级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352.85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352.85</w:t>
            </w:r>
          </w:p>
        </w:tc>
        <w:tc>
          <w:tcPr>
            <w:tcW w:w="1474" w:type="dxa"/>
            <w:vAlign w:val="center"/>
          </w:tcPr>
          <w:p>
            <w:pPr>
              <w:pStyle w:val="单元格样式4"/>
            </w:pPr>
            <w:r>
              <w:t xml:space="preserve">352.85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352.85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352.85</w:t>
            </w:r>
          </w:p>
        </w:tc>
        <w:tc>
          <w:tcPr>
            <w:tcW w:w="1474" w:type="dxa"/>
            <w:vAlign w:val="center"/>
          </w:tcPr>
          <w:p>
            <w:pPr>
              <w:pStyle w:val="单元格样式7"/>
            </w:pPr>
            <w:r>
              <w:t xml:space="preserve">352.85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352.85</w:t>
            </w:r>
          </w:p>
        </w:tc>
        <w:tc>
          <w:tcPr>
            <w:tcW w:w="3402" w:type="dxa"/>
            <w:vAlign w:val="center"/>
          </w:tcPr>
          <w:p>
            <w:pPr>
              <w:pStyle w:val="单元格样式6"/>
            </w:pPr>
            <w:r>
              <w:t xml:space="preserve">支出总计</w:t>
            </w:r>
          </w:p>
        </w:tc>
        <w:tc>
          <w:tcPr>
            <w:tcW w:w="1474" w:type="dxa"/>
            <w:vAlign w:val="center"/>
          </w:tcPr>
          <w:p>
            <w:pPr>
              <w:pStyle w:val="单元格样式7"/>
            </w:pPr>
            <w:r>
              <w:t xml:space="preserve">352.85</w:t>
            </w:r>
          </w:p>
        </w:tc>
        <w:tc>
          <w:tcPr>
            <w:tcW w:w="1474" w:type="dxa"/>
            <w:vAlign w:val="center"/>
          </w:tcPr>
          <w:p>
            <w:pPr>
              <w:pStyle w:val="单元格样式7"/>
            </w:pPr>
            <w:r>
              <w:t xml:space="preserve">352.85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202001晋州市信访局本级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352.85</w:t>
            </w:r>
          </w:p>
        </w:tc>
        <w:tc>
          <w:tcPr>
            <w:tcW w:w="2551" w:type="dxa"/>
            <w:vAlign w:val="center"/>
          </w:tcPr>
          <w:p>
            <w:pPr>
              <w:pStyle w:val="单元格样式7"/>
            </w:pPr>
            <w:r>
              <w:t xml:space="preserve">252.85</w:t>
            </w:r>
          </w:p>
        </w:tc>
        <w:tc>
          <w:tcPr>
            <w:tcW w:w="2551" w:type="dxa"/>
            <w:vAlign w:val="center"/>
          </w:tcPr>
          <w:p>
            <w:pPr>
              <w:pStyle w:val="单元格样式7"/>
            </w:pPr>
            <w:r>
              <w:t xml:space="preserve">100.00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352.85</w:t>
            </w:r>
          </w:p>
        </w:tc>
        <w:tc>
          <w:tcPr>
            <w:tcW w:w="2551" w:type="dxa"/>
            <w:vAlign w:val="center"/>
          </w:tcPr>
          <w:p>
            <w:pPr>
              <w:pStyle w:val="单元格样式4"/>
            </w:pPr>
            <w:r>
              <w:t xml:space="preserve">252.85</w:t>
            </w:r>
          </w:p>
        </w:tc>
        <w:tc>
          <w:tcPr>
            <w:tcW w:w="2551" w:type="dxa"/>
            <w:vAlign w:val="center"/>
          </w:tcPr>
          <w:p>
            <w:pPr>
              <w:pStyle w:val="单元格样式4"/>
            </w:pPr>
            <w:r>
              <w:t xml:space="preserve">100.00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20140</w:t>
            </w:r>
          </w:p>
        </w:tc>
        <w:tc>
          <w:tcPr>
            <w:tcW w:w="4535" w:type="dxa"/>
            <w:vAlign w:val="center"/>
          </w:tcPr>
          <w:p>
            <w:pPr>
              <w:pStyle w:val="单元格样式2"/>
            </w:pPr>
            <w:r>
              <w:t xml:space="preserve">信访事务</w:t>
            </w:r>
          </w:p>
        </w:tc>
        <w:tc>
          <w:tcPr>
            <w:tcW w:w="2551" w:type="dxa"/>
            <w:vAlign w:val="center"/>
          </w:tcPr>
          <w:p>
            <w:pPr>
              <w:pStyle w:val="单元格样式4"/>
            </w:pPr>
            <w:r>
              <w:t xml:space="preserve">352.85</w:t>
            </w:r>
          </w:p>
        </w:tc>
        <w:tc>
          <w:tcPr>
            <w:tcW w:w="2551" w:type="dxa"/>
            <w:vAlign w:val="center"/>
          </w:tcPr>
          <w:p>
            <w:pPr>
              <w:pStyle w:val="单元格样式4"/>
            </w:pPr>
            <w:r>
              <w:t xml:space="preserve">252.85</w:t>
            </w:r>
          </w:p>
        </w:tc>
        <w:tc>
          <w:tcPr>
            <w:tcW w:w="2551" w:type="dxa"/>
            <w:vAlign w:val="center"/>
          </w:tcPr>
          <w:p>
            <w:pPr>
              <w:pStyle w:val="单元格样式4"/>
            </w:pPr>
            <w:r>
              <w:t xml:space="preserve">100.00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2014001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252.85</w:t>
            </w:r>
          </w:p>
        </w:tc>
        <w:tc>
          <w:tcPr>
            <w:tcW w:w="2551" w:type="dxa"/>
            <w:vAlign w:val="center"/>
          </w:tcPr>
          <w:p>
            <w:pPr>
              <w:pStyle w:val="单元格样式4"/>
            </w:pPr>
            <w:r>
              <w:t xml:space="preserve">252.85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2014004</w:t>
            </w:r>
          </w:p>
        </w:tc>
        <w:tc>
          <w:tcPr>
            <w:tcW w:w="4535" w:type="dxa"/>
            <w:vAlign w:val="center"/>
          </w:tcPr>
          <w:p>
            <w:pPr>
              <w:pStyle w:val="单元格样式2"/>
            </w:pPr>
            <w:r>
              <w:t xml:space="preserve">信访业务</w:t>
            </w:r>
          </w:p>
        </w:tc>
        <w:tc>
          <w:tcPr>
            <w:tcW w:w="2551" w:type="dxa"/>
            <w:vAlign w:val="center"/>
          </w:tcPr>
          <w:p>
            <w:pPr>
              <w:pStyle w:val="单元格样式4"/>
            </w:pPr>
            <w:r>
              <w:t xml:space="preserve">100.00</w:t>
            </w:r>
          </w:p>
        </w:tc>
        <w:tc>
          <w:tcPr>
            <w:tcW w:w="2551" w:type="dxa"/>
            <w:vAlign w:val="center"/>
          </w:tcPr>
          <w:p>
            <w:pPr>
              <w:pStyle w:val="单元格样式4"/>
            </w:pPr>
          </w:p>
        </w:tc>
        <w:tc>
          <w:tcPr>
            <w:tcW w:w="2551" w:type="dxa"/>
            <w:vAlign w:val="center"/>
          </w:tcPr>
          <w:p>
            <w:pPr>
              <w:pStyle w:val="单元格样式4"/>
            </w:pPr>
            <w:r>
              <w:t xml:space="preserve">100.00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202001晋州市信访局本级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252.85</w:t>
            </w:r>
          </w:p>
        </w:tc>
        <w:tc>
          <w:tcPr>
            <w:tcW w:w="2551" w:type="dxa"/>
            <w:vAlign w:val="center"/>
          </w:tcPr>
          <w:p>
            <w:pPr>
              <w:pStyle w:val="单元格样式7"/>
            </w:pPr>
            <w:r>
              <w:t xml:space="preserve">227.33</w:t>
            </w:r>
          </w:p>
        </w:tc>
        <w:tc>
          <w:tcPr>
            <w:tcW w:w="2551" w:type="dxa"/>
            <w:vAlign w:val="center"/>
          </w:tcPr>
          <w:p>
            <w:pPr>
              <w:pStyle w:val="单元格样式7"/>
            </w:pPr>
            <w:r>
              <w:t xml:space="preserve">25.52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200.42</w:t>
            </w:r>
          </w:p>
        </w:tc>
        <w:tc>
          <w:tcPr>
            <w:tcW w:w="2551" w:type="dxa"/>
            <w:vAlign w:val="center"/>
          </w:tcPr>
          <w:p>
            <w:pPr>
              <w:pStyle w:val="单元格样式4"/>
            </w:pPr>
            <w:r>
              <w:t xml:space="preserve">200.42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76.09</w:t>
            </w:r>
          </w:p>
        </w:tc>
        <w:tc>
          <w:tcPr>
            <w:tcW w:w="2551" w:type="dxa"/>
            <w:vAlign w:val="center"/>
          </w:tcPr>
          <w:p>
            <w:pPr>
              <w:pStyle w:val="单元格样式4"/>
            </w:pPr>
            <w:r>
              <w:t xml:space="preserve">76.09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30.86</w:t>
            </w:r>
          </w:p>
        </w:tc>
        <w:tc>
          <w:tcPr>
            <w:tcW w:w="2551" w:type="dxa"/>
            <w:vAlign w:val="center"/>
          </w:tcPr>
          <w:p>
            <w:pPr>
              <w:pStyle w:val="单元格样式4"/>
            </w:pPr>
            <w:r>
              <w:t xml:space="preserve">30.86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23.72</w:t>
            </w:r>
          </w:p>
        </w:tc>
        <w:tc>
          <w:tcPr>
            <w:tcW w:w="2551" w:type="dxa"/>
            <w:vAlign w:val="center"/>
          </w:tcPr>
          <w:p>
            <w:pPr>
              <w:pStyle w:val="单元格样式4"/>
            </w:pPr>
            <w:r>
              <w:t xml:space="preserve">23.72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18.87</w:t>
            </w:r>
          </w:p>
        </w:tc>
        <w:tc>
          <w:tcPr>
            <w:tcW w:w="2551" w:type="dxa"/>
            <w:vAlign w:val="center"/>
          </w:tcPr>
          <w:p>
            <w:pPr>
              <w:pStyle w:val="单元格样式4"/>
            </w:pPr>
            <w:r>
              <w:t xml:space="preserve">18.87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20.61</w:t>
            </w:r>
          </w:p>
        </w:tc>
        <w:tc>
          <w:tcPr>
            <w:tcW w:w="2551" w:type="dxa"/>
            <w:vAlign w:val="center"/>
          </w:tcPr>
          <w:p>
            <w:pPr>
              <w:pStyle w:val="单元格样式4"/>
            </w:pPr>
            <w:r>
              <w:t xml:space="preserve">20.61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8.26</w:t>
            </w:r>
          </w:p>
        </w:tc>
        <w:tc>
          <w:tcPr>
            <w:tcW w:w="2551" w:type="dxa"/>
            <w:vAlign w:val="center"/>
          </w:tcPr>
          <w:p>
            <w:pPr>
              <w:pStyle w:val="单元格样式4"/>
            </w:pPr>
            <w:r>
              <w:t xml:space="preserve">8.26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4.20</w:t>
            </w:r>
          </w:p>
        </w:tc>
        <w:tc>
          <w:tcPr>
            <w:tcW w:w="2551" w:type="dxa"/>
            <w:vAlign w:val="center"/>
          </w:tcPr>
          <w:p>
            <w:pPr>
              <w:pStyle w:val="单元格样式4"/>
            </w:pPr>
            <w:r>
              <w:t xml:space="preserve">4.20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0.95</w:t>
            </w:r>
          </w:p>
        </w:tc>
        <w:tc>
          <w:tcPr>
            <w:tcW w:w="2551" w:type="dxa"/>
            <w:vAlign w:val="center"/>
          </w:tcPr>
          <w:p>
            <w:pPr>
              <w:pStyle w:val="单元格样式4"/>
            </w:pPr>
            <w:r>
              <w:t xml:space="preserve">0.95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16.86</w:t>
            </w:r>
          </w:p>
        </w:tc>
        <w:tc>
          <w:tcPr>
            <w:tcW w:w="2551" w:type="dxa"/>
            <w:vAlign w:val="center"/>
          </w:tcPr>
          <w:p>
            <w:pPr>
              <w:pStyle w:val="单元格样式4"/>
            </w:pPr>
            <w:r>
              <w:t xml:space="preserve">16.86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25.52</w:t>
            </w:r>
          </w:p>
        </w:tc>
        <w:tc>
          <w:tcPr>
            <w:tcW w:w="2551" w:type="dxa"/>
            <w:vAlign w:val="center"/>
          </w:tcPr>
          <w:p>
            <w:pPr>
              <w:pStyle w:val="单元格样式4"/>
            </w:pPr>
          </w:p>
        </w:tc>
        <w:tc>
          <w:tcPr>
            <w:tcW w:w="2551" w:type="dxa"/>
            <w:vAlign w:val="center"/>
          </w:tcPr>
          <w:p>
            <w:pPr>
              <w:pStyle w:val="单元格样式4"/>
            </w:pPr>
            <w:r>
              <w:t xml:space="preserve">25.52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5.46</w:t>
            </w:r>
          </w:p>
        </w:tc>
        <w:tc>
          <w:tcPr>
            <w:tcW w:w="2551" w:type="dxa"/>
            <w:vAlign w:val="center"/>
          </w:tcPr>
          <w:p>
            <w:pPr>
              <w:pStyle w:val="单元格样式4"/>
            </w:pPr>
          </w:p>
        </w:tc>
        <w:tc>
          <w:tcPr>
            <w:tcW w:w="2551" w:type="dxa"/>
            <w:vAlign w:val="center"/>
          </w:tcPr>
          <w:p>
            <w:pPr>
              <w:pStyle w:val="单元格样式4"/>
            </w:pPr>
            <w:r>
              <w:t xml:space="preserve">5.46</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5.63</w:t>
            </w:r>
          </w:p>
        </w:tc>
        <w:tc>
          <w:tcPr>
            <w:tcW w:w="2551" w:type="dxa"/>
            <w:vAlign w:val="center"/>
          </w:tcPr>
          <w:p>
            <w:pPr>
              <w:pStyle w:val="单元格样式4"/>
            </w:pPr>
          </w:p>
        </w:tc>
        <w:tc>
          <w:tcPr>
            <w:tcW w:w="2551" w:type="dxa"/>
            <w:vAlign w:val="center"/>
          </w:tcPr>
          <w:p>
            <w:pPr>
              <w:pStyle w:val="单元格样式4"/>
            </w:pPr>
            <w:r>
              <w:t xml:space="preserve">5.63</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1.58</w:t>
            </w:r>
          </w:p>
        </w:tc>
        <w:tc>
          <w:tcPr>
            <w:tcW w:w="2551" w:type="dxa"/>
            <w:vAlign w:val="center"/>
          </w:tcPr>
          <w:p>
            <w:pPr>
              <w:pStyle w:val="单元格样式4"/>
            </w:pPr>
          </w:p>
        </w:tc>
        <w:tc>
          <w:tcPr>
            <w:tcW w:w="2551" w:type="dxa"/>
            <w:vAlign w:val="center"/>
          </w:tcPr>
          <w:p>
            <w:pPr>
              <w:pStyle w:val="单元格样式4"/>
            </w:pPr>
            <w:r>
              <w:t xml:space="preserve">1.58</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1.94</w:t>
            </w:r>
          </w:p>
        </w:tc>
        <w:tc>
          <w:tcPr>
            <w:tcW w:w="2551" w:type="dxa"/>
            <w:vAlign w:val="center"/>
          </w:tcPr>
          <w:p>
            <w:pPr>
              <w:pStyle w:val="单元格样式4"/>
            </w:pPr>
          </w:p>
        </w:tc>
        <w:tc>
          <w:tcPr>
            <w:tcW w:w="2551" w:type="dxa"/>
            <w:vAlign w:val="center"/>
          </w:tcPr>
          <w:p>
            <w:pPr>
              <w:pStyle w:val="单元格样式4"/>
            </w:pPr>
            <w:r>
              <w:t xml:space="preserve">1.94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6.68</w:t>
            </w:r>
          </w:p>
        </w:tc>
        <w:tc>
          <w:tcPr>
            <w:tcW w:w="2551" w:type="dxa"/>
            <w:vAlign w:val="center"/>
          </w:tcPr>
          <w:p>
            <w:pPr>
              <w:pStyle w:val="单元格样式4"/>
            </w:pPr>
          </w:p>
        </w:tc>
        <w:tc>
          <w:tcPr>
            <w:tcW w:w="2551" w:type="dxa"/>
            <w:vAlign w:val="center"/>
          </w:tcPr>
          <w:p>
            <w:pPr>
              <w:pStyle w:val="单元格样式4"/>
            </w:pPr>
            <w:r>
              <w:t xml:space="preserve">6.68</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4.23</w:t>
            </w:r>
          </w:p>
        </w:tc>
        <w:tc>
          <w:tcPr>
            <w:tcW w:w="2551" w:type="dxa"/>
            <w:vAlign w:val="center"/>
          </w:tcPr>
          <w:p>
            <w:pPr>
              <w:pStyle w:val="单元格样式4"/>
            </w:pPr>
          </w:p>
        </w:tc>
        <w:tc>
          <w:tcPr>
            <w:tcW w:w="2551" w:type="dxa"/>
            <w:vAlign w:val="center"/>
          </w:tcPr>
          <w:p>
            <w:pPr>
              <w:pStyle w:val="单元格样式4"/>
            </w:pPr>
            <w:r>
              <w:t xml:space="preserve">4.23</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26.91</w:t>
            </w:r>
          </w:p>
        </w:tc>
        <w:tc>
          <w:tcPr>
            <w:tcW w:w="2551" w:type="dxa"/>
            <w:vAlign w:val="center"/>
          </w:tcPr>
          <w:p>
            <w:pPr>
              <w:pStyle w:val="单元格样式4"/>
            </w:pPr>
            <w:r>
              <w:t xml:space="preserve">26.91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26.91</w:t>
            </w:r>
          </w:p>
        </w:tc>
        <w:tc>
          <w:tcPr>
            <w:tcW w:w="2551" w:type="dxa"/>
            <w:vAlign w:val="center"/>
          </w:tcPr>
          <w:p>
            <w:pPr>
              <w:pStyle w:val="单元格样式4"/>
            </w:pPr>
            <w:r>
              <w:t xml:space="preserve">26.91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202001晋州市信访局本级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202001晋州市信访局本级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202001晋州市信访局本级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1.94</w:t>
            </w:r>
          </w:p>
        </w:tc>
        <w:tc>
          <w:tcPr>
            <w:tcW w:w="2381" w:type="dxa"/>
            <w:vAlign w:val="center"/>
          </w:tcPr>
          <w:p>
            <w:pPr>
              <w:pStyle w:val="单元格样式7"/>
            </w:pPr>
            <w:r>
              <w:t xml:space="preserve">1.94</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1.94</w:t>
            </w:r>
          </w:p>
        </w:tc>
        <w:tc>
          <w:tcPr>
            <w:tcW w:w="2381" w:type="dxa"/>
            <w:vAlign w:val="center"/>
          </w:tcPr>
          <w:p>
            <w:pPr>
              <w:pStyle w:val="单元格样式4"/>
            </w:pPr>
            <w:r>
              <w:t xml:space="preserve">1.94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1.94</w:t>
            </w:r>
          </w:p>
        </w:tc>
        <w:tc>
          <w:tcPr>
            <w:tcW w:w="2381" w:type="dxa"/>
            <w:vAlign w:val="center"/>
          </w:tcPr>
          <w:p>
            <w:pPr>
              <w:pStyle w:val="单元格样式4"/>
            </w:pPr>
            <w:r>
              <w:t xml:space="preserve">1.94</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晋州市信访局本级2026年单位预算信息公开情况说明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按照《中华人民共和国预算法》、《地方预决算公开操作规程》和《关于进一步推进预算公开工作的实施意见》规定，现将晋州市信访局本级2026年单位预算公开如下：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pStyle w:val="插入文本样式-插入单位职责文件"/>
      </w:pPr>
      <w:r>
        <w:t xml:space="preserve">（一）受理、交办、转送信访人提出的信访事项； </w:t>
      </w:r>
    </w:p>
    <w:p>
      <w:pPr>
        <w:pStyle w:val="插入文本样式-插入单位职责文件"/>
      </w:pPr>
      <w:r>
        <w:t xml:space="preserve">（二）承办上级和本级人民政府交由处理的信访事项； </w:t>
      </w:r>
    </w:p>
    <w:p>
      <w:pPr>
        <w:pStyle w:val="插入文本样式-插入单位职责文件"/>
      </w:pPr>
      <w:r>
        <w:t xml:space="preserve">（三）协调处理重要信访事项； </w:t>
      </w:r>
    </w:p>
    <w:p>
      <w:pPr>
        <w:pStyle w:val="插入文本样式-插入单位职责文件"/>
      </w:pPr>
      <w:r>
        <w:t xml:space="preserve">（四）督促检查信访事项的处理； </w:t>
      </w:r>
    </w:p>
    <w:p>
      <w:pPr>
        <w:pStyle w:val="插入文本样式-插入单位职责文件"/>
      </w:pPr>
      <w:r>
        <w:t xml:space="preserve">（五）研究、分析信访情况，开展调查研究，及时向本级人民政府提出完善政策和改进工作的建议； </w:t>
      </w:r>
    </w:p>
    <w:p>
      <w:pPr>
        <w:pStyle w:val="插入文本样式-插入单位职责文件"/>
      </w:pPr>
      <w:r>
        <w:t xml:space="preserve">（六）对本级人民政府其他工作部门和下级人民政府信访工作机构的信访工作进行指导；</w:t>
      </w:r>
    </w:p>
    <w:p>
      <w:pPr>
        <w:pStyle w:val="插入文本样式-插入单位职责文件"/>
      </w:pPr>
      <w:r>
        <w:t xml:space="preserve">（七）承办市委、市政府交办的其他事项。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晋州市信访局本级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352.85万元，其中：一般公共预算收入352.85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信访局本级年度单位预算中支出预算的总体情况。2026年支出预算352.85万元，其中基本支出252.85万元，包括人员经费227.33万元和日常公用经费25.52万元；项目支出100.00万元，主要为北京、省市值班费、接访费、宣传费、印刷费以及律师服务费等维稳费用，用于妥善及时处理信访案件；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352.85万元，较2025年预算增加17.19万元，其中：基本支出增加17.19万元，主要为人员工资调整，人员经费增加。项目支出增加0.00万元，主要为信访维稳费用与上年持平。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2026年，我单位机关运行经费共计安排25.52万元，主要用于日常维修、办公用房水电费、办公用房取暖费、办公用房物业管理费等日常运行支出。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1.94万元，其中因公出国（境）费0.00万元；公务用车购置及运维费1.94万元（其中：公务用车购置费为0.00万元，公务用车运维费1.94万元)；公务接待费0.00万元。与2025年相比减少0.06万元，增减变化的主要原因是严格财政开支制度，减少不必要支出。</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1、信访维稳经费绩效目标表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13018326P00032810304L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信访维稳经费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用于信访值班费、接访费、律师服务费、印刷费、案件化解以及信访工作法制化宣传费等维稳费用。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1.解决特殊疑难信访案件的及时化解，妥善处置到北京、石家庄上访人员，维护社会和谐稳定，确保2026年畅通信访渠道，减少信访案件，维护社会稳定。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上访人员处理率</w:t>
            </w:r>
          </w:p>
        </w:tc>
        <w:tc>
          <w:tcPr>
            <w:tcW w:w="5386" w:type="dxa"/>
            <w:vAlign w:val="center"/>
          </w:tcPr>
          <w:p>
            <w:pPr>
              <w:pStyle w:val="单元格样式2"/>
            </w:pPr>
            <w:r>
              <w:t xml:space="preserve">处理非正常上访人员，引导上访人员依法上访，减少上访率</w:t>
            </w:r>
          </w:p>
        </w:tc>
        <w:tc>
          <w:tcPr>
            <w:tcW w:w="2268" w:type="dxa"/>
            <w:vAlign w:val="center"/>
          </w:tcPr>
          <w:p>
            <w:pPr>
              <w:pStyle w:val="单元格样式2"/>
            </w:pPr>
            <w:r>
              <w:t xml:space="preserve">≥95％</w:t>
            </w:r>
          </w:p>
        </w:tc>
        <w:tc>
          <w:tcPr>
            <w:tcW w:w="1276" w:type="dxa"/>
            <w:vAlign w:val="center"/>
          </w:tcPr>
          <w:p>
            <w:pPr>
              <w:pStyle w:val="单元格样式2"/>
            </w:pPr>
            <w:r>
              <w:t xml:space="preserve">关于信访维稳经费的事前绩效评估。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息诉罢访率</w:t>
            </w:r>
          </w:p>
        </w:tc>
        <w:tc>
          <w:tcPr>
            <w:tcW w:w="5386" w:type="dxa"/>
            <w:vAlign w:val="center"/>
          </w:tcPr>
          <w:p>
            <w:pPr>
              <w:pStyle w:val="单元格样式2"/>
            </w:pPr>
            <w:r>
              <w:t xml:space="preserve">上访人员要求合理解决到位，要求无理的解释到位，生活困难的帮扶到位。</w:t>
            </w:r>
          </w:p>
        </w:tc>
        <w:tc>
          <w:tcPr>
            <w:tcW w:w="2268" w:type="dxa"/>
            <w:vAlign w:val="center"/>
          </w:tcPr>
          <w:p>
            <w:pPr>
              <w:pStyle w:val="单元格样式2"/>
            </w:pPr>
            <w:r>
              <w:t xml:space="preserve">≥95％</w:t>
            </w:r>
          </w:p>
        </w:tc>
        <w:tc>
          <w:tcPr>
            <w:tcW w:w="1276" w:type="dxa"/>
            <w:vAlign w:val="center"/>
          </w:tcPr>
          <w:p>
            <w:pPr>
              <w:pStyle w:val="单元格样式2"/>
            </w:pPr>
            <w:r>
              <w:t xml:space="preserve">关于信访维稳经费的事前绩效评估。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接访及时率</w:t>
            </w:r>
          </w:p>
        </w:tc>
        <w:tc>
          <w:tcPr>
            <w:tcW w:w="5386" w:type="dxa"/>
            <w:vAlign w:val="center"/>
          </w:tcPr>
          <w:p>
            <w:pPr>
              <w:pStyle w:val="单元格样式2"/>
            </w:pPr>
            <w:r>
              <w:t xml:space="preserve">上访人员接访及时率</w:t>
            </w:r>
          </w:p>
        </w:tc>
        <w:tc>
          <w:tcPr>
            <w:tcW w:w="2268" w:type="dxa"/>
            <w:vAlign w:val="center"/>
          </w:tcPr>
          <w:p>
            <w:pPr>
              <w:pStyle w:val="单元格样式2"/>
            </w:pPr>
            <w:r>
              <w:t xml:space="preserve">≥95％</w:t>
            </w:r>
          </w:p>
        </w:tc>
        <w:tc>
          <w:tcPr>
            <w:tcW w:w="1276" w:type="dxa"/>
            <w:vAlign w:val="center"/>
          </w:tcPr>
          <w:p>
            <w:pPr>
              <w:pStyle w:val="单元格样式2"/>
            </w:pPr>
            <w:r>
              <w:t xml:space="preserve">关于信访维稳经费的事前绩效评估。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维稳经费资金成本</w:t>
            </w:r>
          </w:p>
        </w:tc>
        <w:tc>
          <w:tcPr>
            <w:tcW w:w="5386" w:type="dxa"/>
            <w:vAlign w:val="center"/>
          </w:tcPr>
          <w:p>
            <w:pPr>
              <w:pStyle w:val="单元格样式2"/>
            </w:pPr>
            <w:r>
              <w:t xml:space="preserve">维稳经费所需资金成本</w:t>
            </w:r>
          </w:p>
        </w:tc>
        <w:tc>
          <w:tcPr>
            <w:tcW w:w="2268" w:type="dxa"/>
            <w:vAlign w:val="center"/>
          </w:tcPr>
          <w:p>
            <w:pPr>
              <w:pStyle w:val="单元格样式2"/>
            </w:pPr>
            <w:r>
              <w:t xml:space="preserve">100万元</w:t>
            </w:r>
          </w:p>
        </w:tc>
        <w:tc>
          <w:tcPr>
            <w:tcW w:w="1276" w:type="dxa"/>
            <w:vAlign w:val="center"/>
          </w:tcPr>
          <w:p>
            <w:pPr>
              <w:pStyle w:val="单元格样式2"/>
            </w:pPr>
            <w:r>
              <w:t xml:space="preserve">关于信访维稳经费的事前绩效评估。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维护社会稳定</w:t>
            </w:r>
          </w:p>
        </w:tc>
        <w:tc>
          <w:tcPr>
            <w:tcW w:w="5386" w:type="dxa"/>
            <w:vAlign w:val="center"/>
          </w:tcPr>
          <w:p>
            <w:pPr>
              <w:pStyle w:val="单元格样式2"/>
            </w:pPr>
            <w:r>
              <w:t xml:space="preserve">妥善处置到北京、石家庄上访人员，维护社会稳定</w:t>
            </w:r>
          </w:p>
        </w:tc>
        <w:tc>
          <w:tcPr>
            <w:tcW w:w="2268" w:type="dxa"/>
            <w:vAlign w:val="center"/>
          </w:tcPr>
          <w:p>
            <w:pPr>
              <w:pStyle w:val="单元格样式2"/>
            </w:pPr>
            <w:r>
              <w:t xml:space="preserve">≥95％</w:t>
            </w:r>
          </w:p>
        </w:tc>
        <w:tc>
          <w:tcPr>
            <w:tcW w:w="1276" w:type="dxa"/>
            <w:vAlign w:val="center"/>
          </w:tcPr>
          <w:p>
            <w:pPr>
              <w:pStyle w:val="单元格样式2"/>
            </w:pPr>
            <w:r>
              <w:t xml:space="preserve">关于信访维稳经费的事前绩效评估。</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信访群众满意度</w:t>
            </w:r>
          </w:p>
        </w:tc>
        <w:tc>
          <w:tcPr>
            <w:tcW w:w="5386" w:type="dxa"/>
            <w:vAlign w:val="center"/>
          </w:tcPr>
          <w:p>
            <w:pPr>
              <w:pStyle w:val="单元格样式2"/>
            </w:pPr>
            <w:r>
              <w:t xml:space="preserve">信访群众满意度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202001晋州市信访局本级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0.30</w:t>
            </w:r>
          </w:p>
        </w:tc>
        <w:tc>
          <w:tcPr>
            <w:tcW w:w="964" w:type="dxa"/>
            <w:vAlign w:val="center"/>
          </w:tcPr>
          <w:p>
            <w:pPr>
              <w:pStyle w:val="单元格样式7"/>
            </w:pPr>
            <w:r>
              <w:t xml:space="preserve">0.30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0.30</w:t>
            </w:r>
          </w:p>
        </w:tc>
      </w:tr>
      <w:tr>
        <w:tblPrEx>
          <w:jc w:val="center"/>
          <w:tblLayout w:type="fixed"/>
        </w:tblPrEx>
        <w:trPr>
          <w:jc w:val="center"/>
        </w:trPr>
        <w:tc>
          <w:tcPr>
            <w:tcW w:w="1701" w:type="dxa"/>
            <w:vAlign w:val="center"/>
          </w:tcPr>
          <w:p>
            <w:pPr>
              <w:pStyle w:val="单元格样式6"/>
            </w:pPr>
            <w:r>
              <w:t xml:space="preserve">晋州市信访局本级小计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0.30</w:t>
            </w:r>
          </w:p>
        </w:tc>
        <w:tc>
          <w:tcPr>
            <w:tcW w:w="964" w:type="dxa"/>
            <w:vAlign w:val="center"/>
          </w:tcPr>
          <w:p>
            <w:pPr>
              <w:pStyle w:val="单元格样式7"/>
            </w:pPr>
            <w:r>
              <w:t xml:space="preserve">0.30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0.30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6.18</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6</w:t>
            </w:r>
          </w:p>
        </w:tc>
        <w:tc>
          <w:tcPr>
            <w:tcW w:w="850" w:type="dxa"/>
            <w:vAlign w:val="center"/>
          </w:tcPr>
          <w:p>
            <w:pPr>
              <w:pStyle w:val="单元格样式4"/>
            </w:pPr>
            <w:r>
              <w:t xml:space="preserve">0.05</w:t>
            </w:r>
          </w:p>
        </w:tc>
        <w:tc>
          <w:tcPr>
            <w:tcW w:w="964" w:type="dxa"/>
            <w:vAlign w:val="center"/>
          </w:tcPr>
          <w:p>
            <w:pPr>
              <w:pStyle w:val="单元格样式4"/>
            </w:pPr>
            <w:r>
              <w:t xml:space="preserve">0.30</w:t>
            </w:r>
          </w:p>
        </w:tc>
        <w:tc>
          <w:tcPr>
            <w:tcW w:w="964" w:type="dxa"/>
            <w:vAlign w:val="center"/>
          </w:tcPr>
          <w:p>
            <w:pPr>
              <w:pStyle w:val="单元格样式4"/>
            </w:pPr>
            <w:r>
              <w:t xml:space="preserve">0.30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0.30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晋州市信访局本级上年末固定资产金额为106.84万元（详见下表）。本年度拟购置固定资产总额为0.00万元，已按要求列入政府采购预算，详见政府采购预算表。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202001晋州市信访局本级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106.84</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15.35</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429</w:t>
            </w:r>
          </w:p>
        </w:tc>
        <w:tc>
          <w:tcPr>
            <w:tcW w:w="2835" w:type="dxa"/>
            <w:vAlign w:val="center"/>
          </w:tcPr>
          <w:p>
            <w:pPr>
              <w:pStyle w:val="单元格样式4"/>
            </w:pPr>
            <w:r>
              <w:t xml:space="preserve">91.49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2026-03-02T14:08:29Z</dcterms:created>
  <dcterms:modified xsi:type="dcterms:W3CDTF">2026-03-02T14:08:29Z</dcterms:modified>
</cp:coreProperties>
</file>