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202晋州市信访局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352.85</w:t>
            </w:r>
          </w:p>
        </w:tc>
        <w:tc>
          <w:tcPr>
            <w:tcW w:w="4535" w:type="dxa"/>
            <w:vAlign w:val="center"/>
          </w:tcPr>
          <w:p>
            <w:pPr>
              <w:pStyle w:val="13"/>
            </w:pPr>
            <w:r>
              <w:t>一、一般公共服务支出</w:t>
            </w:r>
          </w:p>
        </w:tc>
        <w:tc>
          <w:tcPr>
            <w:tcW w:w="2126" w:type="dxa"/>
            <w:vAlign w:val="center"/>
          </w:tcPr>
          <w:p>
            <w:pPr>
              <w:pStyle w:val="12"/>
            </w:pPr>
            <w:r>
              <w:t>352.85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352.85</w:t>
            </w:r>
          </w:p>
        </w:tc>
        <w:tc>
          <w:tcPr>
            <w:tcW w:w="4535" w:type="dxa"/>
            <w:vAlign w:val="center"/>
          </w:tcPr>
          <w:p>
            <w:pPr>
              <w:pStyle w:val="15"/>
            </w:pPr>
            <w:r>
              <w:t>本年支出合计</w:t>
            </w:r>
          </w:p>
        </w:tc>
        <w:tc>
          <w:tcPr>
            <w:tcW w:w="2126" w:type="dxa"/>
            <w:vAlign w:val="center"/>
          </w:tcPr>
          <w:p>
            <w:pPr>
              <w:pStyle w:val="16"/>
            </w:pPr>
            <w:r>
              <w:t>352.85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352.85</w:t>
            </w:r>
          </w:p>
        </w:tc>
        <w:tc>
          <w:tcPr>
            <w:tcW w:w="4535" w:type="dxa"/>
            <w:vAlign w:val="center"/>
          </w:tcPr>
          <w:p>
            <w:pPr>
              <w:pStyle w:val="15"/>
            </w:pPr>
            <w:r>
              <w:t>支出总计</w:t>
            </w:r>
          </w:p>
        </w:tc>
        <w:tc>
          <w:tcPr>
            <w:tcW w:w="2126" w:type="dxa"/>
            <w:vAlign w:val="center"/>
          </w:tcPr>
          <w:p>
            <w:pPr>
              <w:pStyle w:val="16"/>
            </w:pPr>
            <w:r>
              <w:t>352.85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202晋州市信访局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352.85</w:t>
            </w:r>
          </w:p>
        </w:tc>
        <w:tc>
          <w:tcPr>
            <w:tcW w:w="1134" w:type="dxa"/>
            <w:vAlign w:val="center"/>
          </w:tcPr>
          <w:p>
            <w:pPr>
              <w:pStyle w:val="16"/>
            </w:pPr>
            <w:r>
              <w:t>352.85</w:t>
            </w:r>
          </w:p>
        </w:tc>
        <w:tc>
          <w:tcPr>
            <w:tcW w:w="1134" w:type="dxa"/>
            <w:vAlign w:val="center"/>
          </w:tcPr>
          <w:p>
            <w:pPr>
              <w:pStyle w:val="16"/>
            </w:pPr>
            <w:r>
              <w:t>352.85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352.85</w:t>
            </w:r>
          </w:p>
        </w:tc>
        <w:tc>
          <w:tcPr>
            <w:tcW w:w="1134" w:type="dxa"/>
            <w:vAlign w:val="center"/>
          </w:tcPr>
          <w:p>
            <w:pPr>
              <w:pStyle w:val="12"/>
            </w:pPr>
            <w:r>
              <w:t>352.85</w:t>
            </w:r>
          </w:p>
        </w:tc>
        <w:tc>
          <w:tcPr>
            <w:tcW w:w="1134" w:type="dxa"/>
            <w:vAlign w:val="center"/>
          </w:tcPr>
          <w:p>
            <w:pPr>
              <w:pStyle w:val="12"/>
            </w:pPr>
            <w:r>
              <w:t>352.85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352.85</w:t>
            </w:r>
          </w:p>
        </w:tc>
        <w:tc>
          <w:tcPr>
            <w:tcW w:w="1134" w:type="dxa"/>
            <w:vAlign w:val="center"/>
          </w:tcPr>
          <w:p>
            <w:pPr>
              <w:pStyle w:val="12"/>
            </w:pPr>
            <w:r>
              <w:t>352.85</w:t>
            </w:r>
          </w:p>
        </w:tc>
        <w:tc>
          <w:tcPr>
            <w:tcW w:w="1134" w:type="dxa"/>
            <w:vAlign w:val="center"/>
          </w:tcPr>
          <w:p>
            <w:pPr>
              <w:pStyle w:val="12"/>
            </w:pPr>
            <w:r>
              <w:t>352.85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252.85</w:t>
            </w:r>
          </w:p>
        </w:tc>
        <w:tc>
          <w:tcPr>
            <w:tcW w:w="1134" w:type="dxa"/>
            <w:vAlign w:val="center"/>
          </w:tcPr>
          <w:p>
            <w:pPr>
              <w:pStyle w:val="12"/>
            </w:pPr>
            <w:r>
              <w:t>252.85</w:t>
            </w:r>
          </w:p>
        </w:tc>
        <w:tc>
          <w:tcPr>
            <w:tcW w:w="1134" w:type="dxa"/>
            <w:vAlign w:val="center"/>
          </w:tcPr>
          <w:p>
            <w:pPr>
              <w:pStyle w:val="12"/>
            </w:pPr>
            <w:r>
              <w:t>252.85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352.85</w:t>
            </w:r>
          </w:p>
        </w:tc>
        <w:tc>
          <w:tcPr>
            <w:tcW w:w="1361" w:type="dxa"/>
            <w:vAlign w:val="center"/>
          </w:tcPr>
          <w:p>
            <w:pPr>
              <w:pStyle w:val="16"/>
            </w:pPr>
            <w:r>
              <w:t>252.85</w:t>
            </w:r>
          </w:p>
        </w:tc>
        <w:tc>
          <w:tcPr>
            <w:tcW w:w="1361" w:type="dxa"/>
            <w:vAlign w:val="center"/>
          </w:tcPr>
          <w:p>
            <w:pPr>
              <w:pStyle w:val="16"/>
            </w:pPr>
            <w:r>
              <w:t>100.00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352.85</w:t>
            </w:r>
          </w:p>
        </w:tc>
        <w:tc>
          <w:tcPr>
            <w:tcW w:w="1361" w:type="dxa"/>
            <w:vAlign w:val="center"/>
          </w:tcPr>
          <w:p>
            <w:pPr>
              <w:pStyle w:val="12"/>
            </w:pPr>
            <w:r>
              <w:t>252.85</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352.85</w:t>
            </w:r>
          </w:p>
        </w:tc>
        <w:tc>
          <w:tcPr>
            <w:tcW w:w="1361" w:type="dxa"/>
            <w:vAlign w:val="center"/>
          </w:tcPr>
          <w:p>
            <w:pPr>
              <w:pStyle w:val="12"/>
            </w:pPr>
            <w:r>
              <w:t>252.85</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252.85</w:t>
            </w:r>
          </w:p>
        </w:tc>
        <w:tc>
          <w:tcPr>
            <w:tcW w:w="1361" w:type="dxa"/>
            <w:vAlign w:val="center"/>
          </w:tcPr>
          <w:p>
            <w:pPr>
              <w:pStyle w:val="12"/>
            </w:pPr>
            <w:r>
              <w:t>252.85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352.85</w:t>
            </w:r>
          </w:p>
        </w:tc>
        <w:tc>
          <w:tcPr>
            <w:tcW w:w="3402" w:type="dxa"/>
            <w:vAlign w:val="center"/>
          </w:tcPr>
          <w:p>
            <w:pPr>
              <w:pStyle w:val="13"/>
            </w:pPr>
            <w:r>
              <w:t>一、一般公共服务支出</w:t>
            </w:r>
          </w:p>
        </w:tc>
        <w:tc>
          <w:tcPr>
            <w:tcW w:w="1474" w:type="dxa"/>
            <w:vAlign w:val="center"/>
          </w:tcPr>
          <w:p>
            <w:pPr>
              <w:pStyle w:val="12"/>
            </w:pPr>
            <w:r>
              <w:t>352.85</w:t>
            </w:r>
          </w:p>
        </w:tc>
        <w:tc>
          <w:tcPr>
            <w:tcW w:w="1474" w:type="dxa"/>
            <w:vAlign w:val="center"/>
          </w:tcPr>
          <w:p>
            <w:pPr>
              <w:pStyle w:val="12"/>
            </w:pPr>
            <w:r>
              <w:t>352.85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352.85</w:t>
            </w:r>
          </w:p>
        </w:tc>
        <w:tc>
          <w:tcPr>
            <w:tcW w:w="3402" w:type="dxa"/>
            <w:vAlign w:val="center"/>
          </w:tcPr>
          <w:p>
            <w:pPr>
              <w:pStyle w:val="15"/>
            </w:pPr>
            <w:r>
              <w:t>本年支出合计</w:t>
            </w:r>
          </w:p>
        </w:tc>
        <w:tc>
          <w:tcPr>
            <w:tcW w:w="1474" w:type="dxa"/>
            <w:vAlign w:val="center"/>
          </w:tcPr>
          <w:p>
            <w:pPr>
              <w:pStyle w:val="16"/>
            </w:pPr>
            <w:r>
              <w:t>352.85</w:t>
            </w:r>
          </w:p>
        </w:tc>
        <w:tc>
          <w:tcPr>
            <w:tcW w:w="1474" w:type="dxa"/>
            <w:vAlign w:val="center"/>
          </w:tcPr>
          <w:p>
            <w:pPr>
              <w:pStyle w:val="16"/>
            </w:pPr>
            <w:r>
              <w:t>352.85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352.85</w:t>
            </w:r>
          </w:p>
        </w:tc>
        <w:tc>
          <w:tcPr>
            <w:tcW w:w="3402" w:type="dxa"/>
            <w:vAlign w:val="center"/>
          </w:tcPr>
          <w:p>
            <w:pPr>
              <w:pStyle w:val="15"/>
            </w:pPr>
            <w:r>
              <w:t>支出总计</w:t>
            </w:r>
          </w:p>
        </w:tc>
        <w:tc>
          <w:tcPr>
            <w:tcW w:w="1474" w:type="dxa"/>
            <w:vAlign w:val="center"/>
          </w:tcPr>
          <w:p>
            <w:pPr>
              <w:pStyle w:val="16"/>
            </w:pPr>
            <w:r>
              <w:t>352.85</w:t>
            </w:r>
          </w:p>
        </w:tc>
        <w:tc>
          <w:tcPr>
            <w:tcW w:w="1474" w:type="dxa"/>
            <w:vAlign w:val="center"/>
          </w:tcPr>
          <w:p>
            <w:pPr>
              <w:pStyle w:val="16"/>
            </w:pPr>
            <w:r>
              <w:t>352.85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352.85</w:t>
            </w:r>
          </w:p>
        </w:tc>
        <w:tc>
          <w:tcPr>
            <w:tcW w:w="2551" w:type="dxa"/>
            <w:vAlign w:val="center"/>
          </w:tcPr>
          <w:p>
            <w:pPr>
              <w:pStyle w:val="16"/>
            </w:pPr>
            <w:r>
              <w:t>252.85</w:t>
            </w:r>
          </w:p>
        </w:tc>
        <w:tc>
          <w:tcPr>
            <w:tcW w:w="2551" w:type="dxa"/>
            <w:vAlign w:val="center"/>
          </w:tcPr>
          <w:p>
            <w:pPr>
              <w:pStyle w:val="16"/>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352.85</w:t>
            </w:r>
          </w:p>
        </w:tc>
        <w:tc>
          <w:tcPr>
            <w:tcW w:w="2551" w:type="dxa"/>
            <w:vAlign w:val="center"/>
          </w:tcPr>
          <w:p>
            <w:pPr>
              <w:pStyle w:val="12"/>
            </w:pPr>
            <w:r>
              <w:t>252.85</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352.85</w:t>
            </w:r>
          </w:p>
        </w:tc>
        <w:tc>
          <w:tcPr>
            <w:tcW w:w="2551" w:type="dxa"/>
            <w:vAlign w:val="center"/>
          </w:tcPr>
          <w:p>
            <w:pPr>
              <w:pStyle w:val="12"/>
            </w:pPr>
            <w:r>
              <w:t>252.85</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252.85</w:t>
            </w:r>
          </w:p>
        </w:tc>
        <w:tc>
          <w:tcPr>
            <w:tcW w:w="2551" w:type="dxa"/>
            <w:vAlign w:val="center"/>
          </w:tcPr>
          <w:p>
            <w:pPr>
              <w:pStyle w:val="12"/>
            </w:pPr>
            <w:r>
              <w:t>252.85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252.85</w:t>
            </w:r>
          </w:p>
        </w:tc>
        <w:tc>
          <w:tcPr>
            <w:tcW w:w="2551" w:type="dxa"/>
            <w:vAlign w:val="center"/>
          </w:tcPr>
          <w:p>
            <w:pPr>
              <w:pStyle w:val="16"/>
            </w:pPr>
            <w:r>
              <w:t>227.33</w:t>
            </w:r>
          </w:p>
        </w:tc>
        <w:tc>
          <w:tcPr>
            <w:tcW w:w="2551" w:type="dxa"/>
            <w:vAlign w:val="center"/>
          </w:tcPr>
          <w:p>
            <w:pPr>
              <w:pStyle w:val="16"/>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200.42</w:t>
            </w:r>
          </w:p>
        </w:tc>
        <w:tc>
          <w:tcPr>
            <w:tcW w:w="2551" w:type="dxa"/>
            <w:vAlign w:val="center"/>
          </w:tcPr>
          <w:p>
            <w:pPr>
              <w:pStyle w:val="12"/>
            </w:pPr>
            <w:r>
              <w:t>200.42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76.09</w:t>
            </w:r>
          </w:p>
        </w:tc>
        <w:tc>
          <w:tcPr>
            <w:tcW w:w="2551" w:type="dxa"/>
            <w:vAlign w:val="center"/>
          </w:tcPr>
          <w:p>
            <w:pPr>
              <w:pStyle w:val="12"/>
            </w:pPr>
            <w:r>
              <w:t>76.09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30.86</w:t>
            </w:r>
          </w:p>
        </w:tc>
        <w:tc>
          <w:tcPr>
            <w:tcW w:w="2551" w:type="dxa"/>
            <w:vAlign w:val="center"/>
          </w:tcPr>
          <w:p>
            <w:pPr>
              <w:pStyle w:val="12"/>
            </w:pPr>
            <w:r>
              <w:t>30.86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23.72</w:t>
            </w:r>
          </w:p>
        </w:tc>
        <w:tc>
          <w:tcPr>
            <w:tcW w:w="2551" w:type="dxa"/>
            <w:vAlign w:val="center"/>
          </w:tcPr>
          <w:p>
            <w:pPr>
              <w:pStyle w:val="12"/>
            </w:pPr>
            <w:r>
              <w:t>23.72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18.87</w:t>
            </w:r>
          </w:p>
        </w:tc>
        <w:tc>
          <w:tcPr>
            <w:tcW w:w="2551" w:type="dxa"/>
            <w:vAlign w:val="center"/>
          </w:tcPr>
          <w:p>
            <w:pPr>
              <w:pStyle w:val="12"/>
            </w:pPr>
            <w:r>
              <w:t>18.87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20.61</w:t>
            </w:r>
          </w:p>
        </w:tc>
        <w:tc>
          <w:tcPr>
            <w:tcW w:w="2551" w:type="dxa"/>
            <w:vAlign w:val="center"/>
          </w:tcPr>
          <w:p>
            <w:pPr>
              <w:pStyle w:val="12"/>
            </w:pPr>
            <w:r>
              <w:t>20.61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8.26</w:t>
            </w:r>
          </w:p>
        </w:tc>
        <w:tc>
          <w:tcPr>
            <w:tcW w:w="2551" w:type="dxa"/>
            <w:vAlign w:val="center"/>
          </w:tcPr>
          <w:p>
            <w:pPr>
              <w:pStyle w:val="12"/>
            </w:pPr>
            <w:r>
              <w:t>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0.95</w:t>
            </w:r>
          </w:p>
        </w:tc>
        <w:tc>
          <w:tcPr>
            <w:tcW w:w="2551" w:type="dxa"/>
            <w:vAlign w:val="center"/>
          </w:tcPr>
          <w:p>
            <w:pPr>
              <w:pStyle w:val="12"/>
            </w:pPr>
            <w:r>
              <w:t>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16.86</w:t>
            </w:r>
          </w:p>
        </w:tc>
        <w:tc>
          <w:tcPr>
            <w:tcW w:w="2551" w:type="dxa"/>
            <w:vAlign w:val="center"/>
          </w:tcPr>
          <w:p>
            <w:pPr>
              <w:pStyle w:val="12"/>
            </w:pPr>
            <w:r>
              <w:t>16.86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25.52</w:t>
            </w:r>
          </w:p>
        </w:tc>
        <w:tc>
          <w:tcPr>
            <w:tcW w:w="2551" w:type="dxa"/>
            <w:vAlign w:val="center"/>
          </w:tcPr>
          <w:p>
            <w:pPr>
              <w:pStyle w:val="12"/>
            </w:pPr>
          </w:p>
        </w:tc>
        <w:tc>
          <w:tcPr>
            <w:tcW w:w="2551" w:type="dxa"/>
            <w:vAlign w:val="center"/>
          </w:tcPr>
          <w:p>
            <w:pPr>
              <w:pStyle w:val="12"/>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5.46</w:t>
            </w:r>
          </w:p>
        </w:tc>
        <w:tc>
          <w:tcPr>
            <w:tcW w:w="2551" w:type="dxa"/>
            <w:vAlign w:val="center"/>
          </w:tcPr>
          <w:p>
            <w:pPr>
              <w:pStyle w:val="12"/>
            </w:pPr>
          </w:p>
        </w:tc>
        <w:tc>
          <w:tcPr>
            <w:tcW w:w="2551" w:type="dxa"/>
            <w:vAlign w:val="center"/>
          </w:tcPr>
          <w:p>
            <w:pPr>
              <w:pStyle w:val="12"/>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5.63</w:t>
            </w:r>
          </w:p>
        </w:tc>
        <w:tc>
          <w:tcPr>
            <w:tcW w:w="2551" w:type="dxa"/>
            <w:vAlign w:val="center"/>
          </w:tcPr>
          <w:p>
            <w:pPr>
              <w:pStyle w:val="12"/>
            </w:pPr>
          </w:p>
        </w:tc>
        <w:tc>
          <w:tcPr>
            <w:tcW w:w="2551" w:type="dxa"/>
            <w:vAlign w:val="center"/>
          </w:tcPr>
          <w:p>
            <w:pPr>
              <w:pStyle w:val="12"/>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1.58</w:t>
            </w:r>
          </w:p>
        </w:tc>
        <w:tc>
          <w:tcPr>
            <w:tcW w:w="2551" w:type="dxa"/>
            <w:vAlign w:val="center"/>
          </w:tcPr>
          <w:p>
            <w:pPr>
              <w:pStyle w:val="12"/>
            </w:pPr>
          </w:p>
        </w:tc>
        <w:tc>
          <w:tcPr>
            <w:tcW w:w="2551" w:type="dxa"/>
            <w:vAlign w:val="center"/>
          </w:tcPr>
          <w:p>
            <w:pPr>
              <w:pStyle w:val="12"/>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6.68</w:t>
            </w:r>
          </w:p>
        </w:tc>
        <w:tc>
          <w:tcPr>
            <w:tcW w:w="2551" w:type="dxa"/>
            <w:vAlign w:val="center"/>
          </w:tcPr>
          <w:p>
            <w:pPr>
              <w:pStyle w:val="12"/>
            </w:pPr>
          </w:p>
        </w:tc>
        <w:tc>
          <w:tcPr>
            <w:tcW w:w="2551" w:type="dxa"/>
            <w:vAlign w:val="center"/>
          </w:tcPr>
          <w:p>
            <w:pPr>
              <w:pStyle w:val="12"/>
            </w:pPr>
            <w:r>
              <w:t>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4.23</w:t>
            </w:r>
          </w:p>
        </w:tc>
        <w:tc>
          <w:tcPr>
            <w:tcW w:w="2551" w:type="dxa"/>
            <w:vAlign w:val="center"/>
          </w:tcPr>
          <w:p>
            <w:pPr>
              <w:pStyle w:val="12"/>
            </w:pPr>
          </w:p>
        </w:tc>
        <w:tc>
          <w:tcPr>
            <w:tcW w:w="2551" w:type="dxa"/>
            <w:vAlign w:val="center"/>
          </w:tcPr>
          <w:p>
            <w:pPr>
              <w:pStyle w:val="12"/>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26.91</w:t>
            </w:r>
          </w:p>
        </w:tc>
        <w:tc>
          <w:tcPr>
            <w:tcW w:w="2551" w:type="dxa"/>
            <w:vAlign w:val="center"/>
          </w:tcPr>
          <w:p>
            <w:pPr>
              <w:pStyle w:val="12"/>
            </w:pPr>
            <w:r>
              <w:t>26.91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26.91</w:t>
            </w:r>
          </w:p>
        </w:tc>
        <w:tc>
          <w:tcPr>
            <w:tcW w:w="2551" w:type="dxa"/>
            <w:vAlign w:val="center"/>
          </w:tcPr>
          <w:p>
            <w:pPr>
              <w:pStyle w:val="12"/>
            </w:pPr>
            <w:r>
              <w:t>26.91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202晋州市信访局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1.94</w:t>
            </w:r>
          </w:p>
        </w:tc>
        <w:tc>
          <w:tcPr>
            <w:tcW w:w="2381" w:type="dxa"/>
            <w:vAlign w:val="center"/>
          </w:tcPr>
          <w:p>
            <w:pPr>
              <w:pStyle w:val="16"/>
            </w:pPr>
            <w:r>
              <w:t>1.94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bookmarkStart w:id="20" w:name="_GoBack"/>
      <w:bookmarkEnd w:id="20"/>
    </w:p>
    <w:p>
      <w:pPr>
        <w:pStyle w:val="18"/>
      </w:pPr>
      <w:r>
        <w:t xml:space="preserve">（一）受理、交办、转送信访人提出的信访事项； </w:t>
      </w:r>
    </w:p>
    <w:p>
      <w:pPr>
        <w:pStyle w:val="18"/>
      </w:pPr>
      <w:r>
        <w:t xml:space="preserve">（二）承办上级和本级人民政府交由处理的信访事项； </w:t>
      </w:r>
    </w:p>
    <w:p>
      <w:pPr>
        <w:pStyle w:val="18"/>
      </w:pPr>
      <w:r>
        <w:t xml:space="preserve">（三）协调处理重要信访事项； </w:t>
      </w:r>
    </w:p>
    <w:p>
      <w:pPr>
        <w:pStyle w:val="18"/>
      </w:pPr>
      <w:r>
        <w:t xml:space="preserve">（四）督促检查信访事项的处理； </w:t>
      </w:r>
    </w:p>
    <w:p>
      <w:pPr>
        <w:pStyle w:val="18"/>
      </w:pPr>
      <w:r>
        <w:t xml:space="preserve">（五）研究、分析信访情况，开展调查研究，及时向本级人民政府提出完善政策和改进工作的建议； </w:t>
      </w:r>
    </w:p>
    <w:p>
      <w:pPr>
        <w:pStyle w:val="18"/>
      </w:pPr>
      <w:r>
        <w:t>（六）对本级人民政府其他工作部门和下级人民政府信访工作机构的信访工作进行指导；</w:t>
      </w:r>
    </w:p>
    <w:p>
      <w:pPr>
        <w:pStyle w:val="18"/>
      </w:pPr>
      <w:r>
        <w:t>（七）承办市委、市政府交办的其他事项。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按照预算管理有关规定，目前部门预算的编制实行综合预算管理，即全部收入和支出都反映在预算中。晋州市信访局机关及所属事业单位的收支包含在部门预算中。</w:t>
      </w:r>
    </w:p>
    <w:p>
      <w:pPr>
        <w:pStyle w:val="19"/>
      </w:pPr>
      <w:r>
        <w:t>1、收入说明</w:t>
      </w:r>
    </w:p>
    <w:p>
      <w:pPr>
        <w:pStyle w:val="19"/>
      </w:pPr>
      <w:r>
        <w:t>反映本部门当年全部收入。2026年预算收入352.85万元，其中：一般公共预算收入352.85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信访局年度部门预算中支出预算的总体情况。2026年支出预算352.85万元，其中基本支出252.85万元，包括人员经费227.33万元和日常公用经费25.52万元；项目支出100.00万元，主要为北京、省市值班费、接访费、宣传费、印刷费以及律师服务费等维稳费用，用于妥善及时处理信访案件；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352.85万元，较2025年预算增加17.19万元，其中：基本支出增加17.19万元，主要为人员工资调整，人员经费增加。项目支出增加0.00万元，主要为信访维稳费用与上年持平。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2026年，我部门机关运行经费共计安排25.52万元，主要用于日常维修、办公用房水电费、办公用房取暖费、办公用房物业管理费等日常运行支出。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万元，其中因公出国（境）费0.00万元；公务用车购置及运维费1.94万元（其中：公务用车购置费为0.00万元，公务用车运维费1.94万元)；公务接待费0.00万元。与2025年相比减少0.06万元，增减变化的主要原因是严格财政开支制度，减少不必要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引，按照中央和省、市关于信访工作的总要求和工作部署，坚持：1、用群众工作统揽信访工作；2、非正常进京访持续下降；3、信访事项按期办结率达到85%以上，年终结案率100%。进一步开展信访积案攻坚行动，进一步保持信访形势的稳定，为我市经济建设发展提供良好的安全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（一）深入细致排查信访隐患，做好源头预防治理。</w:t>
      </w:r>
    </w:p>
    <w:p>
      <w:pPr>
        <w:pStyle w:val="23"/>
      </w:pPr>
      <w:r>
        <w:t>绩效目标：建立和完善信访隐患排查制度，落实责任考核。</w:t>
      </w:r>
    </w:p>
    <w:p>
      <w:pPr>
        <w:pStyle w:val="23"/>
      </w:pPr>
      <w:r>
        <w:t>绩效指标：通过建立信访隐患排查保障制度，确保做到“排查一个不漏，隐患一个不丢”，实现了隐患动态归零的行动目标。息诉罢访率≥95%。</w:t>
      </w:r>
    </w:p>
    <w:p>
      <w:pPr>
        <w:pStyle w:val="23"/>
      </w:pPr>
      <w:r>
        <w:t>（二）畅通信访渠道，加强领导干部接访约访下访力度。</w:t>
      </w:r>
    </w:p>
    <w:p>
      <w:pPr>
        <w:pStyle w:val="23"/>
      </w:pPr>
      <w:r>
        <w:t>绩效目标：加强县乡两级领导干部接访约访下访力度。</w:t>
      </w:r>
    </w:p>
    <w:p>
      <w:pPr>
        <w:pStyle w:val="23"/>
      </w:pPr>
      <w:r>
        <w:t xml:space="preserve">绩效指标：推动市县两级领导干部接访下访约访，畅通信访渠道，确保把矛盾和问题解决在基层，把信访群众吸附在当地,处理问题及时率达到100%。 </w:t>
      </w:r>
    </w:p>
    <w:p>
      <w:pPr>
        <w:pStyle w:val="23"/>
      </w:pPr>
      <w:r>
        <w:t>（三）细化稳控措施。</w:t>
      </w:r>
    </w:p>
    <w:p>
      <w:pPr>
        <w:pStyle w:val="23"/>
      </w:pPr>
      <w:r>
        <w:t>绩效目标：细化信访稳控措施。</w:t>
      </w:r>
    </w:p>
    <w:p>
      <w:pPr>
        <w:pStyle w:val="23"/>
      </w:pPr>
      <w:r>
        <w:t>绩效指标：化解信访案件及时率达到100%。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1、信访维稳经费绩效目标表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13018326P00032810304L</w:t>
            </w:r>
          </w:p>
        </w:tc>
        <w:tc>
          <w:tcPr>
            <w:tcW w:w="2835" w:type="dxa"/>
            <w:vAlign w:val="center"/>
          </w:tcPr>
          <w:p>
            <w:pPr>
              <w:pStyle w:val="11"/>
            </w:pPr>
            <w:r>
              <w:t>项目名称</w:t>
            </w:r>
          </w:p>
        </w:tc>
        <w:tc>
          <w:tcPr>
            <w:tcW w:w="6095" w:type="dxa"/>
            <w:gridSpan w:val="3"/>
            <w:vAlign w:val="center"/>
          </w:tcPr>
          <w:p>
            <w:pPr>
              <w:pStyle w:val="13"/>
            </w:pPr>
            <w:r>
              <w:t>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用于信访值班费、接访费、律师服务费、印刷费、案件化解以及信访工作法制化宣传费等维稳费用。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1.解决特殊疑难信访案件的及时化解，妥善处置到北京、石家庄上访人员，维护社会和谐稳定，确保2026年畅通信访渠道，减少信访案件，维护社会稳定。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上访人员处理率</w:t>
            </w:r>
          </w:p>
        </w:tc>
        <w:tc>
          <w:tcPr>
            <w:tcW w:w="5386" w:type="dxa"/>
            <w:vAlign w:val="center"/>
          </w:tcPr>
          <w:p>
            <w:pPr>
              <w:pStyle w:val="13"/>
            </w:pPr>
            <w:r>
              <w:t>处理非正常上访人员，引导上访人员依法上访，减少上访率</w:t>
            </w:r>
          </w:p>
        </w:tc>
        <w:tc>
          <w:tcPr>
            <w:tcW w:w="2268" w:type="dxa"/>
            <w:vAlign w:val="center"/>
          </w:tcPr>
          <w:p>
            <w:pPr>
              <w:pStyle w:val="13"/>
            </w:pPr>
            <w:r>
              <w:t>≥95％</w:t>
            </w:r>
          </w:p>
        </w:tc>
        <w:tc>
          <w:tcPr>
            <w:tcW w:w="1276" w:type="dxa"/>
            <w:vAlign w:val="center"/>
          </w:tcPr>
          <w:p>
            <w:pPr>
              <w:pStyle w:val="13"/>
            </w:pPr>
            <w:r>
              <w:t>关于信访维稳经费的事前绩效评估。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息诉罢访率</w:t>
            </w:r>
          </w:p>
        </w:tc>
        <w:tc>
          <w:tcPr>
            <w:tcW w:w="5386" w:type="dxa"/>
            <w:vAlign w:val="center"/>
          </w:tcPr>
          <w:p>
            <w:pPr>
              <w:pStyle w:val="13"/>
            </w:pPr>
            <w:r>
              <w:t>上访人员要求合理解决到位，要求无理的解释到位，生活困难的帮扶到位。</w:t>
            </w:r>
          </w:p>
        </w:tc>
        <w:tc>
          <w:tcPr>
            <w:tcW w:w="2268" w:type="dxa"/>
            <w:vAlign w:val="center"/>
          </w:tcPr>
          <w:p>
            <w:pPr>
              <w:pStyle w:val="13"/>
            </w:pPr>
            <w:r>
              <w:t>≥95％</w:t>
            </w:r>
          </w:p>
        </w:tc>
        <w:tc>
          <w:tcPr>
            <w:tcW w:w="1276" w:type="dxa"/>
            <w:vAlign w:val="center"/>
          </w:tcPr>
          <w:p>
            <w:pPr>
              <w:pStyle w:val="13"/>
            </w:pPr>
            <w:r>
              <w:t>关于信访维稳经费的事前绩效评估。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接访及时率</w:t>
            </w:r>
          </w:p>
        </w:tc>
        <w:tc>
          <w:tcPr>
            <w:tcW w:w="5386" w:type="dxa"/>
            <w:vAlign w:val="center"/>
          </w:tcPr>
          <w:p>
            <w:pPr>
              <w:pStyle w:val="13"/>
            </w:pPr>
            <w:r>
              <w:t>上访人员接访及时率</w:t>
            </w:r>
          </w:p>
        </w:tc>
        <w:tc>
          <w:tcPr>
            <w:tcW w:w="2268" w:type="dxa"/>
            <w:vAlign w:val="center"/>
          </w:tcPr>
          <w:p>
            <w:pPr>
              <w:pStyle w:val="13"/>
            </w:pPr>
            <w:r>
              <w:t>≥95％</w:t>
            </w:r>
          </w:p>
        </w:tc>
        <w:tc>
          <w:tcPr>
            <w:tcW w:w="1276" w:type="dxa"/>
            <w:vAlign w:val="center"/>
          </w:tcPr>
          <w:p>
            <w:pPr>
              <w:pStyle w:val="13"/>
            </w:pPr>
            <w:r>
              <w:t>关于信访维稳经费的事前绩效评估。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维稳经费资金成本</w:t>
            </w:r>
          </w:p>
        </w:tc>
        <w:tc>
          <w:tcPr>
            <w:tcW w:w="5386" w:type="dxa"/>
            <w:vAlign w:val="center"/>
          </w:tcPr>
          <w:p>
            <w:pPr>
              <w:pStyle w:val="13"/>
            </w:pPr>
            <w:r>
              <w:t>维稳经费所需资金成本</w:t>
            </w:r>
          </w:p>
        </w:tc>
        <w:tc>
          <w:tcPr>
            <w:tcW w:w="2268" w:type="dxa"/>
            <w:vAlign w:val="center"/>
          </w:tcPr>
          <w:p>
            <w:pPr>
              <w:pStyle w:val="13"/>
            </w:pPr>
            <w:r>
              <w:t>100万元</w:t>
            </w:r>
          </w:p>
        </w:tc>
        <w:tc>
          <w:tcPr>
            <w:tcW w:w="1276" w:type="dxa"/>
            <w:vAlign w:val="center"/>
          </w:tcPr>
          <w:p>
            <w:pPr>
              <w:pStyle w:val="13"/>
            </w:pPr>
            <w:r>
              <w:t>关于信访维稳经费的事前绩效评估。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维护社会稳定</w:t>
            </w:r>
          </w:p>
        </w:tc>
        <w:tc>
          <w:tcPr>
            <w:tcW w:w="5386" w:type="dxa"/>
            <w:vAlign w:val="center"/>
          </w:tcPr>
          <w:p>
            <w:pPr>
              <w:pStyle w:val="13"/>
            </w:pPr>
            <w:r>
              <w:t>妥善处置到北京、石家庄上访人员，维护社会稳定</w:t>
            </w:r>
          </w:p>
        </w:tc>
        <w:tc>
          <w:tcPr>
            <w:tcW w:w="2268" w:type="dxa"/>
            <w:vAlign w:val="center"/>
          </w:tcPr>
          <w:p>
            <w:pPr>
              <w:pStyle w:val="13"/>
            </w:pPr>
            <w:r>
              <w:t>≥95％</w:t>
            </w:r>
          </w:p>
        </w:tc>
        <w:tc>
          <w:tcPr>
            <w:tcW w:w="1276" w:type="dxa"/>
            <w:vAlign w:val="center"/>
          </w:tcPr>
          <w:p>
            <w:pPr>
              <w:pStyle w:val="13"/>
            </w:pPr>
            <w:r>
              <w:t>关于信访维稳经费的事前绩效评估。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202晋州市信访局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晋州市信访局本级小计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6.18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w:t>
            </w:r>
          </w:p>
        </w:tc>
        <w:tc>
          <w:tcPr>
            <w:tcW w:w="850" w:type="dxa"/>
            <w:vAlign w:val="center"/>
          </w:tcPr>
          <w:p>
            <w:pPr>
              <w:pStyle w:val="12"/>
            </w:pPr>
            <w:r>
              <w:t>0.05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晋州市信访局（含所属单位）上年末固定资产金额为106.84万元（详见下表）。本年度拟购置固定资产总额为0.00万元，已按要求列入政府采购预算，详见政府采购预算表。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202晋州市信访局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429</w:t>
            </w:r>
          </w:p>
        </w:tc>
        <w:tc>
          <w:tcPr>
            <w:tcW w:w="2835" w:type="dxa"/>
            <w:vAlign w:val="center"/>
          </w:tcPr>
          <w:p>
            <w:pPr>
              <w:pStyle w:val="12"/>
            </w:pPr>
            <w:r>
              <w:t>91.49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4313CD"/>
    <w:multiLevelType w:val="singleLevel"/>
    <w:tmpl w:val="854313C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6D04C4"/>
    <w:rsid w:val="36084C2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2026-03-02T08:34:00Z</dcterms:created>
  <dc:creator>Administrator</dc:creator>
  <cp:lastModifiedBy>Administrator</cp:lastModifiedBy>
  <dcterms:modified xsi:type="dcterms:W3CDTF">2026-03-04T03:14:04Z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