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934.71</w:t>
            </w:r>
          </w:p>
        </w:tc>
        <w:tc>
          <w:tcPr>
            <w:tcW w:w="4535" w:type="dxa"/>
            <w:vAlign w:val="center"/>
          </w:tcPr>
          <w:p>
            <w:pPr>
              <w:pStyle w:val="13"/>
            </w:pPr>
            <w:r>
              <w:t>一、一般公共服务支出</w:t>
            </w:r>
          </w:p>
        </w:tc>
        <w:tc>
          <w:tcPr>
            <w:tcW w:w="2126" w:type="dxa"/>
            <w:vAlign w:val="center"/>
          </w:tcPr>
          <w:p>
            <w:pPr>
              <w:pStyle w:val="12"/>
            </w:pPr>
            <w:r>
              <w:t>897.31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934.71</w:t>
            </w:r>
          </w:p>
        </w:tc>
        <w:tc>
          <w:tcPr>
            <w:tcW w:w="4535" w:type="dxa"/>
            <w:vAlign w:val="center"/>
          </w:tcPr>
          <w:p>
            <w:pPr>
              <w:pStyle w:val="15"/>
            </w:pPr>
            <w:r>
              <w:t>本年支出合计</w:t>
            </w:r>
          </w:p>
        </w:tc>
        <w:tc>
          <w:tcPr>
            <w:tcW w:w="2126" w:type="dxa"/>
            <w:vAlign w:val="center"/>
          </w:tcPr>
          <w:p>
            <w:pPr>
              <w:pStyle w:val="16"/>
            </w:pPr>
            <w:r>
              <w:t>934.71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934.71</w:t>
            </w:r>
          </w:p>
        </w:tc>
        <w:tc>
          <w:tcPr>
            <w:tcW w:w="4535" w:type="dxa"/>
            <w:vAlign w:val="center"/>
          </w:tcPr>
          <w:p>
            <w:pPr>
              <w:pStyle w:val="15"/>
            </w:pPr>
            <w:r>
              <w:t>支出总计</w:t>
            </w:r>
          </w:p>
        </w:tc>
        <w:tc>
          <w:tcPr>
            <w:tcW w:w="2126" w:type="dxa"/>
            <w:vAlign w:val="center"/>
          </w:tcPr>
          <w:p>
            <w:pPr>
              <w:pStyle w:val="16"/>
            </w:pPr>
            <w:r>
              <w:t>934.71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934.71</w:t>
            </w:r>
          </w:p>
        </w:tc>
        <w:tc>
          <w:tcPr>
            <w:tcW w:w="1134" w:type="dxa"/>
            <w:vAlign w:val="center"/>
          </w:tcPr>
          <w:p>
            <w:pPr>
              <w:pStyle w:val="16"/>
            </w:pPr>
            <w:r>
              <w:t>934.71</w:t>
            </w:r>
          </w:p>
        </w:tc>
        <w:tc>
          <w:tcPr>
            <w:tcW w:w="1134" w:type="dxa"/>
            <w:vAlign w:val="center"/>
          </w:tcPr>
          <w:p>
            <w:pPr>
              <w:pStyle w:val="16"/>
            </w:pPr>
            <w:r>
              <w:t>934.71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897.31</w:t>
            </w:r>
          </w:p>
        </w:tc>
        <w:tc>
          <w:tcPr>
            <w:tcW w:w="1134" w:type="dxa"/>
            <w:vAlign w:val="center"/>
          </w:tcPr>
          <w:p>
            <w:pPr>
              <w:pStyle w:val="12"/>
            </w:pPr>
            <w:r>
              <w:t>897.31</w:t>
            </w:r>
          </w:p>
        </w:tc>
        <w:tc>
          <w:tcPr>
            <w:tcW w:w="1134" w:type="dxa"/>
            <w:vAlign w:val="center"/>
          </w:tcPr>
          <w:p>
            <w:pPr>
              <w:pStyle w:val="12"/>
            </w:pPr>
            <w:r>
              <w:t>897.31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897.31</w:t>
            </w:r>
          </w:p>
        </w:tc>
        <w:tc>
          <w:tcPr>
            <w:tcW w:w="1134" w:type="dxa"/>
            <w:vAlign w:val="center"/>
          </w:tcPr>
          <w:p>
            <w:pPr>
              <w:pStyle w:val="12"/>
            </w:pPr>
            <w:r>
              <w:t>897.31</w:t>
            </w:r>
          </w:p>
        </w:tc>
        <w:tc>
          <w:tcPr>
            <w:tcW w:w="1134" w:type="dxa"/>
            <w:vAlign w:val="center"/>
          </w:tcPr>
          <w:p>
            <w:pPr>
              <w:pStyle w:val="12"/>
            </w:pPr>
            <w:r>
              <w:t>897.31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310.02</w:t>
            </w:r>
          </w:p>
        </w:tc>
        <w:tc>
          <w:tcPr>
            <w:tcW w:w="1134" w:type="dxa"/>
            <w:vAlign w:val="center"/>
          </w:tcPr>
          <w:p>
            <w:pPr>
              <w:pStyle w:val="12"/>
            </w:pPr>
            <w:r>
              <w:t>310.02</w:t>
            </w:r>
          </w:p>
        </w:tc>
        <w:tc>
          <w:tcPr>
            <w:tcW w:w="1134" w:type="dxa"/>
            <w:vAlign w:val="center"/>
          </w:tcPr>
          <w:p>
            <w:pPr>
              <w:pStyle w:val="12"/>
            </w:pPr>
            <w:r>
              <w:t>310.02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587.29</w:t>
            </w:r>
          </w:p>
        </w:tc>
        <w:tc>
          <w:tcPr>
            <w:tcW w:w="1134" w:type="dxa"/>
            <w:vAlign w:val="center"/>
          </w:tcPr>
          <w:p>
            <w:pPr>
              <w:pStyle w:val="12"/>
            </w:pPr>
            <w:r>
              <w:t>587.29</w:t>
            </w:r>
          </w:p>
        </w:tc>
        <w:tc>
          <w:tcPr>
            <w:tcW w:w="1134" w:type="dxa"/>
            <w:vAlign w:val="center"/>
          </w:tcPr>
          <w:p>
            <w:pPr>
              <w:pStyle w:val="12"/>
            </w:pPr>
            <w:r>
              <w:t>587.29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37.40</w:t>
            </w:r>
          </w:p>
        </w:tc>
        <w:tc>
          <w:tcPr>
            <w:tcW w:w="1134" w:type="dxa"/>
            <w:vAlign w:val="center"/>
          </w:tcPr>
          <w:p>
            <w:pPr>
              <w:pStyle w:val="12"/>
            </w:pPr>
            <w:r>
              <w:t>37.40</w:t>
            </w:r>
          </w:p>
        </w:tc>
        <w:tc>
          <w:tcPr>
            <w:tcW w:w="1134" w:type="dxa"/>
            <w:vAlign w:val="center"/>
          </w:tcPr>
          <w:p>
            <w:pPr>
              <w:pStyle w:val="12"/>
            </w:pPr>
            <w:r>
              <w:t>37.40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22.40</w:t>
            </w:r>
          </w:p>
        </w:tc>
        <w:tc>
          <w:tcPr>
            <w:tcW w:w="1134" w:type="dxa"/>
            <w:vAlign w:val="center"/>
          </w:tcPr>
          <w:p>
            <w:pPr>
              <w:pStyle w:val="12"/>
            </w:pPr>
            <w:r>
              <w:t>22.40</w:t>
            </w:r>
          </w:p>
        </w:tc>
        <w:tc>
          <w:tcPr>
            <w:tcW w:w="1134" w:type="dxa"/>
            <w:vAlign w:val="center"/>
          </w:tcPr>
          <w:p>
            <w:pPr>
              <w:pStyle w:val="12"/>
            </w:pPr>
            <w:r>
              <w:t>22.40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22.40</w:t>
            </w:r>
          </w:p>
        </w:tc>
        <w:tc>
          <w:tcPr>
            <w:tcW w:w="1134" w:type="dxa"/>
            <w:vAlign w:val="center"/>
          </w:tcPr>
          <w:p>
            <w:pPr>
              <w:pStyle w:val="12"/>
            </w:pPr>
            <w:r>
              <w:t>22.40</w:t>
            </w:r>
          </w:p>
        </w:tc>
        <w:tc>
          <w:tcPr>
            <w:tcW w:w="1134" w:type="dxa"/>
            <w:vAlign w:val="center"/>
          </w:tcPr>
          <w:p>
            <w:pPr>
              <w:pStyle w:val="12"/>
            </w:pPr>
            <w:r>
              <w:t>22.40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934.71</w:t>
            </w:r>
          </w:p>
        </w:tc>
        <w:tc>
          <w:tcPr>
            <w:tcW w:w="1361" w:type="dxa"/>
            <w:vAlign w:val="center"/>
          </w:tcPr>
          <w:p>
            <w:pPr>
              <w:pStyle w:val="16"/>
            </w:pPr>
            <w:r>
              <w:t>310.02</w:t>
            </w:r>
          </w:p>
        </w:tc>
        <w:tc>
          <w:tcPr>
            <w:tcW w:w="1361" w:type="dxa"/>
            <w:vAlign w:val="center"/>
          </w:tcPr>
          <w:p>
            <w:pPr>
              <w:pStyle w:val="16"/>
            </w:pPr>
            <w:r>
              <w:t>624.69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897.31</w:t>
            </w:r>
          </w:p>
        </w:tc>
        <w:tc>
          <w:tcPr>
            <w:tcW w:w="1361" w:type="dxa"/>
            <w:vAlign w:val="center"/>
          </w:tcPr>
          <w:p>
            <w:pPr>
              <w:pStyle w:val="12"/>
            </w:pPr>
            <w:r>
              <w:t>310.02</w:t>
            </w:r>
          </w:p>
        </w:tc>
        <w:tc>
          <w:tcPr>
            <w:tcW w:w="1361" w:type="dxa"/>
            <w:vAlign w:val="center"/>
          </w:tcPr>
          <w:p>
            <w:pPr>
              <w:pStyle w:val="12"/>
            </w:pPr>
            <w:r>
              <w:t>587.29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897.31</w:t>
            </w:r>
          </w:p>
        </w:tc>
        <w:tc>
          <w:tcPr>
            <w:tcW w:w="1361" w:type="dxa"/>
            <w:vAlign w:val="center"/>
          </w:tcPr>
          <w:p>
            <w:pPr>
              <w:pStyle w:val="12"/>
            </w:pPr>
            <w:r>
              <w:t>310.02</w:t>
            </w:r>
          </w:p>
        </w:tc>
        <w:tc>
          <w:tcPr>
            <w:tcW w:w="1361" w:type="dxa"/>
            <w:vAlign w:val="center"/>
          </w:tcPr>
          <w:p>
            <w:pPr>
              <w:pStyle w:val="12"/>
            </w:pPr>
            <w:r>
              <w:t>587.29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310.02</w:t>
            </w:r>
          </w:p>
        </w:tc>
        <w:tc>
          <w:tcPr>
            <w:tcW w:w="1361" w:type="dxa"/>
            <w:vAlign w:val="center"/>
          </w:tcPr>
          <w:p>
            <w:pPr>
              <w:pStyle w:val="12"/>
            </w:pPr>
            <w:r>
              <w:t>310.02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587.29</w:t>
            </w:r>
          </w:p>
        </w:tc>
        <w:tc>
          <w:tcPr>
            <w:tcW w:w="1361" w:type="dxa"/>
            <w:vAlign w:val="center"/>
          </w:tcPr>
          <w:p>
            <w:pPr>
              <w:pStyle w:val="12"/>
            </w:pPr>
          </w:p>
        </w:tc>
        <w:tc>
          <w:tcPr>
            <w:tcW w:w="1361" w:type="dxa"/>
            <w:vAlign w:val="center"/>
          </w:tcPr>
          <w:p>
            <w:pPr>
              <w:pStyle w:val="12"/>
            </w:pPr>
            <w:r>
              <w:t>587.29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37.40</w:t>
            </w:r>
          </w:p>
        </w:tc>
        <w:tc>
          <w:tcPr>
            <w:tcW w:w="1361" w:type="dxa"/>
            <w:vAlign w:val="center"/>
          </w:tcPr>
          <w:p>
            <w:pPr>
              <w:pStyle w:val="12"/>
            </w:pPr>
          </w:p>
        </w:tc>
        <w:tc>
          <w:tcPr>
            <w:tcW w:w="1361" w:type="dxa"/>
            <w:vAlign w:val="center"/>
          </w:tcPr>
          <w:p>
            <w:pPr>
              <w:pStyle w:val="12"/>
            </w:pPr>
            <w:r>
              <w:t>37.40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22.40</w:t>
            </w:r>
          </w:p>
        </w:tc>
        <w:tc>
          <w:tcPr>
            <w:tcW w:w="1361" w:type="dxa"/>
            <w:vAlign w:val="center"/>
          </w:tcPr>
          <w:p>
            <w:pPr>
              <w:pStyle w:val="12"/>
            </w:pPr>
          </w:p>
        </w:tc>
        <w:tc>
          <w:tcPr>
            <w:tcW w:w="1361" w:type="dxa"/>
            <w:vAlign w:val="center"/>
          </w:tcPr>
          <w:p>
            <w:pPr>
              <w:pStyle w:val="12"/>
            </w:pPr>
            <w:r>
              <w:t>22.40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22.40</w:t>
            </w:r>
          </w:p>
        </w:tc>
        <w:tc>
          <w:tcPr>
            <w:tcW w:w="1361" w:type="dxa"/>
            <w:vAlign w:val="center"/>
          </w:tcPr>
          <w:p>
            <w:pPr>
              <w:pStyle w:val="12"/>
            </w:pPr>
          </w:p>
        </w:tc>
        <w:tc>
          <w:tcPr>
            <w:tcW w:w="1361" w:type="dxa"/>
            <w:vAlign w:val="center"/>
          </w:tcPr>
          <w:p>
            <w:pPr>
              <w:pStyle w:val="12"/>
            </w:pPr>
            <w:r>
              <w:t>22.40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934.71</w:t>
            </w:r>
          </w:p>
        </w:tc>
        <w:tc>
          <w:tcPr>
            <w:tcW w:w="3402" w:type="dxa"/>
            <w:vAlign w:val="center"/>
          </w:tcPr>
          <w:p>
            <w:pPr>
              <w:pStyle w:val="13"/>
            </w:pPr>
            <w:r>
              <w:t>一、一般公共服务支出</w:t>
            </w:r>
          </w:p>
        </w:tc>
        <w:tc>
          <w:tcPr>
            <w:tcW w:w="1474" w:type="dxa"/>
            <w:vAlign w:val="center"/>
          </w:tcPr>
          <w:p>
            <w:pPr>
              <w:pStyle w:val="12"/>
            </w:pPr>
            <w:r>
              <w:t>897.31</w:t>
            </w:r>
          </w:p>
        </w:tc>
        <w:tc>
          <w:tcPr>
            <w:tcW w:w="1474" w:type="dxa"/>
            <w:vAlign w:val="center"/>
          </w:tcPr>
          <w:p>
            <w:pPr>
              <w:pStyle w:val="12"/>
            </w:pPr>
            <w:r>
              <w:t>897.31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37.40</w:t>
            </w:r>
          </w:p>
        </w:tc>
        <w:tc>
          <w:tcPr>
            <w:tcW w:w="1474" w:type="dxa"/>
            <w:vAlign w:val="center"/>
          </w:tcPr>
          <w:p>
            <w:pPr>
              <w:pStyle w:val="12"/>
            </w:pPr>
            <w:r>
              <w:t>37.40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934.71</w:t>
            </w:r>
          </w:p>
        </w:tc>
        <w:tc>
          <w:tcPr>
            <w:tcW w:w="3402" w:type="dxa"/>
            <w:vAlign w:val="center"/>
          </w:tcPr>
          <w:p>
            <w:pPr>
              <w:pStyle w:val="15"/>
            </w:pPr>
            <w:r>
              <w:t>本年支出合计</w:t>
            </w:r>
          </w:p>
        </w:tc>
        <w:tc>
          <w:tcPr>
            <w:tcW w:w="1474" w:type="dxa"/>
            <w:vAlign w:val="center"/>
          </w:tcPr>
          <w:p>
            <w:pPr>
              <w:pStyle w:val="16"/>
            </w:pPr>
            <w:r>
              <w:t>934.71</w:t>
            </w:r>
          </w:p>
        </w:tc>
        <w:tc>
          <w:tcPr>
            <w:tcW w:w="1474" w:type="dxa"/>
            <w:vAlign w:val="center"/>
          </w:tcPr>
          <w:p>
            <w:pPr>
              <w:pStyle w:val="16"/>
            </w:pPr>
            <w:r>
              <w:t>934.71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934.71</w:t>
            </w:r>
          </w:p>
        </w:tc>
        <w:tc>
          <w:tcPr>
            <w:tcW w:w="3402" w:type="dxa"/>
            <w:vAlign w:val="center"/>
          </w:tcPr>
          <w:p>
            <w:pPr>
              <w:pStyle w:val="15"/>
            </w:pPr>
            <w:r>
              <w:t>支出总计</w:t>
            </w:r>
          </w:p>
        </w:tc>
        <w:tc>
          <w:tcPr>
            <w:tcW w:w="1474" w:type="dxa"/>
            <w:vAlign w:val="center"/>
          </w:tcPr>
          <w:p>
            <w:pPr>
              <w:pStyle w:val="16"/>
            </w:pPr>
            <w:r>
              <w:t>934.71</w:t>
            </w:r>
          </w:p>
        </w:tc>
        <w:tc>
          <w:tcPr>
            <w:tcW w:w="1474" w:type="dxa"/>
            <w:vAlign w:val="center"/>
          </w:tcPr>
          <w:p>
            <w:pPr>
              <w:pStyle w:val="16"/>
            </w:pPr>
            <w:r>
              <w:t>934.71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934.71</w:t>
            </w:r>
          </w:p>
        </w:tc>
        <w:tc>
          <w:tcPr>
            <w:tcW w:w="2551" w:type="dxa"/>
            <w:vAlign w:val="center"/>
          </w:tcPr>
          <w:p>
            <w:pPr>
              <w:pStyle w:val="16"/>
            </w:pPr>
            <w:r>
              <w:t>310.02</w:t>
            </w:r>
          </w:p>
        </w:tc>
        <w:tc>
          <w:tcPr>
            <w:tcW w:w="2551" w:type="dxa"/>
            <w:vAlign w:val="center"/>
          </w:tcPr>
          <w:p>
            <w:pPr>
              <w:pStyle w:val="16"/>
            </w:pPr>
            <w:r>
              <w:t>624.69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897.31</w:t>
            </w:r>
          </w:p>
        </w:tc>
        <w:tc>
          <w:tcPr>
            <w:tcW w:w="2551" w:type="dxa"/>
            <w:vAlign w:val="center"/>
          </w:tcPr>
          <w:p>
            <w:pPr>
              <w:pStyle w:val="12"/>
            </w:pPr>
            <w:r>
              <w:t>310.02</w:t>
            </w:r>
          </w:p>
        </w:tc>
        <w:tc>
          <w:tcPr>
            <w:tcW w:w="2551" w:type="dxa"/>
            <w:vAlign w:val="center"/>
          </w:tcPr>
          <w:p>
            <w:pPr>
              <w:pStyle w:val="12"/>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897.31</w:t>
            </w:r>
          </w:p>
        </w:tc>
        <w:tc>
          <w:tcPr>
            <w:tcW w:w="2551" w:type="dxa"/>
            <w:vAlign w:val="center"/>
          </w:tcPr>
          <w:p>
            <w:pPr>
              <w:pStyle w:val="12"/>
            </w:pPr>
            <w:r>
              <w:t>310.02</w:t>
            </w:r>
          </w:p>
        </w:tc>
        <w:tc>
          <w:tcPr>
            <w:tcW w:w="2551" w:type="dxa"/>
            <w:vAlign w:val="center"/>
          </w:tcPr>
          <w:p>
            <w:pPr>
              <w:pStyle w:val="12"/>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310.02</w:t>
            </w:r>
          </w:p>
        </w:tc>
        <w:tc>
          <w:tcPr>
            <w:tcW w:w="2551" w:type="dxa"/>
            <w:vAlign w:val="center"/>
          </w:tcPr>
          <w:p>
            <w:pPr>
              <w:pStyle w:val="12"/>
            </w:pPr>
            <w:r>
              <w:t>310.02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587.29</w:t>
            </w:r>
          </w:p>
        </w:tc>
        <w:tc>
          <w:tcPr>
            <w:tcW w:w="2551" w:type="dxa"/>
            <w:vAlign w:val="center"/>
          </w:tcPr>
          <w:p>
            <w:pPr>
              <w:pStyle w:val="12"/>
            </w:pPr>
          </w:p>
        </w:tc>
        <w:tc>
          <w:tcPr>
            <w:tcW w:w="2551" w:type="dxa"/>
            <w:vAlign w:val="center"/>
          </w:tcPr>
          <w:p>
            <w:pPr>
              <w:pStyle w:val="12"/>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37.40</w:t>
            </w:r>
          </w:p>
        </w:tc>
        <w:tc>
          <w:tcPr>
            <w:tcW w:w="2551" w:type="dxa"/>
            <w:vAlign w:val="center"/>
          </w:tcPr>
          <w:p>
            <w:pPr>
              <w:pStyle w:val="12"/>
            </w:pPr>
          </w:p>
        </w:tc>
        <w:tc>
          <w:tcPr>
            <w:tcW w:w="2551" w:type="dxa"/>
            <w:vAlign w:val="center"/>
          </w:tcPr>
          <w:p>
            <w:pPr>
              <w:pStyle w:val="12"/>
            </w:pPr>
            <w:r>
              <w:t>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22.40</w:t>
            </w:r>
          </w:p>
        </w:tc>
        <w:tc>
          <w:tcPr>
            <w:tcW w:w="2551" w:type="dxa"/>
            <w:vAlign w:val="center"/>
          </w:tcPr>
          <w:p>
            <w:pPr>
              <w:pStyle w:val="12"/>
            </w:pPr>
          </w:p>
        </w:tc>
        <w:tc>
          <w:tcPr>
            <w:tcW w:w="2551" w:type="dxa"/>
            <w:vAlign w:val="center"/>
          </w:tcPr>
          <w:p>
            <w:pPr>
              <w:pStyle w:val="12"/>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22.40</w:t>
            </w:r>
          </w:p>
        </w:tc>
        <w:tc>
          <w:tcPr>
            <w:tcW w:w="2551" w:type="dxa"/>
            <w:vAlign w:val="center"/>
          </w:tcPr>
          <w:p>
            <w:pPr>
              <w:pStyle w:val="12"/>
            </w:pPr>
          </w:p>
        </w:tc>
        <w:tc>
          <w:tcPr>
            <w:tcW w:w="2551" w:type="dxa"/>
            <w:vAlign w:val="center"/>
          </w:tcPr>
          <w:p>
            <w:pPr>
              <w:pStyle w:val="12"/>
            </w:pPr>
            <w:r>
              <w:t>22.40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310.02</w:t>
            </w:r>
          </w:p>
        </w:tc>
        <w:tc>
          <w:tcPr>
            <w:tcW w:w="2551" w:type="dxa"/>
            <w:vAlign w:val="center"/>
          </w:tcPr>
          <w:p>
            <w:pPr>
              <w:pStyle w:val="16"/>
            </w:pPr>
            <w:r>
              <w:t>268.23</w:t>
            </w:r>
          </w:p>
        </w:tc>
        <w:tc>
          <w:tcPr>
            <w:tcW w:w="2551" w:type="dxa"/>
            <w:vAlign w:val="center"/>
          </w:tcPr>
          <w:p>
            <w:pPr>
              <w:pStyle w:val="16"/>
            </w:pPr>
            <w:r>
              <w:t>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247.74</w:t>
            </w:r>
          </w:p>
        </w:tc>
        <w:tc>
          <w:tcPr>
            <w:tcW w:w="2551" w:type="dxa"/>
            <w:vAlign w:val="center"/>
          </w:tcPr>
          <w:p>
            <w:pPr>
              <w:pStyle w:val="12"/>
            </w:pPr>
            <w:r>
              <w:t>247.74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95.36</w:t>
            </w:r>
          </w:p>
        </w:tc>
        <w:tc>
          <w:tcPr>
            <w:tcW w:w="2551" w:type="dxa"/>
            <w:vAlign w:val="center"/>
          </w:tcPr>
          <w:p>
            <w:pPr>
              <w:pStyle w:val="12"/>
            </w:pPr>
            <w:r>
              <w:t>95.36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39.43</w:t>
            </w:r>
          </w:p>
        </w:tc>
        <w:tc>
          <w:tcPr>
            <w:tcW w:w="2551" w:type="dxa"/>
            <w:vAlign w:val="center"/>
          </w:tcPr>
          <w:p>
            <w:pPr>
              <w:pStyle w:val="12"/>
            </w:pPr>
            <w:r>
              <w:t>39.43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34.94</w:t>
            </w:r>
          </w:p>
        </w:tc>
        <w:tc>
          <w:tcPr>
            <w:tcW w:w="2551" w:type="dxa"/>
            <w:vAlign w:val="center"/>
          </w:tcPr>
          <w:p>
            <w:pPr>
              <w:pStyle w:val="12"/>
            </w:pPr>
            <w:r>
              <w:t>34.94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14.53</w:t>
            </w:r>
          </w:p>
        </w:tc>
        <w:tc>
          <w:tcPr>
            <w:tcW w:w="2551" w:type="dxa"/>
            <w:vAlign w:val="center"/>
          </w:tcPr>
          <w:p>
            <w:pPr>
              <w:pStyle w:val="12"/>
            </w:pPr>
            <w:r>
              <w:t>14.53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25.90</w:t>
            </w:r>
          </w:p>
        </w:tc>
        <w:tc>
          <w:tcPr>
            <w:tcW w:w="2551" w:type="dxa"/>
            <w:vAlign w:val="center"/>
          </w:tcPr>
          <w:p>
            <w:pPr>
              <w:pStyle w:val="12"/>
            </w:pPr>
            <w:r>
              <w:t>25.90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10.46</w:t>
            </w:r>
          </w:p>
        </w:tc>
        <w:tc>
          <w:tcPr>
            <w:tcW w:w="2551" w:type="dxa"/>
            <w:vAlign w:val="center"/>
          </w:tcPr>
          <w:p>
            <w:pPr>
              <w:pStyle w:val="12"/>
            </w:pPr>
            <w:r>
              <w:t>10.46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5.32</w:t>
            </w:r>
          </w:p>
        </w:tc>
        <w:tc>
          <w:tcPr>
            <w:tcW w:w="2551" w:type="dxa"/>
            <w:vAlign w:val="center"/>
          </w:tcPr>
          <w:p>
            <w:pPr>
              <w:pStyle w:val="12"/>
            </w:pPr>
            <w:r>
              <w:t>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20.77</w:t>
            </w:r>
          </w:p>
        </w:tc>
        <w:tc>
          <w:tcPr>
            <w:tcW w:w="2551" w:type="dxa"/>
            <w:vAlign w:val="center"/>
          </w:tcPr>
          <w:p>
            <w:pPr>
              <w:pStyle w:val="12"/>
            </w:pPr>
            <w:r>
              <w:t>20.77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41.79</w:t>
            </w:r>
          </w:p>
        </w:tc>
        <w:tc>
          <w:tcPr>
            <w:tcW w:w="2551" w:type="dxa"/>
            <w:vAlign w:val="center"/>
          </w:tcPr>
          <w:p>
            <w:pPr>
              <w:pStyle w:val="12"/>
            </w:pPr>
          </w:p>
        </w:tc>
        <w:tc>
          <w:tcPr>
            <w:tcW w:w="2551" w:type="dxa"/>
            <w:vAlign w:val="center"/>
          </w:tcPr>
          <w:p>
            <w:pPr>
              <w:pStyle w:val="12"/>
            </w:pPr>
            <w:r>
              <w:t>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6.90</w:t>
            </w:r>
          </w:p>
        </w:tc>
        <w:tc>
          <w:tcPr>
            <w:tcW w:w="2551" w:type="dxa"/>
            <w:vAlign w:val="center"/>
          </w:tcPr>
          <w:p>
            <w:pPr>
              <w:pStyle w:val="12"/>
            </w:pPr>
          </w:p>
        </w:tc>
        <w:tc>
          <w:tcPr>
            <w:tcW w:w="2551" w:type="dxa"/>
            <w:vAlign w:val="center"/>
          </w:tcPr>
          <w:p>
            <w:pPr>
              <w:pStyle w:val="12"/>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8.46</w:t>
            </w:r>
          </w:p>
        </w:tc>
        <w:tc>
          <w:tcPr>
            <w:tcW w:w="2551" w:type="dxa"/>
            <w:vAlign w:val="center"/>
          </w:tcPr>
          <w:p>
            <w:pPr>
              <w:pStyle w:val="12"/>
            </w:pPr>
          </w:p>
        </w:tc>
        <w:tc>
          <w:tcPr>
            <w:tcW w:w="2551" w:type="dxa"/>
            <w:vAlign w:val="center"/>
          </w:tcPr>
          <w:p>
            <w:pPr>
              <w:pStyle w:val="12"/>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4.54</w:t>
            </w:r>
          </w:p>
        </w:tc>
        <w:tc>
          <w:tcPr>
            <w:tcW w:w="2551" w:type="dxa"/>
            <w:vAlign w:val="center"/>
          </w:tcPr>
          <w:p>
            <w:pPr>
              <w:pStyle w:val="12"/>
            </w:pPr>
          </w:p>
        </w:tc>
        <w:tc>
          <w:tcPr>
            <w:tcW w:w="2551" w:type="dxa"/>
            <w:vAlign w:val="center"/>
          </w:tcPr>
          <w:p>
            <w:pPr>
              <w:pStyle w:val="12"/>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4.85</w:t>
            </w:r>
          </w:p>
        </w:tc>
        <w:tc>
          <w:tcPr>
            <w:tcW w:w="2551" w:type="dxa"/>
            <w:vAlign w:val="center"/>
          </w:tcPr>
          <w:p>
            <w:pPr>
              <w:pStyle w:val="12"/>
            </w:pPr>
          </w:p>
        </w:tc>
        <w:tc>
          <w:tcPr>
            <w:tcW w:w="2551" w:type="dxa"/>
            <w:vAlign w:val="center"/>
          </w:tcPr>
          <w:p>
            <w:pPr>
              <w:pStyle w:val="12"/>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10.32</w:t>
            </w:r>
          </w:p>
        </w:tc>
        <w:tc>
          <w:tcPr>
            <w:tcW w:w="2551" w:type="dxa"/>
            <w:vAlign w:val="center"/>
          </w:tcPr>
          <w:p>
            <w:pPr>
              <w:pStyle w:val="12"/>
            </w:pPr>
          </w:p>
        </w:tc>
        <w:tc>
          <w:tcPr>
            <w:tcW w:w="2551"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4.78</w:t>
            </w:r>
          </w:p>
        </w:tc>
        <w:tc>
          <w:tcPr>
            <w:tcW w:w="2551" w:type="dxa"/>
            <w:vAlign w:val="center"/>
          </w:tcPr>
          <w:p>
            <w:pPr>
              <w:pStyle w:val="12"/>
            </w:pPr>
          </w:p>
        </w:tc>
        <w:tc>
          <w:tcPr>
            <w:tcW w:w="2551" w:type="dxa"/>
            <w:vAlign w:val="center"/>
          </w:tcPr>
          <w:p>
            <w:pPr>
              <w:pStyle w:val="12"/>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20.49</w:t>
            </w:r>
          </w:p>
        </w:tc>
        <w:tc>
          <w:tcPr>
            <w:tcW w:w="2551" w:type="dxa"/>
            <w:vAlign w:val="center"/>
          </w:tcPr>
          <w:p>
            <w:pPr>
              <w:pStyle w:val="12"/>
            </w:pPr>
            <w:r>
              <w:t>20.49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20.49</w:t>
            </w:r>
          </w:p>
        </w:tc>
        <w:tc>
          <w:tcPr>
            <w:tcW w:w="2551" w:type="dxa"/>
            <w:vAlign w:val="center"/>
          </w:tcPr>
          <w:p>
            <w:pPr>
              <w:pStyle w:val="12"/>
            </w:pPr>
            <w:r>
              <w:t>20.49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4.85</w:t>
            </w:r>
          </w:p>
        </w:tc>
        <w:tc>
          <w:tcPr>
            <w:tcW w:w="2381" w:type="dxa"/>
            <w:vAlign w:val="center"/>
          </w:tcPr>
          <w:p>
            <w:pPr>
              <w:pStyle w:val="16"/>
            </w:pPr>
            <w:r>
              <w:t>4.85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中国共产党晋州市委员会宣传部2026年部门预算信息公开情况说明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中国共产党晋州市委员会宣传部2026年部门预算信息公开情况说明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按照《中华人民共和国预算法》、《地方预决算公开操作规程》和《关于进一步推进预算公开工作的实施意见》规定，现将中国共产党晋州市委员会宣传部2026年部门预算公开如下：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(一)拟订全市宣传思想文化工作方针政策和事业发展总体规划，统筹协调推进宣传思想文化领域法制建设，按照市委统一部署，协调宣传思想文化系统各部门之间的工作。 (二)统筹协调全市党的意识形态工作，贯彻落实市委关于意识形态工作决策部署，组织协调意识形态工作责任制落实和日常监督检查。 (三)统筹指导协调全市理论学习、理论宣传工作，组织推动理论武装工作，负责市委理论学习中心组理论学习的有关工作。 (四)负责规划组织全市全局性思想政治工作任务，组织对先进典型的学习推广；配合市委组织部做好基层党员教育工作，做好党员培训工作，抓好基层党校阵地建设；负责指导协调全市爱国主义教育基地、民兵训练基地的建设、管理、使用。 (五)统筹分析研判和引导全市社会舆论，配合市委、市政、国防教育工作，组织协调市突发公共事件应急新闻工作。 (六）督促全市新闻出版业的管理政策落实；管理新闻出版行政事务；统筹规划和指导协调新闻出版事业、产业发展；监督管理出版物内容和质量，监督管理印刷业，管理著作权，管理出版物进出口等；组织指导协调全市“扫黄打非”工作。(七)从宏观上统筹指导协调全市互联网宣传和信息内容管理工作；统筹数字新媒体的建设和管理。 (八)从宏观统筹指导协调推动全市精神文化产品的创作和生产；协调组织中华优秀传统文化传承发展有关工作；指导协调推动群众文化建设。 (九)负责管理全市电影行政事务，指导监管电影制片、发行、放映工作，组织对电影内容进行审查，指导协调全市性重大电影活动。 (十)对全市新闻出版、广播电视、文化艺术业改革发展研究提出政策性建议，统筹指导协调文化体制改革和文化事业、文化产业及旅游业发展；承担市文化体制改革和发展工作领导小组办公室的日常工作。 (十一)统筹指导全市舆情信息工作，组织协调开展市内外舆情信息收集分析研判工作；跟踪了解、研究掌握宣传舆情动态。 (十二)规划部署全市精神文明建设工作，组织指导全市群众性精神文明创建活动；承担市精神文明建设委员会办公室的日常工作。 (十三)统筹协调全市对外宣传工作；会同有关部门做好日常工作。 (十四)统筹协调组织开展新闻发布工作；承担市委新闻发布有关组织协调工作，负责市政府新闻发布组织实施工作；指导协调市政府各部门的新闻发布工作，推动新闻发言人制度落实。 (十五)受市委委托，会同市委组织部对各乡镇党委宣传委员的任免提出意见；统筹组织开展宣传思想文化系统干部教育培训人才工作。 (十六)负责全市志愿服务活动的总体规划和协调指导工作；负责协调全市未成年人思想道德建设工作。 (十七)对市委网络安全和信息化委员会办公室(市互联网信息办公室)互联网宣传和信息内容管理方面的工作实施方针政策的指导；规划领导市文化广电体育和旅游局；受市委委托，代管市广播电视台，会同武装部共同管理事业单位市民兵训练基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按照预算管理有关规定，目前部门预算的编制实行综合预算管理，即全部收入和支出都反映在预算中。中国共产党晋州市委员会宣传部机关及所属事业单位的收支包含在部门预算中。</w:t>
      </w:r>
    </w:p>
    <w:p>
      <w:pPr>
        <w:pStyle w:val="19"/>
      </w:pPr>
      <w:r>
        <w:t>1、收入说明</w:t>
      </w:r>
    </w:p>
    <w:p>
      <w:pPr>
        <w:pStyle w:val="19"/>
      </w:pPr>
      <w:r>
        <w:t>反映本部门当年全部收入。2026年预算收入934.71万元，其中：一般公共预算收入934.71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宣传部年度部门预算中支出预算的总体情况。2026年支出预算934.71万元，其中基本支出310.02万元，包括人员经费268.23万元和日常公用经费41.79万元；项目支出624.69万元，主要为理论学习经费5万元，社会宣传经费20万元，新闻及对外宣传经费20万元，劳务派遣人员经费43.09万元，社科联经费3万元，特色视频拍摄经费20万元，订阅党报党刊经费415万元，新时代文明实践中心运转经费15万元，宣传能力提升经费10万元，国防教育经费10万元。冀财教[2025]115号提前下达2026年中央支持地方公共文化服务体系建设补助资金（新时代文明实践中心维护费）15万元，冀财教[2025]115号提前下达2026年中央支持地方公共文化服务体系建设补助资金（农家书屋图书补助资金）22.4万元，三部门后勤保障经费26.2万元；预计下年使用的单位资金结余0.00万元。委托业务费共计安排83.09万元，主要用于因技术原因确需对外委托的辅助性工作和确有必要对外委托开展咨询、评审、规划等工作。</w:t>
      </w:r>
    </w:p>
    <w:p>
      <w:pPr>
        <w:pStyle w:val="19"/>
      </w:pPr>
      <w:r>
        <w:t>3、比上年增减情况</w:t>
      </w:r>
    </w:p>
    <w:p>
      <w:pPr>
        <w:pStyle w:val="19"/>
      </w:pPr>
      <w:r>
        <w:t>2026年预算收支安排934.71万元，较2025年预算增加45.16万元，其中：基本支出增加29.02万元，主要为单位新招录事业编制人员1名，人员经费增加。项目支出增加16.14万元，主要为增加了三部门后勤保障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2026年，我部门机关运行经费共计安排41.79万元，主要用于日常维修、办公用房水电费、办公用房取暖费、办公用房物业管理费等日常运行支出。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单位新购置公车车况较好，车辆维修费用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牢牢掌握意识形态工作领导权、管理权、话语权，弘扬主旋律，汇聚正能量，为经济发展提供有力的思想保障、精神动力、舆论支持。提升理论研究水平，为经济发展提供理论支持。充分展示我市良好形象，不断提高我市知名度、美誉度，为建设新时代“幸福梨乡、魅力晋州”提供坚强的舆论支持。牢牢把握正确导向，为全市经济社会发展提供有力的舆论支持；提升新闻工作者的政治意识、责任意识和职业素养；组织协调全市重大新闻宣传报道活动；协调突发公共事件应急新闻工作，组织开展新闻发布，推动新闻发言人制度落实。为提高城市文明程度，提升市民文明素质，改善城市环境，增强城市综合竞争力，使群众得到实实在在的实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（一）提高党员队伍素质，更好发挥党员先锋模范带头。</w:t>
      </w:r>
    </w:p>
    <w:p>
      <w:pPr>
        <w:pStyle w:val="23"/>
      </w:pPr>
      <w:r>
        <w:t>绩效目标：增强党组织凝聚力，战斗力。 </w:t>
      </w:r>
    </w:p>
    <w:p>
      <w:pPr>
        <w:pStyle w:val="23"/>
      </w:pPr>
      <w:r>
        <w:t>绩效指标：组织基层党员培训次数不少于3次。</w:t>
      </w:r>
    </w:p>
    <w:p>
      <w:pPr>
        <w:pStyle w:val="23"/>
      </w:pPr>
      <w:r>
        <w:t>（二）组织开展重大主题宣传活动、重大纪念活动。</w:t>
      </w:r>
    </w:p>
    <w:p>
      <w:pPr>
        <w:pStyle w:val="23"/>
      </w:pPr>
      <w:r>
        <w:t>绩效目标：规划部署全市思想政治工作，部署推动社会主义核心价值观建设。</w:t>
      </w:r>
    </w:p>
    <w:p>
      <w:pPr>
        <w:pStyle w:val="23"/>
      </w:pPr>
      <w:r>
        <w:t>绩效指标：基层宣传文化阵地个数不少于27个。</w:t>
      </w:r>
    </w:p>
    <w:p>
      <w:pPr>
        <w:pStyle w:val="23"/>
      </w:pPr>
      <w:r>
        <w:t>（三）协调突发公共事件应急新闻工作，组织开展新闻发布，推动新闻发言人制度落实。</w:t>
      </w:r>
    </w:p>
    <w:p>
      <w:pPr>
        <w:pStyle w:val="23"/>
      </w:pPr>
      <w:r>
        <w:t>绩效目标：充分展示我市良好形象，不断提高我市知名度、美誉度。</w:t>
      </w:r>
    </w:p>
    <w:p>
      <w:pPr>
        <w:pStyle w:val="23"/>
      </w:pPr>
      <w:r>
        <w:t>绩效指标：新闻发言人、新闻通讯员培训次数不少于3次。</w:t>
      </w:r>
    </w:p>
    <w:p>
      <w:pPr>
        <w:pStyle w:val="23"/>
      </w:pPr>
      <w:r>
        <w:t>（四）保障劳务派遣人员工资、社会保险。</w:t>
      </w:r>
    </w:p>
    <w:p>
      <w:pPr>
        <w:pStyle w:val="23"/>
      </w:pPr>
      <w:r>
        <w:t>绩效目标：保障劳务派遣人员最低生活标准，更好完成全媒体新闻中心各项工作，解决劳务派遣人员的后顾之忧。</w:t>
      </w:r>
    </w:p>
    <w:p>
      <w:pPr>
        <w:pStyle w:val="23"/>
      </w:pPr>
      <w:r>
        <w:t>绩效指标：工资发放率达到100%。</w:t>
      </w:r>
    </w:p>
    <w:p>
      <w:pPr>
        <w:pStyle w:val="23"/>
      </w:pPr>
      <w:r>
        <w:t>（五）指导协调全市理论学习、理论宣传工作，组织推动理论武装。</w:t>
      </w:r>
    </w:p>
    <w:p>
      <w:pPr>
        <w:pStyle w:val="23"/>
      </w:pPr>
      <w:r>
        <w:t>绩效目标：统筹协调全市党的意识形态工作，贯彻落实市委关于意识形态工作决策部署。</w:t>
      </w:r>
    </w:p>
    <w:p>
      <w:pPr>
        <w:pStyle w:val="23"/>
      </w:pPr>
      <w:r>
        <w:t>绩效指标：市委理论</w:t>
      </w:r>
      <w:r>
        <w:rPr>
          <w:rFonts w:hint="eastAsia"/>
          <w:lang w:val="en-US" w:eastAsia="zh-CN"/>
        </w:rPr>
        <w:t>学习</w:t>
      </w:r>
      <w:r>
        <w:t>中心组学习次数全年不少于12次。</w:t>
      </w:r>
    </w:p>
    <w:p>
      <w:pPr>
        <w:pStyle w:val="23"/>
      </w:pPr>
      <w:r>
        <w:t>（六）创建省级文明城市，促进城市文明。</w:t>
      </w:r>
    </w:p>
    <w:p>
      <w:pPr>
        <w:pStyle w:val="23"/>
      </w:pPr>
      <w:r>
        <w:t>绩效目标：进行业务培训，开展活动，保存照片资料。</w:t>
      </w:r>
    </w:p>
    <w:p>
      <w:pPr>
        <w:pStyle w:val="23"/>
      </w:pPr>
      <w:r>
        <w:t>绩效指标：学习参观次数不少于5次。</w:t>
      </w:r>
    </w:p>
    <w:p>
      <w:pPr>
        <w:pStyle w:val="23"/>
      </w:pPr>
      <w:r>
        <w:t>（七）加强未成年人思想道德建设。</w:t>
      </w:r>
    </w:p>
    <w:p>
      <w:pPr>
        <w:pStyle w:val="23"/>
      </w:pPr>
      <w:r>
        <w:t>绩效目标：主要用于未成年人思想道德建设工作支出。</w:t>
      </w:r>
    </w:p>
    <w:p>
      <w:pPr>
        <w:pStyle w:val="23"/>
      </w:pPr>
      <w:r>
        <w:t>绩效指标：新时代好少年推荐评选活动次数不少于2次。</w:t>
      </w:r>
    </w:p>
    <w:p>
      <w:pPr>
        <w:pStyle w:val="23"/>
      </w:pPr>
      <w:r>
        <w:t>（八）做好部门后勤保障工作。</w:t>
      </w:r>
    </w:p>
    <w:p>
      <w:pPr>
        <w:pStyle w:val="23"/>
      </w:pPr>
      <w:r>
        <w:t>绩效目标：主要用于四部门（宣传部、编委办、网信办、医疗保障局）后勤保障，包括水电费、网络运行费、门卫工资、电工工资、厨师工资、维护维修费等。</w:t>
      </w:r>
    </w:p>
    <w:p>
      <w:pPr>
        <w:pStyle w:val="23"/>
      </w:pPr>
      <w:r>
        <w:t>绩效指标：人员工资发放率达到100%。</w:t>
      </w:r>
    </w:p>
    <w:p>
      <w:pPr>
        <w:pStyle w:val="23"/>
      </w:pPr>
      <w:r>
        <w:t>（九）团结组织全市哲学社会科学工作者，繁荣发展哲学社会科学。</w:t>
      </w:r>
    </w:p>
    <w:p>
      <w:pPr>
        <w:pStyle w:val="23"/>
      </w:pPr>
      <w:r>
        <w:t>绩效目标：主要用于理论研究、学术交流、科普咨询、智力开发等活动。</w:t>
      </w:r>
    </w:p>
    <w:p>
      <w:pPr>
        <w:pStyle w:val="23"/>
      </w:pPr>
      <w:r>
        <w:t>绩效指标：倡导学术规范，繁荣发展哲学社会开展学术交流次数不少于5次。</w:t>
      </w:r>
    </w:p>
    <w:p>
      <w:pPr>
        <w:pStyle w:val="23"/>
      </w:pPr>
      <w:r>
        <w:t>（十）年度统一订阅党报党刊。</w:t>
      </w:r>
    </w:p>
    <w:p>
      <w:pPr>
        <w:pStyle w:val="23"/>
      </w:pPr>
      <w:r>
        <w:t>绩效目标：主要用于全市各单位的年度党报党刊订阅。</w:t>
      </w:r>
    </w:p>
    <w:p>
      <w:pPr>
        <w:pStyle w:val="23"/>
      </w:pPr>
      <w:r>
        <w:t>绩效指标：提高党员整体素质。</w:t>
      </w:r>
    </w:p>
    <w:p>
      <w:pPr>
        <w:pStyle w:val="23"/>
      </w:pPr>
      <w:r>
        <w:t>（十一）提升宣传能力。</w:t>
      </w:r>
    </w:p>
    <w:p>
      <w:pPr>
        <w:pStyle w:val="23"/>
      </w:pPr>
      <w:r>
        <w:t>绩效目标：主要用于宣传活动开展。</w:t>
      </w:r>
    </w:p>
    <w:p>
      <w:pPr>
        <w:pStyle w:val="23"/>
      </w:pPr>
      <w:r>
        <w:t>绩效指标：提升整体宣传水平，更好提升晋州的知名度。</w:t>
      </w:r>
    </w:p>
    <w:p>
      <w:pPr>
        <w:pStyle w:val="23"/>
      </w:pPr>
      <w:r>
        <w:t>（十二）拍摄特色视频。</w:t>
      </w:r>
    </w:p>
    <w:p>
      <w:pPr>
        <w:pStyle w:val="23"/>
      </w:pPr>
      <w:r>
        <w:t>绩效目标：主要用于视频拍摄工作。</w:t>
      </w:r>
    </w:p>
    <w:p>
      <w:pPr>
        <w:pStyle w:val="23"/>
      </w:pPr>
      <w:r>
        <w:t>绩效指标：更好宣传晋州特色文化，促进晋州经济发展，提高晋州的美誉度，知名度。</w:t>
      </w:r>
    </w:p>
    <w:p>
      <w:pPr>
        <w:pStyle w:val="23"/>
      </w:pPr>
      <w:r>
        <w:t>（十三）确保新时代文明实践中心运转。</w:t>
      </w:r>
    </w:p>
    <w:p>
      <w:pPr>
        <w:pStyle w:val="23"/>
      </w:pPr>
      <w:r>
        <w:t>绩效目标：主要用于新时代文明实践中心日常工作开展。</w:t>
      </w:r>
    </w:p>
    <w:p>
      <w:pPr>
        <w:pStyle w:val="23"/>
      </w:pPr>
      <w:r>
        <w:t>绩效指标：加强群众对创城工作的知晓率、参与度，提升群众的幸福感。</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为实现年度绩效目标制定了各项重要措施。根据预测可能存在的问题、环境变化的趋势，采取措施预做准备，控制偏差，保正计划目标的实现。</w:t>
      </w:r>
    </w:p>
    <w:p>
      <w:pPr>
        <w:pStyle w:val="24"/>
      </w:pPr>
      <w:r>
        <w:t>完善制度建设。制定了完善预算绩效管理制度、资金管理办法，加强资金执行力度，制定内部财务管理制度，工作保障制度等，为全年预算绩效目标的实现奠定制度基础。</w:t>
      </w:r>
    </w:p>
    <w:p>
      <w:pPr>
        <w:pStyle w:val="24"/>
      </w:pPr>
      <w:r>
        <w:t>加强支出管理。优化支出结构，加快启动项目、及时支付资金，按规定及时下达资金等多种措施，确保支出进度达标。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做好绩效自评。按要求开展上年度部分绩效自评和重点项目评价工作，对评价中发现的问题及时整改，调整优化支出结构，提高财政资金使用效益。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监督，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1、订阅党报党刊经费绩效目标表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13018326P00032810491X</w:t>
            </w:r>
          </w:p>
        </w:tc>
        <w:tc>
          <w:tcPr>
            <w:tcW w:w="2835" w:type="dxa"/>
            <w:vAlign w:val="center"/>
          </w:tcPr>
          <w:p>
            <w:pPr>
              <w:pStyle w:val="11"/>
            </w:pPr>
            <w:r>
              <w:t>项目名称</w:t>
            </w:r>
          </w:p>
        </w:tc>
        <w:tc>
          <w:tcPr>
            <w:tcW w:w="6095" w:type="dxa"/>
            <w:gridSpan w:val="3"/>
            <w:vAlign w:val="center"/>
          </w:tcPr>
          <w:p>
            <w:pPr>
              <w:pStyle w:val="13"/>
            </w:pPr>
            <w:r>
              <w:t>订阅党报党刊经费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415.00</w:t>
            </w:r>
          </w:p>
        </w:tc>
        <w:tc>
          <w:tcPr>
            <w:tcW w:w="2835" w:type="dxa"/>
            <w:vAlign w:val="center"/>
          </w:tcPr>
          <w:p>
            <w:pPr>
              <w:pStyle w:val="11"/>
            </w:pPr>
            <w:r>
              <w:t>其中：财政    资金</w:t>
            </w:r>
          </w:p>
        </w:tc>
        <w:tc>
          <w:tcPr>
            <w:tcW w:w="2551" w:type="dxa"/>
            <w:vAlign w:val="center"/>
          </w:tcPr>
          <w:p>
            <w:pPr>
              <w:pStyle w:val="13"/>
            </w:pPr>
            <w:r>
              <w:t>415.00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用于全市党报党刊统一订阅。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1.用于全市党报党刊的统一订阅，提高党员素质，加强政治学习。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各种报刊订阅数量</w:t>
            </w:r>
          </w:p>
        </w:tc>
        <w:tc>
          <w:tcPr>
            <w:tcW w:w="5386" w:type="dxa"/>
            <w:vAlign w:val="center"/>
          </w:tcPr>
          <w:p>
            <w:pPr>
              <w:pStyle w:val="13"/>
            </w:pPr>
            <w:r>
              <w:t>各种报刊订阅数量</w:t>
            </w:r>
          </w:p>
        </w:tc>
        <w:tc>
          <w:tcPr>
            <w:tcW w:w="2268" w:type="dxa"/>
            <w:vAlign w:val="center"/>
          </w:tcPr>
          <w:p>
            <w:pPr>
              <w:pStyle w:val="13"/>
            </w:pPr>
            <w:r>
              <w:t>≥9000份</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完成订阅任务率</w:t>
            </w:r>
          </w:p>
        </w:tc>
        <w:tc>
          <w:tcPr>
            <w:tcW w:w="5386" w:type="dxa"/>
            <w:vAlign w:val="center"/>
          </w:tcPr>
          <w:p>
            <w:pPr>
              <w:pStyle w:val="13"/>
            </w:pPr>
            <w:r>
              <w:t>完成订阅任务率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各种报刊及时发放率</w:t>
            </w:r>
          </w:p>
        </w:tc>
        <w:tc>
          <w:tcPr>
            <w:tcW w:w="5386" w:type="dxa"/>
            <w:vAlign w:val="center"/>
          </w:tcPr>
          <w:p>
            <w:pPr>
              <w:pStyle w:val="13"/>
            </w:pPr>
            <w:r>
              <w:t>各种报刊及时发放率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预算成本内完成订阅</w:t>
            </w:r>
          </w:p>
        </w:tc>
        <w:tc>
          <w:tcPr>
            <w:tcW w:w="5386" w:type="dxa"/>
            <w:vAlign w:val="center"/>
          </w:tcPr>
          <w:p>
            <w:pPr>
              <w:pStyle w:val="13"/>
            </w:pPr>
            <w:r>
              <w:t>预算成本内完成订阅</w:t>
            </w:r>
          </w:p>
        </w:tc>
        <w:tc>
          <w:tcPr>
            <w:tcW w:w="2268" w:type="dxa"/>
            <w:vAlign w:val="center"/>
          </w:tcPr>
          <w:p>
            <w:pPr>
              <w:pStyle w:val="13"/>
            </w:pPr>
            <w:r>
              <w:t>415万元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提升整体阅读水平</w:t>
            </w:r>
          </w:p>
        </w:tc>
        <w:tc>
          <w:tcPr>
            <w:tcW w:w="5386" w:type="dxa"/>
            <w:vAlign w:val="center"/>
          </w:tcPr>
          <w:p>
            <w:pPr>
              <w:pStyle w:val="13"/>
            </w:pPr>
            <w:r>
              <w:t>提升阅读水平和整体素质，提高政治意识水平</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2、国防教育经费绩效目标表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13018326P00032810336F</w:t>
            </w:r>
          </w:p>
        </w:tc>
        <w:tc>
          <w:tcPr>
            <w:tcW w:w="2835" w:type="dxa"/>
            <w:vAlign w:val="center"/>
          </w:tcPr>
          <w:p>
            <w:pPr>
              <w:pStyle w:val="11"/>
            </w:pPr>
            <w:r>
              <w:t>项目名称</w:t>
            </w:r>
          </w:p>
        </w:tc>
        <w:tc>
          <w:tcPr>
            <w:tcW w:w="6095" w:type="dxa"/>
            <w:gridSpan w:val="3"/>
            <w:vAlign w:val="center"/>
          </w:tcPr>
          <w:p>
            <w:pPr>
              <w:pStyle w:val="13"/>
            </w:pPr>
            <w:r>
              <w:t>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用于开展各类国防教育活动。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1.抓好国防教育法律法规的贯彻执行，推进依法施教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国防教育培训次数</w:t>
            </w:r>
          </w:p>
        </w:tc>
        <w:tc>
          <w:tcPr>
            <w:tcW w:w="5386" w:type="dxa"/>
            <w:vAlign w:val="center"/>
          </w:tcPr>
          <w:p>
            <w:pPr>
              <w:pStyle w:val="13"/>
            </w:pPr>
            <w:r>
              <w:t>国防教育培训次数</w:t>
            </w:r>
          </w:p>
        </w:tc>
        <w:tc>
          <w:tcPr>
            <w:tcW w:w="2268" w:type="dxa"/>
            <w:vAlign w:val="center"/>
          </w:tcPr>
          <w:p>
            <w:pPr>
              <w:pStyle w:val="13"/>
            </w:pPr>
            <w:r>
              <w:t>≥3次</w:t>
            </w:r>
          </w:p>
        </w:tc>
        <w:tc>
          <w:tcPr>
            <w:tcW w:w="1276" w:type="dxa"/>
            <w:vAlign w:val="center"/>
          </w:tcPr>
          <w:p>
            <w:pPr>
              <w:pStyle w:val="13"/>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国防教育培训合格率</w:t>
            </w:r>
          </w:p>
        </w:tc>
        <w:tc>
          <w:tcPr>
            <w:tcW w:w="5386" w:type="dxa"/>
            <w:vAlign w:val="center"/>
          </w:tcPr>
          <w:p>
            <w:pPr>
              <w:pStyle w:val="13"/>
            </w:pPr>
            <w:r>
              <w:t>国防教育培训合格率</w:t>
            </w:r>
          </w:p>
        </w:tc>
        <w:tc>
          <w:tcPr>
            <w:tcW w:w="2268" w:type="dxa"/>
            <w:vAlign w:val="center"/>
          </w:tcPr>
          <w:p>
            <w:pPr>
              <w:pStyle w:val="13"/>
            </w:pPr>
            <w:r>
              <w:t>≥95%</w:t>
            </w:r>
          </w:p>
        </w:tc>
        <w:tc>
          <w:tcPr>
            <w:tcW w:w="1276" w:type="dxa"/>
            <w:vAlign w:val="center"/>
          </w:tcPr>
          <w:p>
            <w:pPr>
              <w:pStyle w:val="13"/>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及时开展各项活动</w:t>
            </w:r>
          </w:p>
        </w:tc>
        <w:tc>
          <w:tcPr>
            <w:tcW w:w="5386" w:type="dxa"/>
            <w:vAlign w:val="center"/>
          </w:tcPr>
          <w:p>
            <w:pPr>
              <w:pStyle w:val="13"/>
            </w:pPr>
            <w:r>
              <w:t>及时开展各项活动</w:t>
            </w:r>
          </w:p>
        </w:tc>
        <w:tc>
          <w:tcPr>
            <w:tcW w:w="2268" w:type="dxa"/>
            <w:vAlign w:val="center"/>
          </w:tcPr>
          <w:p>
            <w:pPr>
              <w:pStyle w:val="13"/>
            </w:pPr>
            <w:r>
              <w:t>≥95%</w:t>
            </w:r>
          </w:p>
        </w:tc>
        <w:tc>
          <w:tcPr>
            <w:tcW w:w="1276" w:type="dxa"/>
            <w:vAlign w:val="center"/>
          </w:tcPr>
          <w:p>
            <w:pPr>
              <w:pStyle w:val="13"/>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预算成本内完成工作</w:t>
            </w:r>
          </w:p>
        </w:tc>
        <w:tc>
          <w:tcPr>
            <w:tcW w:w="5386" w:type="dxa"/>
            <w:vAlign w:val="center"/>
          </w:tcPr>
          <w:p>
            <w:pPr>
              <w:pStyle w:val="13"/>
            </w:pPr>
            <w:r>
              <w:t>预算成本内完成工作</w:t>
            </w:r>
          </w:p>
        </w:tc>
        <w:tc>
          <w:tcPr>
            <w:tcW w:w="2268" w:type="dxa"/>
            <w:vAlign w:val="center"/>
          </w:tcPr>
          <w:p>
            <w:pPr>
              <w:pStyle w:val="13"/>
            </w:pPr>
            <w:r>
              <w:t>10万元</w:t>
            </w:r>
          </w:p>
        </w:tc>
        <w:tc>
          <w:tcPr>
            <w:tcW w:w="1276" w:type="dxa"/>
            <w:vAlign w:val="center"/>
          </w:tcPr>
          <w:p>
            <w:pPr>
              <w:pStyle w:val="13"/>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保证国防教育队伍可持续性建设</w:t>
            </w:r>
          </w:p>
        </w:tc>
        <w:tc>
          <w:tcPr>
            <w:tcW w:w="5386" w:type="dxa"/>
            <w:vAlign w:val="center"/>
          </w:tcPr>
          <w:p>
            <w:pPr>
              <w:pStyle w:val="13"/>
            </w:pPr>
            <w:r>
              <w:t>保证国防教育队伍可持续性建设</w:t>
            </w:r>
          </w:p>
        </w:tc>
        <w:tc>
          <w:tcPr>
            <w:tcW w:w="2268" w:type="dxa"/>
            <w:vAlign w:val="center"/>
          </w:tcPr>
          <w:p>
            <w:pPr>
              <w:pStyle w:val="13"/>
            </w:pPr>
            <w:r>
              <w:t>逐年提升</w:t>
            </w:r>
          </w:p>
        </w:tc>
        <w:tc>
          <w:tcPr>
            <w:tcW w:w="1276" w:type="dxa"/>
            <w:vAlign w:val="center"/>
          </w:tcPr>
          <w:p>
            <w:pPr>
              <w:pStyle w:val="13"/>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3、冀财教[2025]115号提前下达2026年中央支持地方公共文化服务体系建设补助资金（农家书屋）绩效目标表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13018326P00011210014U</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22.40</w:t>
            </w:r>
          </w:p>
        </w:tc>
        <w:tc>
          <w:tcPr>
            <w:tcW w:w="2835" w:type="dxa"/>
            <w:vAlign w:val="center"/>
          </w:tcPr>
          <w:p>
            <w:pPr>
              <w:pStyle w:val="11"/>
            </w:pPr>
            <w:r>
              <w:t>其中：财政    资金</w:t>
            </w:r>
          </w:p>
        </w:tc>
        <w:tc>
          <w:tcPr>
            <w:tcW w:w="2551" w:type="dxa"/>
            <w:vAlign w:val="center"/>
          </w:tcPr>
          <w:p>
            <w:pPr>
              <w:pStyle w:val="13"/>
            </w:pPr>
            <w:r>
              <w:t>22.40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为各农家书屋提供实用图书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1.为每个农家书屋提供可借阅的适用图书，增加群众专业知识和理论水平。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平均每个农家书屋更新图书种类</w:t>
            </w:r>
          </w:p>
        </w:tc>
        <w:tc>
          <w:tcPr>
            <w:tcW w:w="5386" w:type="dxa"/>
            <w:vAlign w:val="center"/>
          </w:tcPr>
          <w:p>
            <w:pPr>
              <w:pStyle w:val="13"/>
            </w:pPr>
            <w:r>
              <w:t>平均每个农家书屋更新图书种类</w:t>
            </w:r>
          </w:p>
        </w:tc>
        <w:tc>
          <w:tcPr>
            <w:tcW w:w="2268" w:type="dxa"/>
            <w:vAlign w:val="center"/>
          </w:tcPr>
          <w:p>
            <w:pPr>
              <w:pStyle w:val="13"/>
            </w:pPr>
            <w:r>
              <w:t>≥60种</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实用书籍达标率</w:t>
            </w:r>
          </w:p>
        </w:tc>
        <w:tc>
          <w:tcPr>
            <w:tcW w:w="5386" w:type="dxa"/>
            <w:vAlign w:val="center"/>
          </w:tcPr>
          <w:p>
            <w:pPr>
              <w:pStyle w:val="13"/>
            </w:pPr>
            <w:r>
              <w:t>实用书籍达标率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规定时间内完成图书补充工作</w:t>
            </w:r>
          </w:p>
        </w:tc>
        <w:tc>
          <w:tcPr>
            <w:tcW w:w="5386" w:type="dxa"/>
            <w:vAlign w:val="center"/>
          </w:tcPr>
          <w:p>
            <w:pPr>
              <w:pStyle w:val="13"/>
            </w:pPr>
            <w:r>
              <w:t>规定时间内完成图书补充工作</w:t>
            </w:r>
          </w:p>
        </w:tc>
        <w:tc>
          <w:tcPr>
            <w:tcW w:w="2268" w:type="dxa"/>
            <w:vAlign w:val="center"/>
          </w:tcPr>
          <w:p>
            <w:pPr>
              <w:pStyle w:val="13"/>
            </w:pPr>
            <w:r>
              <w:t>100%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预算内完成图书采购</w:t>
            </w:r>
          </w:p>
        </w:tc>
        <w:tc>
          <w:tcPr>
            <w:tcW w:w="5386" w:type="dxa"/>
            <w:vAlign w:val="center"/>
          </w:tcPr>
          <w:p>
            <w:pPr>
              <w:pStyle w:val="13"/>
            </w:pPr>
            <w:r>
              <w:t>预算内完成图书采购</w:t>
            </w:r>
          </w:p>
        </w:tc>
        <w:tc>
          <w:tcPr>
            <w:tcW w:w="2268" w:type="dxa"/>
            <w:vAlign w:val="center"/>
          </w:tcPr>
          <w:p>
            <w:pPr>
              <w:pStyle w:val="13"/>
            </w:pPr>
            <w:r>
              <w:t>22.4万元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每个农家书屋借阅书籍人次</w:t>
            </w:r>
          </w:p>
        </w:tc>
        <w:tc>
          <w:tcPr>
            <w:tcW w:w="5386" w:type="dxa"/>
            <w:vAlign w:val="center"/>
          </w:tcPr>
          <w:p>
            <w:pPr>
              <w:pStyle w:val="13"/>
            </w:pPr>
            <w:r>
              <w:t>每个农家书屋借阅书籍人次</w:t>
            </w:r>
          </w:p>
        </w:tc>
        <w:tc>
          <w:tcPr>
            <w:tcW w:w="2268" w:type="dxa"/>
            <w:vAlign w:val="center"/>
          </w:tcPr>
          <w:p>
            <w:pPr>
              <w:pStyle w:val="13"/>
            </w:pPr>
            <w:r>
              <w:t>≥1000人次</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群众对农家书屋满意度</w:t>
            </w:r>
          </w:p>
        </w:tc>
        <w:tc>
          <w:tcPr>
            <w:tcW w:w="5386" w:type="dxa"/>
            <w:vAlign w:val="center"/>
          </w:tcPr>
          <w:p>
            <w:pPr>
              <w:pStyle w:val="13"/>
            </w:pPr>
            <w:r>
              <w:t>群众对农家书屋满意度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4、冀财教[2025]115号提前下达2026年中央支持地方公共文化服务体系建设补助资金（新时代文明实践中心维护费）绩效目标表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13018326P000112100138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冀财教[2025]115号提前下达2026年中央支持地方公共文化服务体系建设补助资金（新时代文明实践中心维护费）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组织开展文明实践活动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1.研究制定工作规划，志愿服务引导。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文明实践活动</w:t>
            </w:r>
          </w:p>
        </w:tc>
        <w:tc>
          <w:tcPr>
            <w:tcW w:w="5386" w:type="dxa"/>
            <w:vAlign w:val="center"/>
          </w:tcPr>
          <w:p>
            <w:pPr>
              <w:pStyle w:val="13"/>
            </w:pPr>
            <w:r>
              <w:t>组织开展文明实践活动次数</w:t>
            </w:r>
          </w:p>
        </w:tc>
        <w:tc>
          <w:tcPr>
            <w:tcW w:w="2268" w:type="dxa"/>
            <w:vAlign w:val="center"/>
          </w:tcPr>
          <w:p>
            <w:pPr>
              <w:pStyle w:val="13"/>
            </w:pPr>
            <w:r>
              <w:t>≥10次</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群众知晓率，参与率</w:t>
            </w:r>
          </w:p>
        </w:tc>
        <w:tc>
          <w:tcPr>
            <w:tcW w:w="5386" w:type="dxa"/>
            <w:vAlign w:val="center"/>
          </w:tcPr>
          <w:p>
            <w:pPr>
              <w:pStyle w:val="13"/>
            </w:pPr>
            <w:r>
              <w:t>群众知晓率，参与率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各项活动完成及时率</w:t>
            </w:r>
          </w:p>
        </w:tc>
        <w:tc>
          <w:tcPr>
            <w:tcW w:w="5386" w:type="dxa"/>
            <w:vAlign w:val="center"/>
          </w:tcPr>
          <w:p>
            <w:pPr>
              <w:pStyle w:val="13"/>
            </w:pPr>
            <w:r>
              <w:t>各项活动完成及时率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预算成本内完成活动</w:t>
            </w:r>
          </w:p>
        </w:tc>
        <w:tc>
          <w:tcPr>
            <w:tcW w:w="5386" w:type="dxa"/>
            <w:vAlign w:val="center"/>
          </w:tcPr>
          <w:p>
            <w:pPr>
              <w:pStyle w:val="13"/>
            </w:pPr>
            <w:r>
              <w:t>预算成本内完成活动</w:t>
            </w:r>
          </w:p>
        </w:tc>
        <w:tc>
          <w:tcPr>
            <w:tcW w:w="2268" w:type="dxa"/>
            <w:vAlign w:val="center"/>
          </w:tcPr>
          <w:p>
            <w:pPr>
              <w:pStyle w:val="13"/>
            </w:pPr>
            <w:r>
              <w:t>15万元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文化程度不断提升</w:t>
            </w:r>
          </w:p>
        </w:tc>
        <w:tc>
          <w:tcPr>
            <w:tcW w:w="5386" w:type="dxa"/>
            <w:vAlign w:val="center"/>
          </w:tcPr>
          <w:p>
            <w:pPr>
              <w:pStyle w:val="13"/>
            </w:pPr>
            <w:r>
              <w:t>营造文明规范良好社会氛围</w:t>
            </w:r>
          </w:p>
        </w:tc>
        <w:tc>
          <w:tcPr>
            <w:tcW w:w="2268" w:type="dxa"/>
            <w:vAlign w:val="center"/>
          </w:tcPr>
          <w:p>
            <w:pPr>
              <w:pStyle w:val="13"/>
            </w:pPr>
            <w:r>
              <w:t>逐年提升</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5、理论学习经费绩效目标表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13018326P00032810369X</w:t>
            </w:r>
          </w:p>
        </w:tc>
        <w:tc>
          <w:tcPr>
            <w:tcW w:w="2835" w:type="dxa"/>
            <w:vAlign w:val="center"/>
          </w:tcPr>
          <w:p>
            <w:pPr>
              <w:pStyle w:val="11"/>
            </w:pPr>
            <w:r>
              <w:t>项目名称</w:t>
            </w:r>
          </w:p>
        </w:tc>
        <w:tc>
          <w:tcPr>
            <w:tcW w:w="6095" w:type="dxa"/>
            <w:gridSpan w:val="3"/>
            <w:vAlign w:val="center"/>
          </w:tcPr>
          <w:p>
            <w:pPr>
              <w:pStyle w:val="13"/>
            </w:pPr>
            <w:r>
              <w:t>理论学习经费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用于组织中心组理论学习，统筹协调全市党的意识形态工作。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1.统筹协调全市党的意识形态工作，贯彻落实市委关于意识形态工作部署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理论学习次数</w:t>
            </w:r>
          </w:p>
        </w:tc>
        <w:tc>
          <w:tcPr>
            <w:tcW w:w="5386" w:type="dxa"/>
            <w:vAlign w:val="center"/>
          </w:tcPr>
          <w:p>
            <w:pPr>
              <w:pStyle w:val="13"/>
            </w:pPr>
            <w:r>
              <w:t>理论学习次数</w:t>
            </w:r>
          </w:p>
        </w:tc>
        <w:tc>
          <w:tcPr>
            <w:tcW w:w="2268" w:type="dxa"/>
            <w:vAlign w:val="center"/>
          </w:tcPr>
          <w:p>
            <w:pPr>
              <w:pStyle w:val="13"/>
            </w:pPr>
            <w:r>
              <w:t>≥12次</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学习完成情况</w:t>
            </w:r>
          </w:p>
        </w:tc>
        <w:tc>
          <w:tcPr>
            <w:tcW w:w="5386" w:type="dxa"/>
            <w:vAlign w:val="center"/>
          </w:tcPr>
          <w:p>
            <w:pPr>
              <w:pStyle w:val="13"/>
            </w:pPr>
            <w:r>
              <w:t>理论</w:t>
            </w:r>
            <w:r>
              <w:rPr>
                <w:rFonts w:hint="eastAsia"/>
                <w:lang w:val="en-US" w:eastAsia="zh-CN"/>
              </w:rPr>
              <w:t>学习</w:t>
            </w:r>
            <w:r>
              <w:t>中心组学习完成情况</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学习及时性</w:t>
            </w:r>
          </w:p>
        </w:tc>
        <w:tc>
          <w:tcPr>
            <w:tcW w:w="5386" w:type="dxa"/>
            <w:vAlign w:val="center"/>
          </w:tcPr>
          <w:p>
            <w:pPr>
              <w:pStyle w:val="13"/>
            </w:pPr>
            <w:r>
              <w:t>组织开展学习及时性</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预算成本内完成学习</w:t>
            </w:r>
          </w:p>
        </w:tc>
        <w:tc>
          <w:tcPr>
            <w:tcW w:w="5386" w:type="dxa"/>
            <w:vAlign w:val="center"/>
          </w:tcPr>
          <w:p>
            <w:pPr>
              <w:pStyle w:val="13"/>
            </w:pPr>
            <w:r>
              <w:t>预算成本内完成学习</w:t>
            </w:r>
          </w:p>
        </w:tc>
        <w:tc>
          <w:tcPr>
            <w:tcW w:w="2268" w:type="dxa"/>
            <w:vAlign w:val="center"/>
          </w:tcPr>
          <w:p>
            <w:pPr>
              <w:pStyle w:val="13"/>
            </w:pPr>
            <w:r>
              <w:t>5万元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理论学习深远影响</w:t>
            </w:r>
          </w:p>
        </w:tc>
        <w:tc>
          <w:tcPr>
            <w:tcW w:w="5386" w:type="dxa"/>
            <w:vAlign w:val="center"/>
          </w:tcPr>
          <w:p>
            <w:pPr>
              <w:pStyle w:val="13"/>
            </w:pPr>
            <w:r>
              <w:t>理论学习产生深远影响，整体素质提高</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6、其他劳务派遣人员绩效目标表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13018326P000328103928</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43.09</w:t>
            </w:r>
          </w:p>
        </w:tc>
        <w:tc>
          <w:tcPr>
            <w:tcW w:w="2835" w:type="dxa"/>
            <w:vAlign w:val="center"/>
          </w:tcPr>
          <w:p>
            <w:pPr>
              <w:pStyle w:val="11"/>
            </w:pPr>
            <w:r>
              <w:t>其中：财政    资金</w:t>
            </w:r>
          </w:p>
        </w:tc>
        <w:tc>
          <w:tcPr>
            <w:tcW w:w="2551" w:type="dxa"/>
            <w:vAlign w:val="center"/>
          </w:tcPr>
          <w:p>
            <w:pPr>
              <w:pStyle w:val="13"/>
            </w:pPr>
            <w:r>
              <w:t>43.09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用于支付单位派遣人员工资发放和社会保险缴纳。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1.确保单位派遣人员工资及时发放和社会保险缴纳，保障各项工作的顺利开展。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派遣制人员工资发放月数</w:t>
            </w:r>
          </w:p>
        </w:tc>
        <w:tc>
          <w:tcPr>
            <w:tcW w:w="5386" w:type="dxa"/>
            <w:vAlign w:val="center"/>
          </w:tcPr>
          <w:p>
            <w:pPr>
              <w:pStyle w:val="13"/>
            </w:pPr>
            <w:r>
              <w:t>派遣制人员工资发放月数</w:t>
            </w:r>
          </w:p>
        </w:tc>
        <w:tc>
          <w:tcPr>
            <w:tcW w:w="2268" w:type="dxa"/>
            <w:vAlign w:val="center"/>
          </w:tcPr>
          <w:p>
            <w:pPr>
              <w:pStyle w:val="13"/>
            </w:pPr>
            <w:r>
              <w:t>12月</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保险缴纳率，工资发放率</w:t>
            </w:r>
          </w:p>
        </w:tc>
        <w:tc>
          <w:tcPr>
            <w:tcW w:w="5386" w:type="dxa"/>
            <w:vAlign w:val="center"/>
          </w:tcPr>
          <w:p>
            <w:pPr>
              <w:pStyle w:val="13"/>
            </w:pPr>
            <w:r>
              <w:t>保险缴纳率，工资发放率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保险缴纳及时率，工资发放及时率</w:t>
            </w:r>
          </w:p>
        </w:tc>
        <w:tc>
          <w:tcPr>
            <w:tcW w:w="5386" w:type="dxa"/>
            <w:vAlign w:val="center"/>
          </w:tcPr>
          <w:p>
            <w:pPr>
              <w:pStyle w:val="13"/>
            </w:pPr>
            <w:r>
              <w:t>保险缴纳及时率，工资发放及时率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w:t>
            </w:r>
          </w:p>
        </w:tc>
        <w:tc>
          <w:tcPr>
            <w:tcW w:w="5386" w:type="dxa"/>
            <w:vAlign w:val="center"/>
          </w:tcPr>
          <w:p>
            <w:pPr>
              <w:pStyle w:val="13"/>
            </w:pPr>
            <w:r>
              <w:t>预算成本内完成工资发放，保险缴纳</w:t>
            </w:r>
          </w:p>
        </w:tc>
        <w:tc>
          <w:tcPr>
            <w:tcW w:w="2268" w:type="dxa"/>
            <w:vAlign w:val="center"/>
          </w:tcPr>
          <w:p>
            <w:pPr>
              <w:pStyle w:val="13"/>
            </w:pPr>
            <w:r>
              <w:t>43.09万元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各项工作顺利开展，促进社会进步</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7、三部门后勤保障经费绩效目标表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13018326P000328104161</w:t>
            </w:r>
          </w:p>
        </w:tc>
        <w:tc>
          <w:tcPr>
            <w:tcW w:w="2835" w:type="dxa"/>
            <w:vAlign w:val="center"/>
          </w:tcPr>
          <w:p>
            <w:pPr>
              <w:pStyle w:val="11"/>
            </w:pPr>
            <w:r>
              <w:t>项目名称</w:t>
            </w:r>
          </w:p>
        </w:tc>
        <w:tc>
          <w:tcPr>
            <w:tcW w:w="6095" w:type="dxa"/>
            <w:gridSpan w:val="3"/>
            <w:vAlign w:val="center"/>
          </w:tcPr>
          <w:p>
            <w:pPr>
              <w:pStyle w:val="13"/>
            </w:pPr>
            <w:r>
              <w:t>三部门后勤保障经费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26.20</w:t>
            </w:r>
          </w:p>
        </w:tc>
        <w:tc>
          <w:tcPr>
            <w:tcW w:w="2835" w:type="dxa"/>
            <w:vAlign w:val="center"/>
          </w:tcPr>
          <w:p>
            <w:pPr>
              <w:pStyle w:val="11"/>
            </w:pPr>
            <w:r>
              <w:t>其中：财政    资金</w:t>
            </w:r>
          </w:p>
        </w:tc>
        <w:tc>
          <w:tcPr>
            <w:tcW w:w="2551" w:type="dxa"/>
            <w:vAlign w:val="center"/>
          </w:tcPr>
          <w:p>
            <w:pPr>
              <w:pStyle w:val="13"/>
            </w:pPr>
            <w:r>
              <w:t>26.20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用于宣传部、网信办、编办三部门房屋建筑、供热、自来水管道日常维护，水电、互联网专线等费用缴纳，门卫、保洁员、厨师工资发放等。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1.全面做好三部门的后勤保障工作，保障办公地点正常运行。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后勤人员工资发放月数</w:t>
            </w:r>
          </w:p>
        </w:tc>
        <w:tc>
          <w:tcPr>
            <w:tcW w:w="5386" w:type="dxa"/>
            <w:vAlign w:val="center"/>
          </w:tcPr>
          <w:p>
            <w:pPr>
              <w:pStyle w:val="13"/>
            </w:pPr>
            <w:r>
              <w:t>后勤人员工资发放月数</w:t>
            </w:r>
          </w:p>
        </w:tc>
        <w:tc>
          <w:tcPr>
            <w:tcW w:w="2268" w:type="dxa"/>
            <w:vAlign w:val="center"/>
          </w:tcPr>
          <w:p>
            <w:pPr>
              <w:pStyle w:val="13"/>
            </w:pPr>
            <w:r>
              <w:t>12月</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后勤保障工作完成率</w:t>
            </w:r>
          </w:p>
        </w:tc>
        <w:tc>
          <w:tcPr>
            <w:tcW w:w="5386" w:type="dxa"/>
            <w:vAlign w:val="center"/>
          </w:tcPr>
          <w:p>
            <w:pPr>
              <w:pStyle w:val="13"/>
            </w:pPr>
            <w:r>
              <w:t>后勤保障工作完成率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水电费等缴纳及时率</w:t>
            </w:r>
          </w:p>
        </w:tc>
        <w:tc>
          <w:tcPr>
            <w:tcW w:w="5386" w:type="dxa"/>
            <w:vAlign w:val="center"/>
          </w:tcPr>
          <w:p>
            <w:pPr>
              <w:pStyle w:val="13"/>
            </w:pPr>
            <w:r>
              <w:t>水电费等缴纳及时率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预算成本内完成保障工作</w:t>
            </w:r>
          </w:p>
        </w:tc>
        <w:tc>
          <w:tcPr>
            <w:tcW w:w="5386" w:type="dxa"/>
            <w:vAlign w:val="center"/>
          </w:tcPr>
          <w:p>
            <w:pPr>
              <w:pStyle w:val="13"/>
            </w:pPr>
            <w:r>
              <w:t>预算成本内完成保障工作</w:t>
            </w:r>
          </w:p>
        </w:tc>
        <w:tc>
          <w:tcPr>
            <w:tcW w:w="2268" w:type="dxa"/>
            <w:vAlign w:val="center"/>
          </w:tcPr>
          <w:p>
            <w:pPr>
              <w:pStyle w:val="13"/>
            </w:pPr>
            <w:r>
              <w:t>26.2万元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保障各项工作顺利进行，推动社会发展</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8、社会宣传经费绩效目标表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13018326P00032810456G</w:t>
            </w:r>
          </w:p>
        </w:tc>
        <w:tc>
          <w:tcPr>
            <w:tcW w:w="2835" w:type="dxa"/>
            <w:vAlign w:val="center"/>
          </w:tcPr>
          <w:p>
            <w:pPr>
              <w:pStyle w:val="11"/>
            </w:pPr>
            <w:r>
              <w:t>项目名称</w:t>
            </w:r>
          </w:p>
        </w:tc>
        <w:tc>
          <w:tcPr>
            <w:tcW w:w="6095" w:type="dxa"/>
            <w:gridSpan w:val="3"/>
            <w:vAlign w:val="center"/>
          </w:tcPr>
          <w:p>
            <w:pPr>
              <w:pStyle w:val="13"/>
            </w:pPr>
            <w:r>
              <w:t>社会宣传经费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用于宣传活动组织开展，基层宣传文化阵地，对外建设等，规划部署全市思想政治工作，部署推动社会主义核心价值观建设等。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1.通过开展各类社会宣传活动，在全市营造学习宣传贯彻</w:t>
            </w:r>
            <w:r>
              <w:rPr>
                <w:rFonts w:hint="eastAsia"/>
              </w:rPr>
              <w:t>习近平新时代中国特色社会主义思想</w:t>
            </w:r>
            <w:r>
              <w:t>的浓厚氛围，进一步引导广大群众爱国、爱党、爱社会主义。</w:t>
            </w:r>
            <w:bookmarkStart w:id="20" w:name="_GoBack"/>
            <w:bookmarkEnd w:id="20"/>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组织开展重大社会宣传活动次数</w:t>
            </w:r>
          </w:p>
        </w:tc>
        <w:tc>
          <w:tcPr>
            <w:tcW w:w="5386" w:type="dxa"/>
            <w:vAlign w:val="center"/>
          </w:tcPr>
          <w:p>
            <w:pPr>
              <w:pStyle w:val="13"/>
            </w:pPr>
            <w:r>
              <w:t>组织开展重大社会宣传活动次数</w:t>
            </w:r>
          </w:p>
        </w:tc>
        <w:tc>
          <w:tcPr>
            <w:tcW w:w="2268" w:type="dxa"/>
            <w:vAlign w:val="center"/>
          </w:tcPr>
          <w:p>
            <w:pPr>
              <w:pStyle w:val="13"/>
            </w:pPr>
            <w:r>
              <w:t>≥10次</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基层文化阵地建设合格率</w:t>
            </w:r>
          </w:p>
        </w:tc>
        <w:tc>
          <w:tcPr>
            <w:tcW w:w="5386" w:type="dxa"/>
            <w:vAlign w:val="center"/>
          </w:tcPr>
          <w:p>
            <w:pPr>
              <w:pStyle w:val="13"/>
            </w:pPr>
            <w:r>
              <w:t>基层文化阵地建设合格率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规定时间内完成活动</w:t>
            </w:r>
          </w:p>
        </w:tc>
        <w:tc>
          <w:tcPr>
            <w:tcW w:w="5386" w:type="dxa"/>
            <w:vAlign w:val="center"/>
          </w:tcPr>
          <w:p>
            <w:pPr>
              <w:pStyle w:val="13"/>
            </w:pPr>
            <w:r>
              <w:t>规定时间内完成社会宣传活动</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w:t>
            </w:r>
          </w:p>
        </w:tc>
        <w:tc>
          <w:tcPr>
            <w:tcW w:w="5386" w:type="dxa"/>
            <w:vAlign w:val="center"/>
          </w:tcPr>
          <w:p>
            <w:pPr>
              <w:pStyle w:val="13"/>
            </w:pPr>
            <w:r>
              <w:t>预算成本内完成各项活动</w:t>
            </w:r>
          </w:p>
        </w:tc>
        <w:tc>
          <w:tcPr>
            <w:tcW w:w="2268" w:type="dxa"/>
            <w:vAlign w:val="center"/>
          </w:tcPr>
          <w:p>
            <w:pPr>
              <w:pStyle w:val="13"/>
            </w:pPr>
            <w:r>
              <w:t>20万元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活动具有深远意义</w:t>
            </w:r>
          </w:p>
        </w:tc>
        <w:tc>
          <w:tcPr>
            <w:tcW w:w="5386" w:type="dxa"/>
            <w:vAlign w:val="center"/>
          </w:tcPr>
          <w:p>
            <w:pPr>
              <w:pStyle w:val="13"/>
            </w:pPr>
            <w:r>
              <w:t>推动全市思想政治建设，推动社会发展</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9、社科联活动经费绩效目标表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13018326P00032810458P</w:t>
            </w:r>
          </w:p>
        </w:tc>
        <w:tc>
          <w:tcPr>
            <w:tcW w:w="2835" w:type="dxa"/>
            <w:vAlign w:val="center"/>
          </w:tcPr>
          <w:p>
            <w:pPr>
              <w:pStyle w:val="11"/>
            </w:pPr>
            <w:r>
              <w:t>项目名称</w:t>
            </w:r>
          </w:p>
        </w:tc>
        <w:tc>
          <w:tcPr>
            <w:tcW w:w="6095" w:type="dxa"/>
            <w:gridSpan w:val="3"/>
            <w:vAlign w:val="center"/>
          </w:tcPr>
          <w:p>
            <w:pPr>
              <w:pStyle w:val="13"/>
            </w:pPr>
            <w:r>
              <w:t>社科联活动经费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组织开展社会科学课题研究活动。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1.团结组织全市哲学社会工作者，繁荣发展哲学社会科学，组织开展社会科学课题研究活动，为经济社会发展服务。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开展社科活动次数</w:t>
            </w:r>
          </w:p>
        </w:tc>
        <w:tc>
          <w:tcPr>
            <w:tcW w:w="5386" w:type="dxa"/>
            <w:vAlign w:val="center"/>
          </w:tcPr>
          <w:p>
            <w:pPr>
              <w:pStyle w:val="13"/>
            </w:pPr>
            <w:r>
              <w:t>开展社科活动次数</w:t>
            </w:r>
          </w:p>
        </w:tc>
        <w:tc>
          <w:tcPr>
            <w:tcW w:w="2268" w:type="dxa"/>
            <w:vAlign w:val="center"/>
          </w:tcPr>
          <w:p>
            <w:pPr>
              <w:pStyle w:val="13"/>
            </w:pPr>
            <w:r>
              <w:t>≥10次</w:t>
            </w:r>
          </w:p>
        </w:tc>
        <w:tc>
          <w:tcPr>
            <w:tcW w:w="1276" w:type="dxa"/>
            <w:vAlign w:val="center"/>
          </w:tcPr>
          <w:p>
            <w:pPr>
              <w:pStyle w:val="13"/>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社科活动月活动完成率</w:t>
            </w:r>
          </w:p>
        </w:tc>
        <w:tc>
          <w:tcPr>
            <w:tcW w:w="5386" w:type="dxa"/>
            <w:vAlign w:val="center"/>
          </w:tcPr>
          <w:p>
            <w:pPr>
              <w:pStyle w:val="13"/>
            </w:pPr>
            <w:r>
              <w:t>社科活动月活动完成率</w:t>
            </w:r>
          </w:p>
        </w:tc>
        <w:tc>
          <w:tcPr>
            <w:tcW w:w="2268" w:type="dxa"/>
            <w:vAlign w:val="center"/>
          </w:tcPr>
          <w:p>
            <w:pPr>
              <w:pStyle w:val="13"/>
            </w:pPr>
            <w:r>
              <w:t>≥95%</w:t>
            </w:r>
          </w:p>
        </w:tc>
        <w:tc>
          <w:tcPr>
            <w:tcW w:w="1276" w:type="dxa"/>
            <w:vAlign w:val="center"/>
          </w:tcPr>
          <w:p>
            <w:pPr>
              <w:pStyle w:val="13"/>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规定时间内完成社科活动</w:t>
            </w:r>
          </w:p>
        </w:tc>
        <w:tc>
          <w:tcPr>
            <w:tcW w:w="5386" w:type="dxa"/>
            <w:vAlign w:val="center"/>
          </w:tcPr>
          <w:p>
            <w:pPr>
              <w:pStyle w:val="13"/>
            </w:pPr>
            <w:r>
              <w:t>规定时间内完成社科活动情况</w:t>
            </w:r>
          </w:p>
        </w:tc>
        <w:tc>
          <w:tcPr>
            <w:tcW w:w="2268" w:type="dxa"/>
            <w:vAlign w:val="center"/>
          </w:tcPr>
          <w:p>
            <w:pPr>
              <w:pStyle w:val="13"/>
            </w:pPr>
            <w:r>
              <w:t>≥95%</w:t>
            </w:r>
          </w:p>
        </w:tc>
        <w:tc>
          <w:tcPr>
            <w:tcW w:w="1276" w:type="dxa"/>
            <w:vAlign w:val="center"/>
          </w:tcPr>
          <w:p>
            <w:pPr>
              <w:pStyle w:val="13"/>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预算成本内完成社科活动</w:t>
            </w:r>
          </w:p>
        </w:tc>
        <w:tc>
          <w:tcPr>
            <w:tcW w:w="5386" w:type="dxa"/>
            <w:vAlign w:val="center"/>
          </w:tcPr>
          <w:p>
            <w:pPr>
              <w:pStyle w:val="13"/>
            </w:pPr>
            <w:r>
              <w:t>预算成本内完成社科活动</w:t>
            </w:r>
          </w:p>
        </w:tc>
        <w:tc>
          <w:tcPr>
            <w:tcW w:w="2268" w:type="dxa"/>
            <w:vAlign w:val="center"/>
          </w:tcPr>
          <w:p>
            <w:pPr>
              <w:pStyle w:val="13"/>
            </w:pPr>
            <w:r>
              <w:t>3万元</w:t>
            </w:r>
          </w:p>
        </w:tc>
        <w:tc>
          <w:tcPr>
            <w:tcW w:w="1276" w:type="dxa"/>
            <w:vAlign w:val="center"/>
          </w:tcPr>
          <w:p>
            <w:pPr>
              <w:pStyle w:val="13"/>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繁荣发展，传承民俗情况</w:t>
            </w:r>
          </w:p>
        </w:tc>
        <w:tc>
          <w:tcPr>
            <w:tcW w:w="5386" w:type="dxa"/>
            <w:vAlign w:val="center"/>
          </w:tcPr>
          <w:p>
            <w:pPr>
              <w:pStyle w:val="13"/>
            </w:pPr>
            <w:r>
              <w:t>繁荣发展，传承民俗情况</w:t>
            </w:r>
          </w:p>
        </w:tc>
        <w:tc>
          <w:tcPr>
            <w:tcW w:w="2268" w:type="dxa"/>
            <w:vAlign w:val="center"/>
          </w:tcPr>
          <w:p>
            <w:pPr>
              <w:pStyle w:val="13"/>
            </w:pPr>
            <w:r>
              <w:t>逐年提升</w:t>
            </w:r>
          </w:p>
        </w:tc>
        <w:tc>
          <w:tcPr>
            <w:tcW w:w="1276" w:type="dxa"/>
            <w:vAlign w:val="center"/>
          </w:tcPr>
          <w:p>
            <w:pPr>
              <w:pStyle w:val="13"/>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10、特色视频拍摄所需费用绩效目标表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13018326P00032810461A</w:t>
            </w:r>
          </w:p>
        </w:tc>
        <w:tc>
          <w:tcPr>
            <w:tcW w:w="2835" w:type="dxa"/>
            <w:vAlign w:val="center"/>
          </w:tcPr>
          <w:p>
            <w:pPr>
              <w:pStyle w:val="11"/>
            </w:pPr>
            <w:r>
              <w:t>项目名称</w:t>
            </w:r>
          </w:p>
        </w:tc>
        <w:tc>
          <w:tcPr>
            <w:tcW w:w="6095" w:type="dxa"/>
            <w:gridSpan w:val="3"/>
            <w:vAlign w:val="center"/>
          </w:tcPr>
          <w:p>
            <w:pPr>
              <w:pStyle w:val="13"/>
            </w:pPr>
            <w:r>
              <w:t>特色视频拍摄所需费用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用于我市特色视频拍摄。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1.充分展示我市良好形象，不断提高我市知名度，美誉度。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组织视频拍摄次数</w:t>
            </w:r>
          </w:p>
        </w:tc>
        <w:tc>
          <w:tcPr>
            <w:tcW w:w="5386" w:type="dxa"/>
            <w:vAlign w:val="center"/>
          </w:tcPr>
          <w:p>
            <w:pPr>
              <w:pStyle w:val="13"/>
            </w:pPr>
            <w:r>
              <w:t>组织视频拍摄次数</w:t>
            </w:r>
          </w:p>
        </w:tc>
        <w:tc>
          <w:tcPr>
            <w:tcW w:w="2268" w:type="dxa"/>
            <w:vAlign w:val="center"/>
          </w:tcPr>
          <w:p>
            <w:pPr>
              <w:pStyle w:val="13"/>
            </w:pPr>
            <w:r>
              <w:t>≥4次</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视频清晰度</w:t>
            </w:r>
          </w:p>
        </w:tc>
        <w:tc>
          <w:tcPr>
            <w:tcW w:w="5386" w:type="dxa"/>
            <w:vAlign w:val="center"/>
          </w:tcPr>
          <w:p>
            <w:pPr>
              <w:pStyle w:val="13"/>
            </w:pPr>
            <w:r>
              <w:t>视频画面清晰度，分辨率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视频播报及时率</w:t>
            </w:r>
          </w:p>
        </w:tc>
        <w:tc>
          <w:tcPr>
            <w:tcW w:w="5386" w:type="dxa"/>
            <w:vAlign w:val="center"/>
          </w:tcPr>
          <w:p>
            <w:pPr>
              <w:pStyle w:val="13"/>
            </w:pPr>
            <w:r>
              <w:t>视频播报活动的及时率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预算成本内完成视频拍摄</w:t>
            </w:r>
          </w:p>
        </w:tc>
        <w:tc>
          <w:tcPr>
            <w:tcW w:w="5386" w:type="dxa"/>
            <w:vAlign w:val="center"/>
          </w:tcPr>
          <w:p>
            <w:pPr>
              <w:pStyle w:val="13"/>
            </w:pPr>
            <w:r>
              <w:t>预算成本内完成视频拍摄</w:t>
            </w:r>
          </w:p>
        </w:tc>
        <w:tc>
          <w:tcPr>
            <w:tcW w:w="2268" w:type="dxa"/>
            <w:vAlign w:val="center"/>
          </w:tcPr>
          <w:p>
            <w:pPr>
              <w:pStyle w:val="13"/>
            </w:pPr>
            <w:r>
              <w:t>20万元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充分展示我市良好形象</w:t>
            </w:r>
          </w:p>
        </w:tc>
        <w:tc>
          <w:tcPr>
            <w:tcW w:w="5386" w:type="dxa"/>
            <w:vAlign w:val="center"/>
          </w:tcPr>
          <w:p>
            <w:pPr>
              <w:pStyle w:val="13"/>
            </w:pPr>
            <w:r>
              <w:t>充分展示我市良好形象情况</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11、新时代文明实践中心运转经费绩效目标表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13018326P00032810468K</w:t>
            </w:r>
          </w:p>
        </w:tc>
        <w:tc>
          <w:tcPr>
            <w:tcW w:w="2835" w:type="dxa"/>
            <w:vAlign w:val="center"/>
          </w:tcPr>
          <w:p>
            <w:pPr>
              <w:pStyle w:val="11"/>
            </w:pPr>
            <w:r>
              <w:t>项目名称</w:t>
            </w:r>
          </w:p>
        </w:tc>
        <w:tc>
          <w:tcPr>
            <w:tcW w:w="6095" w:type="dxa"/>
            <w:gridSpan w:val="3"/>
            <w:vAlign w:val="center"/>
          </w:tcPr>
          <w:p>
            <w:pPr>
              <w:pStyle w:val="13"/>
            </w:pPr>
            <w:r>
              <w:t>新时代文明实践中心运转经费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用于组织开展文明实践活动，维护文明实践中心设施。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1.保障文明实践活动顺利开展，新时代文明实践中心正常运转。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组织开展文明实践活动次数</w:t>
            </w:r>
          </w:p>
        </w:tc>
        <w:tc>
          <w:tcPr>
            <w:tcW w:w="5386" w:type="dxa"/>
            <w:vAlign w:val="center"/>
          </w:tcPr>
          <w:p>
            <w:pPr>
              <w:pStyle w:val="13"/>
            </w:pPr>
            <w:r>
              <w:t>组织开展文明实践活动次数</w:t>
            </w:r>
          </w:p>
        </w:tc>
        <w:tc>
          <w:tcPr>
            <w:tcW w:w="2268" w:type="dxa"/>
            <w:vAlign w:val="center"/>
          </w:tcPr>
          <w:p>
            <w:pPr>
              <w:pStyle w:val="13"/>
            </w:pPr>
            <w:r>
              <w:t>≥10次</w:t>
            </w:r>
          </w:p>
        </w:tc>
        <w:tc>
          <w:tcPr>
            <w:tcW w:w="1276" w:type="dxa"/>
            <w:vAlign w:val="center"/>
          </w:tcPr>
          <w:p>
            <w:pPr>
              <w:pStyle w:val="13"/>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群众知晓率，参与率</w:t>
            </w:r>
          </w:p>
        </w:tc>
        <w:tc>
          <w:tcPr>
            <w:tcW w:w="5386" w:type="dxa"/>
            <w:vAlign w:val="center"/>
          </w:tcPr>
          <w:p>
            <w:pPr>
              <w:pStyle w:val="13"/>
            </w:pPr>
            <w:r>
              <w:t>群众知晓率，参与率</w:t>
            </w:r>
          </w:p>
        </w:tc>
        <w:tc>
          <w:tcPr>
            <w:tcW w:w="2268" w:type="dxa"/>
            <w:vAlign w:val="center"/>
          </w:tcPr>
          <w:p>
            <w:pPr>
              <w:pStyle w:val="13"/>
            </w:pPr>
            <w:r>
              <w:t>≥95%</w:t>
            </w:r>
          </w:p>
        </w:tc>
        <w:tc>
          <w:tcPr>
            <w:tcW w:w="1276" w:type="dxa"/>
            <w:vAlign w:val="center"/>
          </w:tcPr>
          <w:p>
            <w:pPr>
              <w:pStyle w:val="13"/>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各项活动完成及时率</w:t>
            </w:r>
          </w:p>
        </w:tc>
        <w:tc>
          <w:tcPr>
            <w:tcW w:w="5386" w:type="dxa"/>
            <w:vAlign w:val="center"/>
          </w:tcPr>
          <w:p>
            <w:pPr>
              <w:pStyle w:val="13"/>
            </w:pPr>
            <w:r>
              <w:t>各项活动完成及时率</w:t>
            </w:r>
          </w:p>
        </w:tc>
        <w:tc>
          <w:tcPr>
            <w:tcW w:w="2268" w:type="dxa"/>
            <w:vAlign w:val="center"/>
          </w:tcPr>
          <w:p>
            <w:pPr>
              <w:pStyle w:val="13"/>
            </w:pPr>
            <w:r>
              <w:t>≥95%</w:t>
            </w:r>
          </w:p>
        </w:tc>
        <w:tc>
          <w:tcPr>
            <w:tcW w:w="1276" w:type="dxa"/>
            <w:vAlign w:val="center"/>
          </w:tcPr>
          <w:p>
            <w:pPr>
              <w:pStyle w:val="13"/>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预算成本内完成活动</w:t>
            </w:r>
          </w:p>
        </w:tc>
        <w:tc>
          <w:tcPr>
            <w:tcW w:w="5386" w:type="dxa"/>
            <w:vAlign w:val="center"/>
          </w:tcPr>
          <w:p>
            <w:pPr>
              <w:pStyle w:val="13"/>
            </w:pPr>
            <w:r>
              <w:t>预算成本内完成活动</w:t>
            </w:r>
          </w:p>
        </w:tc>
        <w:tc>
          <w:tcPr>
            <w:tcW w:w="2268" w:type="dxa"/>
            <w:vAlign w:val="center"/>
          </w:tcPr>
          <w:p>
            <w:pPr>
              <w:pStyle w:val="13"/>
            </w:pPr>
            <w:r>
              <w:t>15万元</w:t>
            </w:r>
          </w:p>
        </w:tc>
        <w:tc>
          <w:tcPr>
            <w:tcW w:w="1276" w:type="dxa"/>
            <w:vAlign w:val="center"/>
          </w:tcPr>
          <w:p>
            <w:pPr>
              <w:pStyle w:val="13"/>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文明程度不断提升</w:t>
            </w:r>
          </w:p>
        </w:tc>
        <w:tc>
          <w:tcPr>
            <w:tcW w:w="5386" w:type="dxa"/>
            <w:vAlign w:val="center"/>
          </w:tcPr>
          <w:p>
            <w:pPr>
              <w:pStyle w:val="13"/>
            </w:pPr>
            <w:r>
              <w:t>营造文明规范良好社会氛围</w:t>
            </w:r>
          </w:p>
        </w:tc>
        <w:tc>
          <w:tcPr>
            <w:tcW w:w="2268" w:type="dxa"/>
            <w:vAlign w:val="center"/>
          </w:tcPr>
          <w:p>
            <w:pPr>
              <w:pStyle w:val="13"/>
            </w:pPr>
            <w:r>
              <w:t>逐年提升</w:t>
            </w:r>
          </w:p>
        </w:tc>
        <w:tc>
          <w:tcPr>
            <w:tcW w:w="1276" w:type="dxa"/>
            <w:vAlign w:val="center"/>
          </w:tcPr>
          <w:p>
            <w:pPr>
              <w:pStyle w:val="13"/>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12、新闻对外宣传经费绩效目标表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13018326P00032810477U</w:t>
            </w:r>
          </w:p>
        </w:tc>
        <w:tc>
          <w:tcPr>
            <w:tcW w:w="2835" w:type="dxa"/>
            <w:vAlign w:val="center"/>
          </w:tcPr>
          <w:p>
            <w:pPr>
              <w:pStyle w:val="11"/>
            </w:pPr>
            <w:r>
              <w:t>项目名称</w:t>
            </w:r>
          </w:p>
        </w:tc>
        <w:tc>
          <w:tcPr>
            <w:tcW w:w="6095" w:type="dxa"/>
            <w:gridSpan w:val="3"/>
            <w:vAlign w:val="center"/>
          </w:tcPr>
          <w:p>
            <w:pPr>
              <w:pStyle w:val="13"/>
            </w:pPr>
            <w:r>
              <w:t>新闻对外宣传经费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用于扩大对外宣传，开展多种形式对外交流活动。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1.主要用于制定对外宣传使用发展规划，加强和改进新闻发布工作，扩大对外宣传，开展多种形式的对外交流活动。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采访次数</w:t>
            </w:r>
          </w:p>
        </w:tc>
        <w:tc>
          <w:tcPr>
            <w:tcW w:w="5386" w:type="dxa"/>
            <w:vAlign w:val="center"/>
          </w:tcPr>
          <w:p>
            <w:pPr>
              <w:pStyle w:val="13"/>
            </w:pPr>
            <w:r>
              <w:t>组织中央、省、市采访宣传次数</w:t>
            </w:r>
          </w:p>
        </w:tc>
        <w:tc>
          <w:tcPr>
            <w:tcW w:w="2268" w:type="dxa"/>
            <w:vAlign w:val="center"/>
          </w:tcPr>
          <w:p>
            <w:pPr>
              <w:pStyle w:val="13"/>
            </w:pPr>
            <w:r>
              <w:t>≥4次</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新闻正确性</w:t>
            </w:r>
          </w:p>
        </w:tc>
        <w:tc>
          <w:tcPr>
            <w:tcW w:w="5386" w:type="dxa"/>
            <w:vAlign w:val="center"/>
          </w:tcPr>
          <w:p>
            <w:pPr>
              <w:pStyle w:val="13"/>
            </w:pPr>
            <w:r>
              <w:t>把握正确导向。为全市经济发展提供方向</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新闻报道及时性</w:t>
            </w:r>
          </w:p>
        </w:tc>
        <w:tc>
          <w:tcPr>
            <w:tcW w:w="5386" w:type="dxa"/>
            <w:vAlign w:val="center"/>
          </w:tcPr>
          <w:p>
            <w:pPr>
              <w:pStyle w:val="13"/>
            </w:pPr>
            <w:r>
              <w:t>组织协调全市重大新闻报道及时性</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预算成本内完成新闻宣传</w:t>
            </w:r>
          </w:p>
        </w:tc>
        <w:tc>
          <w:tcPr>
            <w:tcW w:w="5386" w:type="dxa"/>
            <w:vAlign w:val="center"/>
          </w:tcPr>
          <w:p>
            <w:pPr>
              <w:pStyle w:val="13"/>
            </w:pPr>
            <w:r>
              <w:t>预算成本内完成新闻宣传</w:t>
            </w:r>
          </w:p>
        </w:tc>
        <w:tc>
          <w:tcPr>
            <w:tcW w:w="2268" w:type="dxa"/>
            <w:vAlign w:val="center"/>
          </w:tcPr>
          <w:p>
            <w:pPr>
              <w:pStyle w:val="13"/>
            </w:pPr>
            <w:r>
              <w:t>20万元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宣传展示我市美誉度情况</w:t>
            </w:r>
          </w:p>
        </w:tc>
        <w:tc>
          <w:tcPr>
            <w:tcW w:w="5386" w:type="dxa"/>
            <w:vAlign w:val="center"/>
          </w:tcPr>
          <w:p>
            <w:pPr>
              <w:pStyle w:val="13"/>
            </w:pPr>
            <w:r>
              <w:t>宣传展示我市良好情况，不断提升我市美誉度情况</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13、宣传能力提升工作经费绩效目标表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13018326P00032810488B</w:t>
            </w:r>
          </w:p>
        </w:tc>
        <w:tc>
          <w:tcPr>
            <w:tcW w:w="2835" w:type="dxa"/>
            <w:vAlign w:val="center"/>
          </w:tcPr>
          <w:p>
            <w:pPr>
              <w:pStyle w:val="11"/>
            </w:pPr>
            <w:r>
              <w:t>项目名称</w:t>
            </w:r>
          </w:p>
        </w:tc>
        <w:tc>
          <w:tcPr>
            <w:tcW w:w="6095" w:type="dxa"/>
            <w:gridSpan w:val="3"/>
            <w:vAlign w:val="center"/>
          </w:tcPr>
          <w:p>
            <w:pPr>
              <w:pStyle w:val="13"/>
            </w:pPr>
            <w:r>
              <w:t>宣传能力提升工作经费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用于提升全市宣传队伍宣传能力。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1.提升宣传能力，提升晋州知名度。更好的展示我市良好形象。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宣传活动覆盖率</w:t>
            </w:r>
          </w:p>
        </w:tc>
        <w:tc>
          <w:tcPr>
            <w:tcW w:w="5386" w:type="dxa"/>
            <w:vAlign w:val="center"/>
          </w:tcPr>
          <w:p>
            <w:pPr>
              <w:pStyle w:val="13"/>
            </w:pPr>
            <w:r>
              <w:t>宣传活动覆盖率</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规定时间内完成宣传能力培训</w:t>
            </w:r>
          </w:p>
        </w:tc>
        <w:tc>
          <w:tcPr>
            <w:tcW w:w="5386" w:type="dxa"/>
            <w:vAlign w:val="center"/>
          </w:tcPr>
          <w:p>
            <w:pPr>
              <w:pStyle w:val="13"/>
            </w:pPr>
            <w:r>
              <w:t>规定时间内完成宣传能力培训活动</w:t>
            </w:r>
          </w:p>
        </w:tc>
        <w:tc>
          <w:tcPr>
            <w:tcW w:w="2268" w:type="dxa"/>
            <w:vAlign w:val="center"/>
          </w:tcPr>
          <w:p>
            <w:pPr>
              <w:pStyle w:val="13"/>
            </w:pPr>
            <w:r>
              <w:t>≥95%</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预算成本内完成宣传能力提升工作</w:t>
            </w:r>
          </w:p>
        </w:tc>
        <w:tc>
          <w:tcPr>
            <w:tcW w:w="5386" w:type="dxa"/>
            <w:vAlign w:val="center"/>
          </w:tcPr>
          <w:p>
            <w:pPr>
              <w:pStyle w:val="13"/>
            </w:pPr>
            <w:r>
              <w:t>预算成本内完成宣传能力提升工作</w:t>
            </w:r>
          </w:p>
        </w:tc>
        <w:tc>
          <w:tcPr>
            <w:tcW w:w="2268" w:type="dxa"/>
            <w:vAlign w:val="center"/>
          </w:tcPr>
          <w:p>
            <w:pPr>
              <w:pStyle w:val="13"/>
            </w:pPr>
            <w:r>
              <w:t>10万元</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宣传能力不断提升</w:t>
            </w:r>
          </w:p>
        </w:tc>
        <w:tc>
          <w:tcPr>
            <w:tcW w:w="5386" w:type="dxa"/>
            <w:vAlign w:val="center"/>
          </w:tcPr>
          <w:p>
            <w:pPr>
              <w:pStyle w:val="13"/>
            </w:pPr>
            <w:r>
              <w:t>宣传能力不断提升，扩大对我市宣传能力</w:t>
            </w:r>
          </w:p>
        </w:tc>
        <w:tc>
          <w:tcPr>
            <w:tcW w:w="2268" w:type="dxa"/>
            <w:vAlign w:val="center"/>
          </w:tcPr>
          <w:p>
            <w:pPr>
              <w:pStyle w:val="13"/>
            </w:pPr>
            <w:r>
              <w:t>逐年提升</w:t>
            </w:r>
          </w:p>
        </w:tc>
        <w:tc>
          <w:tcPr>
            <w:tcW w:w="1276" w:type="dxa"/>
            <w:vAlign w:val="center"/>
          </w:tcPr>
          <w:p>
            <w:pPr>
              <w:pStyle w:val="13"/>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2.79</w:t>
            </w:r>
          </w:p>
        </w:tc>
        <w:tc>
          <w:tcPr>
            <w:tcW w:w="964" w:type="dxa"/>
            <w:vAlign w:val="center"/>
          </w:tcPr>
          <w:p>
            <w:pPr>
              <w:pStyle w:val="16"/>
            </w:pPr>
            <w:r>
              <w:t>2.79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中国共产党晋州市委员会宣传部本级小计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2.79</w:t>
            </w:r>
          </w:p>
        </w:tc>
        <w:tc>
          <w:tcPr>
            <w:tcW w:w="964" w:type="dxa"/>
            <w:vAlign w:val="center"/>
          </w:tcPr>
          <w:p>
            <w:pPr>
              <w:pStyle w:val="16"/>
            </w:pPr>
            <w:r>
              <w:t>2.79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7.80</w:t>
            </w:r>
          </w:p>
        </w:tc>
        <w:tc>
          <w:tcPr>
            <w:tcW w:w="1134" w:type="dxa"/>
            <w:vAlign w:val="center"/>
          </w:tcPr>
          <w:p>
            <w:pPr>
              <w:pStyle w:val="13"/>
            </w:pPr>
            <w:r>
              <w:t>速印机</w:t>
            </w:r>
          </w:p>
        </w:tc>
        <w:tc>
          <w:tcPr>
            <w:tcW w:w="1134" w:type="dxa"/>
            <w:vAlign w:val="center"/>
          </w:tcPr>
          <w:p>
            <w:pPr>
              <w:pStyle w:val="13"/>
            </w:pPr>
            <w:r>
              <w:t>A02021201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0.01</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0.04</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0.07</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中国共产党晋州市委员会宣传部（含所属单位）上年末固定资产金额为127.48万元（详见下表）。本年度拟购置固定资产总额为0.00万元，已按要求列入政府采购预算，详见政府采购预算表。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211中国共产党晋州市委员会宣传部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3380</w:t>
            </w:r>
          </w:p>
        </w:tc>
        <w:tc>
          <w:tcPr>
            <w:tcW w:w="2835" w:type="dxa"/>
            <w:vAlign w:val="center"/>
          </w:tcPr>
          <w:p>
            <w:pPr>
              <w:pStyle w:val="12"/>
            </w:pPr>
            <w:r>
              <w:t>109.50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3380</w:t>
            </w:r>
          </w:p>
        </w:tc>
        <w:tc>
          <w:tcPr>
            <w:tcW w:w="2835" w:type="dxa"/>
            <w:vAlign w:val="center"/>
          </w:tcPr>
          <w:p>
            <w:pPr>
              <w:pStyle w:val="12"/>
            </w:pPr>
            <w:r>
              <w:t>109.50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6D0715"/>
    <w:multiLevelType w:val="singleLevel"/>
    <w:tmpl w:val="626D071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C045A1"/>
    <w:rsid w:val="414E4363"/>
    <w:rsid w:val="76320B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2026-03-02T08:36:00Z</dcterms:created>
  <dc:creator>Administrator</dc:creator>
  <cp:lastModifiedBy>Administrator</cp:lastModifiedBy>
  <dcterms:modified xsi:type="dcterms:W3CDTF">2026-03-10T01:24:20Z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