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一、中国共产党晋州市委员会统战部本级收支预算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一、中国共产党晋州市委员会统战部本级收支预算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383.78</w:t>
            </w:r>
          </w:p>
        </w:tc>
        <w:tc>
          <w:tcPr>
            <w:tcW w:w="4535" w:type="dxa"/>
            <w:vAlign w:val="center"/>
          </w:tcPr>
          <w:p>
            <w:pPr>
              <w:pStyle w:val="12"/>
            </w:pPr>
            <w:r>
              <w:t>一、一般公共服务支出</w:t>
            </w:r>
          </w:p>
        </w:tc>
        <w:tc>
          <w:tcPr>
            <w:tcW w:w="2126" w:type="dxa"/>
            <w:vAlign w:val="center"/>
          </w:tcPr>
          <w:p>
            <w:pPr>
              <w:pStyle w:val="11"/>
            </w:pPr>
            <w:r>
              <w:t>383.78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383.78</w:t>
            </w:r>
          </w:p>
        </w:tc>
        <w:tc>
          <w:tcPr>
            <w:tcW w:w="4535" w:type="dxa"/>
            <w:vAlign w:val="center"/>
          </w:tcPr>
          <w:p>
            <w:pPr>
              <w:pStyle w:val="14"/>
            </w:pPr>
            <w:r>
              <w:t>本年支出合计</w:t>
            </w:r>
          </w:p>
        </w:tc>
        <w:tc>
          <w:tcPr>
            <w:tcW w:w="2126" w:type="dxa"/>
            <w:vAlign w:val="center"/>
          </w:tcPr>
          <w:p>
            <w:pPr>
              <w:pStyle w:val="15"/>
            </w:pPr>
            <w:r>
              <w:t>383.78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383.78</w:t>
            </w:r>
          </w:p>
        </w:tc>
        <w:tc>
          <w:tcPr>
            <w:tcW w:w="4535" w:type="dxa"/>
            <w:vAlign w:val="center"/>
          </w:tcPr>
          <w:p>
            <w:pPr>
              <w:pStyle w:val="14"/>
            </w:pPr>
            <w:r>
              <w:t>支出总计</w:t>
            </w:r>
          </w:p>
        </w:tc>
        <w:tc>
          <w:tcPr>
            <w:tcW w:w="2126" w:type="dxa"/>
            <w:vAlign w:val="center"/>
          </w:tcPr>
          <w:p>
            <w:pPr>
              <w:pStyle w:val="15"/>
            </w:pPr>
            <w:r>
              <w:t>383.78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383.78</w:t>
            </w:r>
          </w:p>
        </w:tc>
        <w:tc>
          <w:tcPr>
            <w:tcW w:w="1134" w:type="dxa"/>
            <w:vAlign w:val="center"/>
          </w:tcPr>
          <w:p>
            <w:pPr>
              <w:pStyle w:val="15"/>
            </w:pPr>
            <w:r>
              <w:t>383.78</w:t>
            </w:r>
          </w:p>
        </w:tc>
        <w:tc>
          <w:tcPr>
            <w:tcW w:w="1134" w:type="dxa"/>
            <w:vAlign w:val="center"/>
          </w:tcPr>
          <w:p>
            <w:pPr>
              <w:pStyle w:val="15"/>
            </w:pPr>
            <w:r>
              <w:t>383.78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383.78</w:t>
            </w:r>
          </w:p>
        </w:tc>
        <w:tc>
          <w:tcPr>
            <w:tcW w:w="1134" w:type="dxa"/>
            <w:vAlign w:val="center"/>
          </w:tcPr>
          <w:p>
            <w:pPr>
              <w:pStyle w:val="11"/>
            </w:pPr>
            <w:r>
              <w:t>383.78</w:t>
            </w:r>
          </w:p>
        </w:tc>
        <w:tc>
          <w:tcPr>
            <w:tcW w:w="1134" w:type="dxa"/>
            <w:vAlign w:val="center"/>
          </w:tcPr>
          <w:p>
            <w:pPr>
              <w:pStyle w:val="11"/>
            </w:pPr>
            <w:r>
              <w:t>383.78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383.78</w:t>
            </w:r>
          </w:p>
        </w:tc>
        <w:tc>
          <w:tcPr>
            <w:tcW w:w="1134" w:type="dxa"/>
            <w:vAlign w:val="center"/>
          </w:tcPr>
          <w:p>
            <w:pPr>
              <w:pStyle w:val="11"/>
            </w:pPr>
            <w:r>
              <w:t>383.78</w:t>
            </w:r>
          </w:p>
        </w:tc>
        <w:tc>
          <w:tcPr>
            <w:tcW w:w="1134" w:type="dxa"/>
            <w:vAlign w:val="center"/>
          </w:tcPr>
          <w:p>
            <w:pPr>
              <w:pStyle w:val="11"/>
            </w:pPr>
            <w:r>
              <w:t>383.78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327.08</w:t>
            </w:r>
          </w:p>
        </w:tc>
        <w:tc>
          <w:tcPr>
            <w:tcW w:w="1134" w:type="dxa"/>
            <w:vAlign w:val="center"/>
          </w:tcPr>
          <w:p>
            <w:pPr>
              <w:pStyle w:val="11"/>
            </w:pPr>
            <w:r>
              <w:t>327.08</w:t>
            </w:r>
          </w:p>
        </w:tc>
        <w:tc>
          <w:tcPr>
            <w:tcW w:w="1134" w:type="dxa"/>
            <w:vAlign w:val="center"/>
          </w:tcPr>
          <w:p>
            <w:pPr>
              <w:pStyle w:val="11"/>
            </w:pPr>
            <w:r>
              <w:t>327.08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5.70</w:t>
            </w:r>
          </w:p>
        </w:tc>
        <w:tc>
          <w:tcPr>
            <w:tcW w:w="1134" w:type="dxa"/>
            <w:vAlign w:val="center"/>
          </w:tcPr>
          <w:p>
            <w:pPr>
              <w:pStyle w:val="11"/>
            </w:pPr>
            <w:r>
              <w:t>5.70</w:t>
            </w:r>
          </w:p>
        </w:tc>
        <w:tc>
          <w:tcPr>
            <w:tcW w:w="1134" w:type="dxa"/>
            <w:vAlign w:val="center"/>
          </w:tcPr>
          <w:p>
            <w:pPr>
              <w:pStyle w:val="11"/>
            </w:pPr>
            <w:r>
              <w:t>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2013499</w:t>
            </w:r>
          </w:p>
        </w:tc>
        <w:tc>
          <w:tcPr>
            <w:tcW w:w="1559" w:type="dxa"/>
            <w:vAlign w:val="center"/>
          </w:tcPr>
          <w:p>
            <w:pPr>
              <w:pStyle w:val="12"/>
            </w:pPr>
            <w:r>
              <w:t>其他统战事务支出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383.78</w:t>
            </w:r>
          </w:p>
        </w:tc>
        <w:tc>
          <w:tcPr>
            <w:tcW w:w="1361" w:type="dxa"/>
            <w:vAlign w:val="center"/>
          </w:tcPr>
          <w:p>
            <w:pPr>
              <w:pStyle w:val="15"/>
            </w:pPr>
            <w:r>
              <w:t>327.08</w:t>
            </w:r>
          </w:p>
        </w:tc>
        <w:tc>
          <w:tcPr>
            <w:tcW w:w="1361" w:type="dxa"/>
            <w:vAlign w:val="center"/>
          </w:tcPr>
          <w:p>
            <w:pPr>
              <w:pStyle w:val="15"/>
            </w:pPr>
            <w:r>
              <w:t>56.70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383.78</w:t>
            </w:r>
          </w:p>
        </w:tc>
        <w:tc>
          <w:tcPr>
            <w:tcW w:w="1361" w:type="dxa"/>
            <w:vAlign w:val="center"/>
          </w:tcPr>
          <w:p>
            <w:pPr>
              <w:pStyle w:val="11"/>
            </w:pPr>
            <w:r>
              <w:t>327.08</w:t>
            </w:r>
          </w:p>
        </w:tc>
        <w:tc>
          <w:tcPr>
            <w:tcW w:w="1361" w:type="dxa"/>
            <w:vAlign w:val="center"/>
          </w:tcPr>
          <w:p>
            <w:pPr>
              <w:pStyle w:val="11"/>
            </w:pPr>
            <w:r>
              <w:t>56.70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383.78</w:t>
            </w:r>
          </w:p>
        </w:tc>
        <w:tc>
          <w:tcPr>
            <w:tcW w:w="1361" w:type="dxa"/>
            <w:vAlign w:val="center"/>
          </w:tcPr>
          <w:p>
            <w:pPr>
              <w:pStyle w:val="11"/>
            </w:pPr>
            <w:r>
              <w:t>327.08</w:t>
            </w:r>
          </w:p>
        </w:tc>
        <w:tc>
          <w:tcPr>
            <w:tcW w:w="1361" w:type="dxa"/>
            <w:vAlign w:val="center"/>
          </w:tcPr>
          <w:p>
            <w:pPr>
              <w:pStyle w:val="11"/>
            </w:pPr>
            <w:r>
              <w:t>56.70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327.08</w:t>
            </w:r>
          </w:p>
        </w:tc>
        <w:tc>
          <w:tcPr>
            <w:tcW w:w="1361" w:type="dxa"/>
            <w:vAlign w:val="center"/>
          </w:tcPr>
          <w:p>
            <w:pPr>
              <w:pStyle w:val="11"/>
            </w:pPr>
            <w:r>
              <w:t>327.08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5.70</w:t>
            </w:r>
          </w:p>
        </w:tc>
        <w:tc>
          <w:tcPr>
            <w:tcW w:w="1361" w:type="dxa"/>
            <w:vAlign w:val="center"/>
          </w:tcPr>
          <w:p>
            <w:pPr>
              <w:pStyle w:val="11"/>
            </w:pPr>
          </w:p>
        </w:tc>
        <w:tc>
          <w:tcPr>
            <w:tcW w:w="1361" w:type="dxa"/>
            <w:vAlign w:val="center"/>
          </w:tcPr>
          <w:p>
            <w:pPr>
              <w:pStyle w:val="11"/>
            </w:pPr>
            <w:r>
              <w:t>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2013499</w:t>
            </w:r>
          </w:p>
        </w:tc>
        <w:tc>
          <w:tcPr>
            <w:tcW w:w="4535" w:type="dxa"/>
            <w:vAlign w:val="center"/>
          </w:tcPr>
          <w:p>
            <w:pPr>
              <w:pStyle w:val="12"/>
            </w:pPr>
            <w:r>
              <w:t>其他统战事务支出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383.78</w:t>
            </w:r>
          </w:p>
        </w:tc>
        <w:tc>
          <w:tcPr>
            <w:tcW w:w="3402" w:type="dxa"/>
            <w:vAlign w:val="center"/>
          </w:tcPr>
          <w:p>
            <w:pPr>
              <w:pStyle w:val="12"/>
            </w:pPr>
            <w:r>
              <w:t>一、一般公共服务支出</w:t>
            </w:r>
          </w:p>
        </w:tc>
        <w:tc>
          <w:tcPr>
            <w:tcW w:w="1474" w:type="dxa"/>
            <w:vAlign w:val="center"/>
          </w:tcPr>
          <w:p>
            <w:pPr>
              <w:pStyle w:val="11"/>
            </w:pPr>
            <w:r>
              <w:t>383.78</w:t>
            </w:r>
          </w:p>
        </w:tc>
        <w:tc>
          <w:tcPr>
            <w:tcW w:w="1474" w:type="dxa"/>
            <w:vAlign w:val="center"/>
          </w:tcPr>
          <w:p>
            <w:pPr>
              <w:pStyle w:val="11"/>
            </w:pPr>
            <w:r>
              <w:t>383.78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383.78</w:t>
            </w:r>
          </w:p>
        </w:tc>
        <w:tc>
          <w:tcPr>
            <w:tcW w:w="3402" w:type="dxa"/>
            <w:vAlign w:val="center"/>
          </w:tcPr>
          <w:p>
            <w:pPr>
              <w:pStyle w:val="14"/>
            </w:pPr>
            <w:r>
              <w:t>本年支出合计</w:t>
            </w:r>
          </w:p>
        </w:tc>
        <w:tc>
          <w:tcPr>
            <w:tcW w:w="1474" w:type="dxa"/>
            <w:vAlign w:val="center"/>
          </w:tcPr>
          <w:p>
            <w:pPr>
              <w:pStyle w:val="15"/>
            </w:pPr>
            <w:r>
              <w:t>383.78</w:t>
            </w:r>
          </w:p>
        </w:tc>
        <w:tc>
          <w:tcPr>
            <w:tcW w:w="1474" w:type="dxa"/>
            <w:vAlign w:val="center"/>
          </w:tcPr>
          <w:p>
            <w:pPr>
              <w:pStyle w:val="15"/>
            </w:pPr>
            <w:r>
              <w:t>383.78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383.78</w:t>
            </w:r>
          </w:p>
        </w:tc>
        <w:tc>
          <w:tcPr>
            <w:tcW w:w="3402" w:type="dxa"/>
            <w:vAlign w:val="center"/>
          </w:tcPr>
          <w:p>
            <w:pPr>
              <w:pStyle w:val="14"/>
            </w:pPr>
            <w:r>
              <w:t>支出总计</w:t>
            </w:r>
          </w:p>
        </w:tc>
        <w:tc>
          <w:tcPr>
            <w:tcW w:w="1474" w:type="dxa"/>
            <w:vAlign w:val="center"/>
          </w:tcPr>
          <w:p>
            <w:pPr>
              <w:pStyle w:val="15"/>
            </w:pPr>
            <w:r>
              <w:t>383.78</w:t>
            </w:r>
          </w:p>
        </w:tc>
        <w:tc>
          <w:tcPr>
            <w:tcW w:w="1474" w:type="dxa"/>
            <w:vAlign w:val="center"/>
          </w:tcPr>
          <w:p>
            <w:pPr>
              <w:pStyle w:val="15"/>
            </w:pPr>
            <w:r>
              <w:t>383.78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383.78</w:t>
            </w:r>
          </w:p>
        </w:tc>
        <w:tc>
          <w:tcPr>
            <w:tcW w:w="2551" w:type="dxa"/>
            <w:vAlign w:val="center"/>
          </w:tcPr>
          <w:p>
            <w:pPr>
              <w:pStyle w:val="15"/>
            </w:pPr>
            <w:r>
              <w:t>327.08</w:t>
            </w:r>
          </w:p>
        </w:tc>
        <w:tc>
          <w:tcPr>
            <w:tcW w:w="2551" w:type="dxa"/>
            <w:vAlign w:val="center"/>
          </w:tcPr>
          <w:p>
            <w:pPr>
              <w:pStyle w:val="15"/>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383.78</w:t>
            </w:r>
          </w:p>
        </w:tc>
        <w:tc>
          <w:tcPr>
            <w:tcW w:w="2551" w:type="dxa"/>
            <w:vAlign w:val="center"/>
          </w:tcPr>
          <w:p>
            <w:pPr>
              <w:pStyle w:val="11"/>
            </w:pPr>
            <w:r>
              <w:t>327.08</w:t>
            </w:r>
          </w:p>
        </w:tc>
        <w:tc>
          <w:tcPr>
            <w:tcW w:w="2551" w:type="dxa"/>
            <w:vAlign w:val="center"/>
          </w:tcPr>
          <w:p>
            <w:pPr>
              <w:pStyle w:val="11"/>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383.78</w:t>
            </w:r>
          </w:p>
        </w:tc>
        <w:tc>
          <w:tcPr>
            <w:tcW w:w="2551" w:type="dxa"/>
            <w:vAlign w:val="center"/>
          </w:tcPr>
          <w:p>
            <w:pPr>
              <w:pStyle w:val="11"/>
            </w:pPr>
            <w:r>
              <w:t>327.08</w:t>
            </w:r>
          </w:p>
        </w:tc>
        <w:tc>
          <w:tcPr>
            <w:tcW w:w="2551" w:type="dxa"/>
            <w:vAlign w:val="center"/>
          </w:tcPr>
          <w:p>
            <w:pPr>
              <w:pStyle w:val="11"/>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327.08</w:t>
            </w:r>
          </w:p>
        </w:tc>
        <w:tc>
          <w:tcPr>
            <w:tcW w:w="2551" w:type="dxa"/>
            <w:vAlign w:val="center"/>
          </w:tcPr>
          <w:p>
            <w:pPr>
              <w:pStyle w:val="11"/>
            </w:pPr>
            <w:r>
              <w:t>327.08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5.70</w:t>
            </w:r>
          </w:p>
        </w:tc>
        <w:tc>
          <w:tcPr>
            <w:tcW w:w="2551" w:type="dxa"/>
            <w:vAlign w:val="center"/>
          </w:tcPr>
          <w:p>
            <w:pPr>
              <w:pStyle w:val="11"/>
            </w:pPr>
          </w:p>
        </w:tc>
        <w:tc>
          <w:tcPr>
            <w:tcW w:w="2551" w:type="dxa"/>
            <w:vAlign w:val="center"/>
          </w:tcPr>
          <w:p>
            <w:pPr>
              <w:pStyle w:val="11"/>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48.00</w:t>
            </w:r>
          </w:p>
        </w:tc>
        <w:tc>
          <w:tcPr>
            <w:tcW w:w="2551" w:type="dxa"/>
            <w:vAlign w:val="center"/>
          </w:tcPr>
          <w:p>
            <w:pPr>
              <w:pStyle w:val="11"/>
            </w:pPr>
          </w:p>
        </w:tc>
        <w:tc>
          <w:tcPr>
            <w:tcW w:w="2551"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2013499</w:t>
            </w:r>
          </w:p>
        </w:tc>
        <w:tc>
          <w:tcPr>
            <w:tcW w:w="4535" w:type="dxa"/>
            <w:vAlign w:val="center"/>
          </w:tcPr>
          <w:p>
            <w:pPr>
              <w:pStyle w:val="12"/>
            </w:pPr>
            <w:r>
              <w:t>其他统战事务支出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327.08</w:t>
            </w:r>
          </w:p>
        </w:tc>
        <w:tc>
          <w:tcPr>
            <w:tcW w:w="2551" w:type="dxa"/>
            <w:vAlign w:val="center"/>
          </w:tcPr>
          <w:p>
            <w:pPr>
              <w:pStyle w:val="15"/>
            </w:pPr>
            <w:r>
              <w:t>293.28</w:t>
            </w:r>
          </w:p>
        </w:tc>
        <w:tc>
          <w:tcPr>
            <w:tcW w:w="2551" w:type="dxa"/>
            <w:vAlign w:val="center"/>
          </w:tcPr>
          <w:p>
            <w:pPr>
              <w:pStyle w:val="15"/>
            </w:pPr>
            <w:r>
              <w:t>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245.86</w:t>
            </w:r>
          </w:p>
        </w:tc>
        <w:tc>
          <w:tcPr>
            <w:tcW w:w="2551" w:type="dxa"/>
            <w:vAlign w:val="center"/>
          </w:tcPr>
          <w:p>
            <w:pPr>
              <w:pStyle w:val="11"/>
            </w:pPr>
            <w:r>
              <w:t>245.86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93.25</w:t>
            </w:r>
          </w:p>
        </w:tc>
        <w:tc>
          <w:tcPr>
            <w:tcW w:w="2551" w:type="dxa"/>
            <w:vAlign w:val="center"/>
          </w:tcPr>
          <w:p>
            <w:pPr>
              <w:pStyle w:val="11"/>
            </w:pPr>
            <w:r>
              <w:t>93.25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33.29</w:t>
            </w:r>
          </w:p>
        </w:tc>
        <w:tc>
          <w:tcPr>
            <w:tcW w:w="2551" w:type="dxa"/>
            <w:vAlign w:val="center"/>
          </w:tcPr>
          <w:p>
            <w:pPr>
              <w:pStyle w:val="11"/>
            </w:pPr>
            <w:r>
              <w:t>33.29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26.04</w:t>
            </w:r>
          </w:p>
        </w:tc>
        <w:tc>
          <w:tcPr>
            <w:tcW w:w="2551" w:type="dxa"/>
            <w:vAlign w:val="center"/>
          </w:tcPr>
          <w:p>
            <w:pPr>
              <w:pStyle w:val="11"/>
            </w:pPr>
            <w:r>
              <w:t>26.04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30.14</w:t>
            </w:r>
          </w:p>
        </w:tc>
        <w:tc>
          <w:tcPr>
            <w:tcW w:w="2551" w:type="dxa"/>
            <w:vAlign w:val="center"/>
          </w:tcPr>
          <w:p>
            <w:pPr>
              <w:pStyle w:val="11"/>
            </w:pPr>
            <w:r>
              <w:t>30.14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10.45</w:t>
            </w:r>
          </w:p>
        </w:tc>
        <w:tc>
          <w:tcPr>
            <w:tcW w:w="2551" w:type="dxa"/>
            <w:vAlign w:val="center"/>
          </w:tcPr>
          <w:p>
            <w:pPr>
              <w:pStyle w:val="11"/>
            </w:pPr>
            <w:r>
              <w:t>10.45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5.31</w:t>
            </w:r>
          </w:p>
        </w:tc>
        <w:tc>
          <w:tcPr>
            <w:tcW w:w="2551" w:type="dxa"/>
            <w:vAlign w:val="center"/>
          </w:tcPr>
          <w:p>
            <w:pPr>
              <w:pStyle w:val="11"/>
            </w:pPr>
            <w:r>
              <w:t>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1.26</w:t>
            </w:r>
          </w:p>
        </w:tc>
        <w:tc>
          <w:tcPr>
            <w:tcW w:w="2551" w:type="dxa"/>
            <w:vAlign w:val="center"/>
          </w:tcPr>
          <w:p>
            <w:pPr>
              <w:pStyle w:val="11"/>
            </w:pPr>
            <w:r>
              <w:t>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20.52</w:t>
            </w:r>
          </w:p>
        </w:tc>
        <w:tc>
          <w:tcPr>
            <w:tcW w:w="2551" w:type="dxa"/>
            <w:vAlign w:val="center"/>
          </w:tcPr>
          <w:p>
            <w:pPr>
              <w:pStyle w:val="11"/>
            </w:pPr>
            <w:r>
              <w:t>20.52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33.80</w:t>
            </w:r>
          </w:p>
        </w:tc>
        <w:tc>
          <w:tcPr>
            <w:tcW w:w="2551" w:type="dxa"/>
            <w:vAlign w:val="center"/>
          </w:tcPr>
          <w:p>
            <w:pPr>
              <w:pStyle w:val="11"/>
            </w:pPr>
          </w:p>
        </w:tc>
        <w:tc>
          <w:tcPr>
            <w:tcW w:w="2551" w:type="dxa"/>
            <w:vAlign w:val="center"/>
          </w:tcPr>
          <w:p>
            <w:pPr>
              <w:pStyle w:val="11"/>
            </w:pPr>
            <w:r>
              <w:t>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7.86</w:t>
            </w:r>
          </w:p>
        </w:tc>
        <w:tc>
          <w:tcPr>
            <w:tcW w:w="2551" w:type="dxa"/>
            <w:vAlign w:val="center"/>
          </w:tcPr>
          <w:p>
            <w:pPr>
              <w:pStyle w:val="11"/>
            </w:pPr>
          </w:p>
        </w:tc>
        <w:tc>
          <w:tcPr>
            <w:tcW w:w="2551" w:type="dxa"/>
            <w:vAlign w:val="center"/>
          </w:tcPr>
          <w:p>
            <w:pPr>
              <w:pStyle w:val="11"/>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5.89</w:t>
            </w:r>
          </w:p>
        </w:tc>
        <w:tc>
          <w:tcPr>
            <w:tcW w:w="2551" w:type="dxa"/>
            <w:vAlign w:val="center"/>
          </w:tcPr>
          <w:p>
            <w:pPr>
              <w:pStyle w:val="11"/>
            </w:pPr>
          </w:p>
        </w:tc>
        <w:tc>
          <w:tcPr>
            <w:tcW w:w="2551" w:type="dxa"/>
            <w:vAlign w:val="center"/>
          </w:tcPr>
          <w:p>
            <w:pPr>
              <w:pStyle w:val="11"/>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9.88</w:t>
            </w:r>
          </w:p>
        </w:tc>
        <w:tc>
          <w:tcPr>
            <w:tcW w:w="2551" w:type="dxa"/>
            <w:vAlign w:val="center"/>
          </w:tcPr>
          <w:p>
            <w:pPr>
              <w:pStyle w:val="11"/>
            </w:pPr>
          </w:p>
        </w:tc>
        <w:tc>
          <w:tcPr>
            <w:tcW w:w="2551" w:type="dxa"/>
            <w:vAlign w:val="center"/>
          </w:tcPr>
          <w:p>
            <w:pPr>
              <w:pStyle w:val="11"/>
            </w:pPr>
            <w:r>
              <w:t>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5.34</w:t>
            </w:r>
          </w:p>
        </w:tc>
        <w:tc>
          <w:tcPr>
            <w:tcW w:w="2551" w:type="dxa"/>
            <w:vAlign w:val="center"/>
          </w:tcPr>
          <w:p>
            <w:pPr>
              <w:pStyle w:val="11"/>
            </w:pPr>
          </w:p>
        </w:tc>
        <w:tc>
          <w:tcPr>
            <w:tcW w:w="2551" w:type="dxa"/>
            <w:vAlign w:val="center"/>
          </w:tcPr>
          <w:p>
            <w:pPr>
              <w:pStyle w:val="11"/>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47.42</w:t>
            </w:r>
          </w:p>
        </w:tc>
        <w:tc>
          <w:tcPr>
            <w:tcW w:w="2551" w:type="dxa"/>
            <w:vAlign w:val="center"/>
          </w:tcPr>
          <w:p>
            <w:pPr>
              <w:pStyle w:val="11"/>
            </w:pPr>
            <w:r>
              <w:t>47.42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45.30</w:t>
            </w:r>
          </w:p>
        </w:tc>
        <w:tc>
          <w:tcPr>
            <w:tcW w:w="2551" w:type="dxa"/>
            <w:vAlign w:val="center"/>
          </w:tcPr>
          <w:p>
            <w:pPr>
              <w:pStyle w:val="11"/>
            </w:pPr>
            <w:r>
              <w:t>45.30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中国共产党晋州市委员会统战部本级2026年单位预算信息公开情况说明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按照《中华人民共和国预算法》、《地方预决算公开操作规程》和《关于进一步推进预算公开工作的实施意见》规定，现将中国共产党晋州市委员会统战部本级2026年单位预算公开如下：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全面贯彻党的二十大精神，坚持以习近平新时代中国特色社会主义思想为统领，牢牢把握稳中求进工作总基调，扎实推进市委市政府工作部署落地落实，努力做好统一战线工作，民族团结进步宣传工作和少数民族服务工作。</w:t>
      </w:r>
    </w:p>
    <w:p>
      <w:pPr>
        <w:pStyle w:val="17"/>
      </w:pPr>
      <w:r>
        <w:t>（1）维护民族宗教领域安全稳定，加强与党外代表人士联系，及时通报情况，反应他们的意见和建议，在提高与党外合作共事能力上有新突破。</w:t>
      </w:r>
    </w:p>
    <w:p>
      <w:pPr>
        <w:pStyle w:val="17"/>
      </w:pPr>
      <w:r>
        <w:t>（</w:t>
      </w:r>
      <w:r>
        <w:rPr>
          <w:rFonts w:hint="eastAsia"/>
          <w:lang w:val="en-US" w:eastAsia="zh-CN"/>
        </w:rPr>
        <w:t>2</w:t>
      </w:r>
      <w:r>
        <w:t>）加大抵御境外渗透和依法管理力度，搞好调查研究、协调检查有关民族和宗教工作的重大方针、政策问题；联系少数有关民族和宗教界代表人物；积极引导宗教与社会主义社会相适应，为构建和谐社会作出贡献。</w:t>
      </w:r>
    </w:p>
    <w:p>
      <w:pPr>
        <w:pStyle w:val="17"/>
      </w:pPr>
      <w:r>
        <w:t>（3）做好党外人士的政治安排；会同有关部门做好培养、考察、选拔、推荐、安排党外人士担任政府和司法机关领导职务的工作；做好党外后备干部和新的代表人物队伍的建设工作。</w:t>
      </w:r>
    </w:p>
    <w:p>
      <w:pPr>
        <w:pStyle w:val="17"/>
      </w:pPr>
      <w:r>
        <w:t>（4）团结、帮助、引导、教育非公有制经济代表人士，积极投身全市经济建设和社会光彩事业。</w:t>
      </w:r>
    </w:p>
    <w:p>
      <w:pPr>
        <w:pStyle w:val="17"/>
      </w:pPr>
      <w:r>
        <w:t>（5）突出联络联谊。发挥统战优势，拓宽交流领域，加强与各阶层代表人士的联络交往，采取“走出去、请进来”方法，扩大对外交流和合，加大对我市的宣传推介力度。</w:t>
      </w:r>
    </w:p>
    <w:p>
      <w:pPr>
        <w:pStyle w:val="17"/>
      </w:pPr>
      <w:r>
        <w:t>（6）加强民族宗教三支队伍建设。加强对宗教教职人员的教育引导，加大对族宗教干部和宗教界人士的教育培训。进一步完善宗教工作网络监管机制。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中国共产党晋州市委员会统战部本级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383.78万元，其中：一般公共预算收入383.78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晋州市委员会统战部本级年度单位预算中支出预算的总体情况。2026年支出预算383.78万元，其中基本支出327.08万元，包括人员经费293.28万元和日常公用经费33.80万元；项目支出56.70万元，主要为宗教工作专项经费、爱国神职人员生活补助经费、冀财行[2025]99号提前下达2026年省级基层宗教事务管理补助经费、新联会活动经费、报刊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383.78万元，较2025年预算增加29.80万元，其中：基本支出增加24.80万元，主要为新录用了公务员。项目支出增加5.00万元，主要为省级基层宗教事务管理补助经费提高。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2026年，我单位机关运行经费共计安排33.80万元，主要用于日常维修、办公用房水电费、办公用房取暖费、办公用房物业管理费等日常运行支出。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压减公车运维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1、爱国神职人员生活补助经费绩效目标表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13018326P00032810405H</w:t>
            </w:r>
          </w:p>
        </w:tc>
        <w:tc>
          <w:tcPr>
            <w:tcW w:w="2835" w:type="dxa"/>
            <w:vAlign w:val="center"/>
          </w:tcPr>
          <w:p>
            <w:pPr>
              <w:pStyle w:val="10"/>
            </w:pPr>
            <w:r>
              <w:t>项目名称</w:t>
            </w:r>
          </w:p>
        </w:tc>
        <w:tc>
          <w:tcPr>
            <w:tcW w:w="6095" w:type="dxa"/>
            <w:gridSpan w:val="3"/>
            <w:vAlign w:val="center"/>
          </w:tcPr>
          <w:p>
            <w:pPr>
              <w:pStyle w:val="12"/>
            </w:pPr>
            <w:r>
              <w:t>爱国神职人员生活补助经费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用于保障爱国神职人员生活补助，支持其开展爱国爱教工作。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1.加大补助力度，助力基层宗教事务和谐稳定。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帮扶困难教职人员覆盖率</w:t>
            </w:r>
          </w:p>
        </w:tc>
        <w:tc>
          <w:tcPr>
            <w:tcW w:w="5386" w:type="dxa"/>
            <w:vAlign w:val="center"/>
          </w:tcPr>
          <w:p>
            <w:pPr>
              <w:pStyle w:val="12"/>
            </w:pPr>
            <w:r>
              <w:t>帮扶困难教职人员覆盖率</w:t>
            </w:r>
          </w:p>
        </w:tc>
        <w:tc>
          <w:tcPr>
            <w:tcW w:w="2268" w:type="dxa"/>
            <w:vAlign w:val="center"/>
          </w:tcPr>
          <w:p>
            <w:pPr>
              <w:pStyle w:val="12"/>
            </w:pPr>
            <w:r>
              <w:t>≥90%</w:t>
            </w:r>
          </w:p>
        </w:tc>
        <w:tc>
          <w:tcPr>
            <w:tcW w:w="1276" w:type="dxa"/>
            <w:vAlign w:val="center"/>
          </w:tcPr>
          <w:p>
            <w:pPr>
              <w:pStyle w:val="12"/>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组织宣传帮扶工作标准</w:t>
            </w:r>
          </w:p>
        </w:tc>
        <w:tc>
          <w:tcPr>
            <w:tcW w:w="5386" w:type="dxa"/>
            <w:vAlign w:val="center"/>
          </w:tcPr>
          <w:p>
            <w:pPr>
              <w:pStyle w:val="12"/>
            </w:pPr>
            <w:r>
              <w:t>困难教职人员帮扶工作达到标准</w:t>
            </w:r>
          </w:p>
        </w:tc>
        <w:tc>
          <w:tcPr>
            <w:tcW w:w="2268" w:type="dxa"/>
            <w:vAlign w:val="center"/>
          </w:tcPr>
          <w:p>
            <w:pPr>
              <w:pStyle w:val="12"/>
            </w:pPr>
            <w:r>
              <w:t>≥90%</w:t>
            </w:r>
          </w:p>
        </w:tc>
        <w:tc>
          <w:tcPr>
            <w:tcW w:w="1276" w:type="dxa"/>
            <w:vAlign w:val="center"/>
          </w:tcPr>
          <w:p>
            <w:pPr>
              <w:pStyle w:val="12"/>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帮扶工作及时率</w:t>
            </w:r>
          </w:p>
        </w:tc>
        <w:tc>
          <w:tcPr>
            <w:tcW w:w="5386" w:type="dxa"/>
            <w:vAlign w:val="center"/>
          </w:tcPr>
          <w:p>
            <w:pPr>
              <w:pStyle w:val="12"/>
            </w:pPr>
            <w:r>
              <w:t>帮扶困难教职人员及时处理率</w:t>
            </w:r>
          </w:p>
        </w:tc>
        <w:tc>
          <w:tcPr>
            <w:tcW w:w="2268" w:type="dxa"/>
            <w:vAlign w:val="center"/>
          </w:tcPr>
          <w:p>
            <w:pPr>
              <w:pStyle w:val="12"/>
            </w:pPr>
            <w:r>
              <w:t>≥90%</w:t>
            </w:r>
          </w:p>
        </w:tc>
        <w:tc>
          <w:tcPr>
            <w:tcW w:w="1276" w:type="dxa"/>
            <w:vAlign w:val="center"/>
          </w:tcPr>
          <w:p>
            <w:pPr>
              <w:pStyle w:val="12"/>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控制预算资金成本</w:t>
            </w:r>
          </w:p>
        </w:tc>
        <w:tc>
          <w:tcPr>
            <w:tcW w:w="5386" w:type="dxa"/>
            <w:vAlign w:val="center"/>
          </w:tcPr>
          <w:p>
            <w:pPr>
              <w:pStyle w:val="12"/>
            </w:pPr>
            <w:r>
              <w:t>帮扶困难教职人员所需资金3万元</w:t>
            </w:r>
          </w:p>
        </w:tc>
        <w:tc>
          <w:tcPr>
            <w:tcW w:w="2268" w:type="dxa"/>
            <w:vAlign w:val="center"/>
          </w:tcPr>
          <w:p>
            <w:pPr>
              <w:pStyle w:val="12"/>
            </w:pPr>
            <w:r>
              <w:t>3万元</w:t>
            </w:r>
          </w:p>
        </w:tc>
        <w:tc>
          <w:tcPr>
            <w:tcW w:w="1276" w:type="dxa"/>
            <w:vAlign w:val="center"/>
          </w:tcPr>
          <w:p>
            <w:pPr>
              <w:pStyle w:val="12"/>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维护宗教领域社会稳定</w:t>
            </w:r>
          </w:p>
        </w:tc>
        <w:tc>
          <w:tcPr>
            <w:tcW w:w="5386" w:type="dxa"/>
            <w:vAlign w:val="center"/>
          </w:tcPr>
          <w:p>
            <w:pPr>
              <w:pStyle w:val="12"/>
            </w:pPr>
            <w:r>
              <w:t>维稳问题解决率</w:t>
            </w:r>
          </w:p>
        </w:tc>
        <w:tc>
          <w:tcPr>
            <w:tcW w:w="2268" w:type="dxa"/>
            <w:vAlign w:val="center"/>
          </w:tcPr>
          <w:p>
            <w:pPr>
              <w:pStyle w:val="12"/>
            </w:pPr>
            <w:r>
              <w:t>≥90%</w:t>
            </w:r>
          </w:p>
        </w:tc>
        <w:tc>
          <w:tcPr>
            <w:tcW w:w="1276" w:type="dxa"/>
            <w:vAlign w:val="center"/>
          </w:tcPr>
          <w:p>
            <w:pPr>
              <w:pStyle w:val="12"/>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宗教教职人员满意度</w:t>
            </w:r>
          </w:p>
        </w:tc>
        <w:tc>
          <w:tcPr>
            <w:tcW w:w="5386" w:type="dxa"/>
            <w:vAlign w:val="center"/>
          </w:tcPr>
          <w:p>
            <w:pPr>
              <w:pStyle w:val="12"/>
            </w:pPr>
            <w:r>
              <w:t>宗教教职人员对帮扶问题满意度</w:t>
            </w:r>
          </w:p>
          <w:p>
            <w:pPr>
              <w:pStyle w:val="12"/>
            </w:pPr>
          </w:p>
        </w:tc>
        <w:tc>
          <w:tcPr>
            <w:tcW w:w="2268" w:type="dxa"/>
            <w:vAlign w:val="center"/>
          </w:tcPr>
          <w:p>
            <w:pPr>
              <w:pStyle w:val="12"/>
            </w:pPr>
            <w:r>
              <w:t>≥90%</w:t>
            </w:r>
          </w:p>
        </w:tc>
        <w:tc>
          <w:tcPr>
            <w:tcW w:w="1276" w:type="dxa"/>
            <w:vAlign w:val="center"/>
          </w:tcPr>
          <w:p>
            <w:pPr>
              <w:pStyle w:val="12"/>
            </w:pPr>
            <w:r>
              <w:t>石统字【2004】55号文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2、报刊征订费绩效目标表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13018326P00032810407Q</w:t>
            </w:r>
          </w:p>
        </w:tc>
        <w:tc>
          <w:tcPr>
            <w:tcW w:w="2835" w:type="dxa"/>
            <w:vAlign w:val="center"/>
          </w:tcPr>
          <w:p>
            <w:pPr>
              <w:pStyle w:val="10"/>
            </w:pPr>
            <w:r>
              <w:t>项目名称</w:t>
            </w:r>
          </w:p>
        </w:tc>
        <w:tc>
          <w:tcPr>
            <w:tcW w:w="6095" w:type="dxa"/>
            <w:gridSpan w:val="3"/>
            <w:vAlign w:val="center"/>
          </w:tcPr>
          <w:p>
            <w:pPr>
              <w:pStyle w:val="12"/>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用于订阅《中国统一战线》等报刊，保障统战政策宣传。</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1.贯彻执行国家对统战工作的方针政策，做好宣传工作。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组织宣传活动覆盖率</w:t>
            </w:r>
          </w:p>
        </w:tc>
        <w:tc>
          <w:tcPr>
            <w:tcW w:w="5386" w:type="dxa"/>
            <w:vAlign w:val="center"/>
          </w:tcPr>
          <w:p>
            <w:pPr>
              <w:pStyle w:val="12"/>
            </w:pPr>
            <w:r>
              <w:t>组织宣传活动覆盖率</w:t>
            </w:r>
          </w:p>
        </w:tc>
        <w:tc>
          <w:tcPr>
            <w:tcW w:w="2268" w:type="dxa"/>
            <w:vAlign w:val="center"/>
          </w:tcPr>
          <w:p>
            <w:pPr>
              <w:pStyle w:val="12"/>
            </w:pPr>
            <w:r>
              <w:t>≥90%</w:t>
            </w:r>
          </w:p>
        </w:tc>
        <w:tc>
          <w:tcPr>
            <w:tcW w:w="1276" w:type="dxa"/>
            <w:vAlign w:val="center"/>
          </w:tcPr>
          <w:p>
            <w:pPr>
              <w:pStyle w:val="12"/>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组织宣传统战信息达标率</w:t>
            </w:r>
          </w:p>
        </w:tc>
        <w:tc>
          <w:tcPr>
            <w:tcW w:w="5386" w:type="dxa"/>
            <w:vAlign w:val="center"/>
          </w:tcPr>
          <w:p>
            <w:pPr>
              <w:pStyle w:val="12"/>
            </w:pPr>
            <w:r>
              <w:t>组织宣传统战工作达到标准</w:t>
            </w:r>
          </w:p>
        </w:tc>
        <w:tc>
          <w:tcPr>
            <w:tcW w:w="2268" w:type="dxa"/>
            <w:vAlign w:val="center"/>
          </w:tcPr>
          <w:p>
            <w:pPr>
              <w:pStyle w:val="12"/>
            </w:pPr>
            <w:r>
              <w:t>≥90%</w:t>
            </w:r>
          </w:p>
        </w:tc>
        <w:tc>
          <w:tcPr>
            <w:tcW w:w="1276" w:type="dxa"/>
            <w:vAlign w:val="center"/>
          </w:tcPr>
          <w:p>
            <w:pPr>
              <w:pStyle w:val="12"/>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报刊征订完成率</w:t>
            </w:r>
          </w:p>
        </w:tc>
        <w:tc>
          <w:tcPr>
            <w:tcW w:w="5386" w:type="dxa"/>
            <w:vAlign w:val="center"/>
          </w:tcPr>
          <w:p>
            <w:pPr>
              <w:pStyle w:val="12"/>
            </w:pPr>
            <w:r>
              <w:t>按照要求和计划完成宣传、报刊订阅任务的比例</w:t>
            </w:r>
          </w:p>
        </w:tc>
        <w:tc>
          <w:tcPr>
            <w:tcW w:w="2268" w:type="dxa"/>
            <w:vAlign w:val="center"/>
          </w:tcPr>
          <w:p>
            <w:pPr>
              <w:pStyle w:val="12"/>
            </w:pPr>
            <w:r>
              <w:t>≥90%</w:t>
            </w:r>
          </w:p>
        </w:tc>
        <w:tc>
          <w:tcPr>
            <w:tcW w:w="1276" w:type="dxa"/>
            <w:vAlign w:val="center"/>
          </w:tcPr>
          <w:p>
            <w:pPr>
              <w:pStyle w:val="12"/>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投入经费数额</w:t>
            </w:r>
          </w:p>
        </w:tc>
        <w:tc>
          <w:tcPr>
            <w:tcW w:w="5386" w:type="dxa"/>
            <w:vAlign w:val="center"/>
          </w:tcPr>
          <w:p>
            <w:pPr>
              <w:pStyle w:val="12"/>
            </w:pPr>
            <w:r>
              <w:t>宣传印发材料所需经费</w:t>
            </w:r>
          </w:p>
        </w:tc>
        <w:tc>
          <w:tcPr>
            <w:tcW w:w="2268" w:type="dxa"/>
            <w:vAlign w:val="center"/>
          </w:tcPr>
          <w:p>
            <w:pPr>
              <w:pStyle w:val="12"/>
            </w:pPr>
            <w:r>
              <w:t>0.7万元</w:t>
            </w:r>
          </w:p>
        </w:tc>
        <w:tc>
          <w:tcPr>
            <w:tcW w:w="1276" w:type="dxa"/>
            <w:vAlign w:val="center"/>
          </w:tcPr>
          <w:p>
            <w:pPr>
              <w:pStyle w:val="12"/>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突发事件新闻处置完成率</w:t>
            </w:r>
          </w:p>
        </w:tc>
        <w:tc>
          <w:tcPr>
            <w:tcW w:w="5386" w:type="dxa"/>
            <w:vAlign w:val="center"/>
          </w:tcPr>
          <w:p>
            <w:pPr>
              <w:pStyle w:val="12"/>
            </w:pPr>
            <w:r>
              <w:t>处置完成突发事件占全部突发事件的比例</w:t>
            </w:r>
          </w:p>
        </w:tc>
        <w:tc>
          <w:tcPr>
            <w:tcW w:w="2268" w:type="dxa"/>
            <w:vAlign w:val="center"/>
          </w:tcPr>
          <w:p>
            <w:pPr>
              <w:pStyle w:val="12"/>
            </w:pPr>
            <w:r>
              <w:t>≥90%</w:t>
            </w:r>
          </w:p>
        </w:tc>
        <w:tc>
          <w:tcPr>
            <w:tcW w:w="1276" w:type="dxa"/>
            <w:vAlign w:val="center"/>
          </w:tcPr>
          <w:p>
            <w:pPr>
              <w:pStyle w:val="12"/>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群众满意度数量占总数的比例</w:t>
            </w:r>
          </w:p>
        </w:tc>
        <w:tc>
          <w:tcPr>
            <w:tcW w:w="2268" w:type="dxa"/>
            <w:vAlign w:val="center"/>
          </w:tcPr>
          <w:p>
            <w:pPr>
              <w:pStyle w:val="12"/>
            </w:pPr>
            <w:r>
              <w:t>≥90%</w:t>
            </w:r>
          </w:p>
        </w:tc>
        <w:tc>
          <w:tcPr>
            <w:tcW w:w="1276" w:type="dxa"/>
            <w:vAlign w:val="center"/>
          </w:tcPr>
          <w:p>
            <w:pPr>
              <w:pStyle w:val="12"/>
            </w:pPr>
            <w:r>
              <w:t>报刊征订费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3、冀财行[2025]99号提前下达2026年省级基层宗教事务管理补助经费绩效目标表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13018326P000321100016</w:t>
            </w:r>
          </w:p>
        </w:tc>
        <w:tc>
          <w:tcPr>
            <w:tcW w:w="2835" w:type="dxa"/>
            <w:vAlign w:val="center"/>
          </w:tcPr>
          <w:p>
            <w:pPr>
              <w:pStyle w:val="10"/>
            </w:pPr>
            <w:r>
              <w:t>项目名称</w:t>
            </w:r>
          </w:p>
        </w:tc>
        <w:tc>
          <w:tcPr>
            <w:tcW w:w="6095" w:type="dxa"/>
            <w:gridSpan w:val="3"/>
            <w:vAlign w:val="center"/>
          </w:tcPr>
          <w:p>
            <w:pPr>
              <w:pStyle w:val="12"/>
            </w:pPr>
            <w:r>
              <w:t>冀财行[2025]99号提前下达2026年省级基层宗教事务管理补助经费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用于宗教场所管理、突发事件处理等基层宗教事务管理工作。</w:t>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1.贯彻落实民族宗教方针政策，协调处理民族宗教工作重大问题。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大型宗教活动场所检查覆盖率</w:t>
            </w:r>
          </w:p>
        </w:tc>
        <w:tc>
          <w:tcPr>
            <w:tcW w:w="5386" w:type="dxa"/>
            <w:vAlign w:val="center"/>
          </w:tcPr>
          <w:p>
            <w:pPr>
              <w:pStyle w:val="12"/>
            </w:pPr>
            <w:r>
              <w:t>组织大型宗教活动场所检查覆盖率</w:t>
            </w:r>
          </w:p>
        </w:tc>
        <w:tc>
          <w:tcPr>
            <w:tcW w:w="2268" w:type="dxa"/>
            <w:vAlign w:val="center"/>
          </w:tcPr>
          <w:p>
            <w:pPr>
              <w:pStyle w:val="12"/>
            </w:pPr>
            <w:r>
              <w:t>≥90%</w:t>
            </w:r>
          </w:p>
        </w:tc>
        <w:tc>
          <w:tcPr>
            <w:tcW w:w="1276" w:type="dxa"/>
            <w:vAlign w:val="center"/>
          </w:tcPr>
          <w:p>
            <w:pPr>
              <w:pStyle w:val="12"/>
            </w:pPr>
            <w:r>
              <w:t>冀财行[2025]99号文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宗教事务管理工作达标率</w:t>
            </w:r>
          </w:p>
        </w:tc>
        <w:tc>
          <w:tcPr>
            <w:tcW w:w="5386" w:type="dxa"/>
            <w:vAlign w:val="center"/>
          </w:tcPr>
          <w:p>
            <w:pPr>
              <w:pStyle w:val="12"/>
            </w:pPr>
            <w:r>
              <w:t>宗教事务管理工作达到标准</w:t>
            </w:r>
          </w:p>
        </w:tc>
        <w:tc>
          <w:tcPr>
            <w:tcW w:w="2268" w:type="dxa"/>
            <w:vAlign w:val="center"/>
          </w:tcPr>
          <w:p>
            <w:pPr>
              <w:pStyle w:val="12"/>
            </w:pPr>
            <w:r>
              <w:t>≥90%</w:t>
            </w:r>
          </w:p>
        </w:tc>
        <w:tc>
          <w:tcPr>
            <w:tcW w:w="1276" w:type="dxa"/>
            <w:vAlign w:val="center"/>
          </w:tcPr>
          <w:p>
            <w:pPr>
              <w:pStyle w:val="12"/>
            </w:pPr>
            <w:r>
              <w:t>冀财行[2025]99号文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宗教工作问题处理及时率</w:t>
            </w:r>
          </w:p>
        </w:tc>
        <w:tc>
          <w:tcPr>
            <w:tcW w:w="5386" w:type="dxa"/>
            <w:vAlign w:val="center"/>
          </w:tcPr>
          <w:p>
            <w:pPr>
              <w:pStyle w:val="12"/>
            </w:pPr>
            <w:r>
              <w:t>突发问题及时处理率</w:t>
            </w:r>
          </w:p>
        </w:tc>
        <w:tc>
          <w:tcPr>
            <w:tcW w:w="2268" w:type="dxa"/>
            <w:vAlign w:val="center"/>
          </w:tcPr>
          <w:p>
            <w:pPr>
              <w:pStyle w:val="12"/>
            </w:pPr>
            <w:r>
              <w:t>≥90%</w:t>
            </w:r>
          </w:p>
        </w:tc>
        <w:tc>
          <w:tcPr>
            <w:tcW w:w="1276" w:type="dxa"/>
            <w:vAlign w:val="center"/>
          </w:tcPr>
          <w:p>
            <w:pPr>
              <w:pStyle w:val="12"/>
            </w:pPr>
            <w:r>
              <w:t>冀财行[2025]99号文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资金使用数额</w:t>
            </w:r>
          </w:p>
        </w:tc>
        <w:tc>
          <w:tcPr>
            <w:tcW w:w="5386" w:type="dxa"/>
            <w:vAlign w:val="center"/>
          </w:tcPr>
          <w:p>
            <w:pPr>
              <w:pStyle w:val="12"/>
            </w:pPr>
            <w:r>
              <w:t>维护宗教稳定所需资金</w:t>
            </w:r>
          </w:p>
        </w:tc>
        <w:tc>
          <w:tcPr>
            <w:tcW w:w="2268" w:type="dxa"/>
            <w:vAlign w:val="center"/>
          </w:tcPr>
          <w:p>
            <w:pPr>
              <w:pStyle w:val="12"/>
            </w:pPr>
            <w:r>
              <w:t>30万元</w:t>
            </w:r>
          </w:p>
        </w:tc>
        <w:tc>
          <w:tcPr>
            <w:tcW w:w="1276" w:type="dxa"/>
            <w:vAlign w:val="center"/>
          </w:tcPr>
          <w:p>
            <w:pPr>
              <w:pStyle w:val="12"/>
            </w:pPr>
            <w:r>
              <w:t>冀财行[2025]99号文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维稳问题解决率</w:t>
            </w:r>
          </w:p>
        </w:tc>
        <w:tc>
          <w:tcPr>
            <w:tcW w:w="5386" w:type="dxa"/>
            <w:vAlign w:val="center"/>
          </w:tcPr>
          <w:p>
            <w:pPr>
              <w:pStyle w:val="12"/>
            </w:pPr>
            <w:r>
              <w:t>宗教教职人员维稳问题解决的比例</w:t>
            </w:r>
          </w:p>
        </w:tc>
        <w:tc>
          <w:tcPr>
            <w:tcW w:w="2268" w:type="dxa"/>
            <w:vAlign w:val="center"/>
          </w:tcPr>
          <w:p>
            <w:pPr>
              <w:pStyle w:val="12"/>
            </w:pPr>
            <w:r>
              <w:t>≥90%</w:t>
            </w:r>
          </w:p>
        </w:tc>
        <w:tc>
          <w:tcPr>
            <w:tcW w:w="1276" w:type="dxa"/>
            <w:vAlign w:val="center"/>
          </w:tcPr>
          <w:p>
            <w:pPr>
              <w:pStyle w:val="12"/>
            </w:pPr>
            <w:r>
              <w:t>冀财行[2025]99号文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宗教教职人员满意度</w:t>
            </w:r>
          </w:p>
        </w:tc>
        <w:tc>
          <w:tcPr>
            <w:tcW w:w="5386" w:type="dxa"/>
            <w:vAlign w:val="center"/>
          </w:tcPr>
          <w:p>
            <w:pPr>
              <w:pStyle w:val="12"/>
            </w:pPr>
            <w:r>
              <w:t>宗教教职人员对帮扶问题的满意程度</w:t>
            </w:r>
          </w:p>
        </w:tc>
        <w:tc>
          <w:tcPr>
            <w:tcW w:w="2268" w:type="dxa"/>
            <w:vAlign w:val="center"/>
          </w:tcPr>
          <w:p>
            <w:pPr>
              <w:pStyle w:val="12"/>
            </w:pPr>
            <w:r>
              <w:t>≥90%</w:t>
            </w:r>
          </w:p>
        </w:tc>
        <w:tc>
          <w:tcPr>
            <w:tcW w:w="1276" w:type="dxa"/>
            <w:vAlign w:val="center"/>
          </w:tcPr>
          <w:p>
            <w:pPr>
              <w:pStyle w:val="12"/>
            </w:pPr>
            <w:r>
              <w:t>冀财行[2025]99号文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4、新联会活动经费绩效目标表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13018326P00032810410B</w:t>
            </w:r>
          </w:p>
        </w:tc>
        <w:tc>
          <w:tcPr>
            <w:tcW w:w="2835" w:type="dxa"/>
            <w:vAlign w:val="center"/>
          </w:tcPr>
          <w:p>
            <w:pPr>
              <w:pStyle w:val="10"/>
            </w:pPr>
            <w:r>
              <w:t>项目名称</w:t>
            </w:r>
          </w:p>
        </w:tc>
        <w:tc>
          <w:tcPr>
            <w:tcW w:w="6095" w:type="dxa"/>
            <w:gridSpan w:val="3"/>
            <w:vAlign w:val="center"/>
          </w:tcPr>
          <w:p>
            <w:pPr>
              <w:pStyle w:val="12"/>
            </w:pPr>
            <w:r>
              <w:t>新联会活动经费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组织新联会成员、党外人士开展联谊活动、慰问走访、举办侨法宣传等。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1.贯彻落实上级有关精神，加强我市新的社会阶层人士统战工作，确保新的社会阶层人士统战工作发挥作用。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按期完成工作量</w:t>
            </w:r>
          </w:p>
        </w:tc>
        <w:tc>
          <w:tcPr>
            <w:tcW w:w="5386" w:type="dxa"/>
            <w:vAlign w:val="center"/>
          </w:tcPr>
          <w:p>
            <w:pPr>
              <w:pStyle w:val="12"/>
            </w:pPr>
            <w:r>
              <w:t>按期完成工作量占全部工作量的比例</w:t>
            </w:r>
          </w:p>
        </w:tc>
        <w:tc>
          <w:tcPr>
            <w:tcW w:w="2268" w:type="dxa"/>
            <w:vAlign w:val="center"/>
          </w:tcPr>
          <w:p>
            <w:pPr>
              <w:pStyle w:val="12"/>
            </w:pPr>
            <w:r>
              <w:t>≥96%</w:t>
            </w:r>
          </w:p>
        </w:tc>
        <w:tc>
          <w:tcPr>
            <w:tcW w:w="1276" w:type="dxa"/>
            <w:vAlign w:val="center"/>
          </w:tcPr>
          <w:p>
            <w:pPr>
              <w:pStyle w:val="12"/>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工作落实到位率</w:t>
            </w:r>
          </w:p>
        </w:tc>
        <w:tc>
          <w:tcPr>
            <w:tcW w:w="5386" w:type="dxa"/>
            <w:vAlign w:val="center"/>
          </w:tcPr>
          <w:p>
            <w:pPr>
              <w:pStyle w:val="12"/>
            </w:pPr>
            <w:r>
              <w:t>反映工作落实到位率</w:t>
            </w:r>
          </w:p>
        </w:tc>
        <w:tc>
          <w:tcPr>
            <w:tcW w:w="2268" w:type="dxa"/>
            <w:vAlign w:val="center"/>
          </w:tcPr>
          <w:p>
            <w:pPr>
              <w:pStyle w:val="12"/>
            </w:pPr>
            <w:r>
              <w:t>≥96%</w:t>
            </w:r>
          </w:p>
        </w:tc>
        <w:tc>
          <w:tcPr>
            <w:tcW w:w="1276" w:type="dxa"/>
            <w:vAlign w:val="center"/>
          </w:tcPr>
          <w:p>
            <w:pPr>
              <w:pStyle w:val="12"/>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活动完成及时程度</w:t>
            </w:r>
          </w:p>
        </w:tc>
        <w:tc>
          <w:tcPr>
            <w:tcW w:w="5386" w:type="dxa"/>
            <w:vAlign w:val="center"/>
          </w:tcPr>
          <w:p>
            <w:pPr>
              <w:pStyle w:val="12"/>
            </w:pPr>
            <w:r>
              <w:t>反映活动完成及时程度</w:t>
            </w:r>
          </w:p>
        </w:tc>
        <w:tc>
          <w:tcPr>
            <w:tcW w:w="2268" w:type="dxa"/>
            <w:vAlign w:val="center"/>
          </w:tcPr>
          <w:p>
            <w:pPr>
              <w:pStyle w:val="12"/>
            </w:pPr>
            <w:r>
              <w:t>≥96%</w:t>
            </w:r>
          </w:p>
        </w:tc>
        <w:tc>
          <w:tcPr>
            <w:tcW w:w="1276" w:type="dxa"/>
            <w:vAlign w:val="center"/>
          </w:tcPr>
          <w:p>
            <w:pPr>
              <w:pStyle w:val="12"/>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新联会活动所需经费</w:t>
            </w:r>
          </w:p>
          <w:p>
            <w:pPr>
              <w:pStyle w:val="12"/>
            </w:pPr>
          </w:p>
        </w:tc>
        <w:tc>
          <w:tcPr>
            <w:tcW w:w="2268" w:type="dxa"/>
            <w:vAlign w:val="center"/>
          </w:tcPr>
          <w:p>
            <w:pPr>
              <w:pStyle w:val="12"/>
            </w:pPr>
            <w:r>
              <w:t>5万元</w:t>
            </w:r>
          </w:p>
        </w:tc>
        <w:tc>
          <w:tcPr>
            <w:tcW w:w="1276" w:type="dxa"/>
            <w:vAlign w:val="center"/>
          </w:tcPr>
          <w:p>
            <w:pPr>
              <w:pStyle w:val="12"/>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有效促进各民</w:t>
            </w:r>
            <w:r>
              <w:rPr>
                <w:rFonts w:hint="eastAsia"/>
                <w:lang w:val="en-US" w:eastAsia="zh-CN"/>
              </w:rPr>
              <w:t>主</w:t>
            </w:r>
            <w:r>
              <w:t>党派和谐稳定</w:t>
            </w:r>
          </w:p>
        </w:tc>
        <w:tc>
          <w:tcPr>
            <w:tcW w:w="5386" w:type="dxa"/>
            <w:vAlign w:val="center"/>
          </w:tcPr>
          <w:p>
            <w:pPr>
              <w:pStyle w:val="12"/>
            </w:pPr>
            <w:r>
              <w:t>团结各民</w:t>
            </w:r>
            <w:r>
              <w:rPr>
                <w:rFonts w:hint="eastAsia"/>
                <w:lang w:val="en-US" w:eastAsia="zh-CN"/>
              </w:rPr>
              <w:t>主</w:t>
            </w:r>
            <w:r>
              <w:t>党派</w:t>
            </w:r>
          </w:p>
        </w:tc>
        <w:tc>
          <w:tcPr>
            <w:tcW w:w="2268" w:type="dxa"/>
            <w:vAlign w:val="center"/>
          </w:tcPr>
          <w:p>
            <w:pPr>
              <w:pStyle w:val="12"/>
            </w:pPr>
            <w:r>
              <w:t>≥96%</w:t>
            </w:r>
          </w:p>
        </w:tc>
        <w:tc>
          <w:tcPr>
            <w:tcW w:w="1276" w:type="dxa"/>
            <w:vAlign w:val="center"/>
          </w:tcPr>
          <w:p>
            <w:pPr>
              <w:pStyle w:val="12"/>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新的社会阶层人士满意度</w:t>
            </w:r>
          </w:p>
        </w:tc>
        <w:tc>
          <w:tcPr>
            <w:tcW w:w="5386" w:type="dxa"/>
            <w:vAlign w:val="center"/>
          </w:tcPr>
          <w:p>
            <w:pPr>
              <w:pStyle w:val="12"/>
            </w:pPr>
            <w:r>
              <w:t>新的社会阶层人士满意度</w:t>
            </w:r>
          </w:p>
        </w:tc>
        <w:tc>
          <w:tcPr>
            <w:tcW w:w="2268" w:type="dxa"/>
            <w:vAlign w:val="center"/>
          </w:tcPr>
          <w:p>
            <w:pPr>
              <w:pStyle w:val="12"/>
            </w:pPr>
            <w:r>
              <w:t>≥96%</w:t>
            </w:r>
          </w:p>
        </w:tc>
        <w:tc>
          <w:tcPr>
            <w:tcW w:w="1276" w:type="dxa"/>
            <w:vAlign w:val="center"/>
          </w:tcPr>
          <w:p>
            <w:pPr>
              <w:pStyle w:val="12"/>
            </w:pPr>
            <w:r>
              <w:t>新联会活动经费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5、宗教工作专项经费绩效目标表</w:t>
      </w:r>
      <w:bookmarkStart w:id="1" w:name="_GoBack"/>
      <w:bookmarkEnd w:id="1"/>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13018326P000328104013</w:t>
            </w:r>
          </w:p>
        </w:tc>
        <w:tc>
          <w:tcPr>
            <w:tcW w:w="2835" w:type="dxa"/>
            <w:vAlign w:val="center"/>
          </w:tcPr>
          <w:p>
            <w:pPr>
              <w:pStyle w:val="10"/>
            </w:pPr>
            <w:r>
              <w:t>项目名称</w:t>
            </w:r>
          </w:p>
        </w:tc>
        <w:tc>
          <w:tcPr>
            <w:tcW w:w="6095" w:type="dxa"/>
            <w:gridSpan w:val="3"/>
            <w:vAlign w:val="center"/>
          </w:tcPr>
          <w:p>
            <w:pPr>
              <w:pStyle w:val="12"/>
            </w:pPr>
            <w:r>
              <w:t>宗教工作专项经费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用于宗教场所管理、政策宣传、突发事件处理等基层宗教事务管理工作。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1.贯彻落实民族宗教方针政策，协调处理民族宗教重大问题。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大型宗教活动场所检查覆盖率</w:t>
            </w:r>
          </w:p>
        </w:tc>
        <w:tc>
          <w:tcPr>
            <w:tcW w:w="5386" w:type="dxa"/>
            <w:vAlign w:val="center"/>
          </w:tcPr>
          <w:p>
            <w:pPr>
              <w:pStyle w:val="12"/>
            </w:pPr>
            <w:r>
              <w:t>组织大型宗教活动场所检查覆盖率</w:t>
            </w:r>
          </w:p>
        </w:tc>
        <w:tc>
          <w:tcPr>
            <w:tcW w:w="2268" w:type="dxa"/>
            <w:vAlign w:val="center"/>
          </w:tcPr>
          <w:p>
            <w:pPr>
              <w:pStyle w:val="12"/>
            </w:pPr>
            <w:r>
              <w:t>≥90%</w:t>
            </w:r>
          </w:p>
        </w:tc>
        <w:tc>
          <w:tcPr>
            <w:tcW w:w="1276" w:type="dxa"/>
            <w:vAlign w:val="center"/>
          </w:tcPr>
          <w:p>
            <w:pPr>
              <w:pStyle w:val="12"/>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宗教事务管理工作达标率</w:t>
            </w:r>
          </w:p>
        </w:tc>
        <w:tc>
          <w:tcPr>
            <w:tcW w:w="5386" w:type="dxa"/>
            <w:vAlign w:val="center"/>
          </w:tcPr>
          <w:p>
            <w:pPr>
              <w:pStyle w:val="12"/>
            </w:pPr>
            <w:r>
              <w:t>宗教事务管理工作达到标准</w:t>
            </w:r>
          </w:p>
        </w:tc>
        <w:tc>
          <w:tcPr>
            <w:tcW w:w="2268" w:type="dxa"/>
            <w:vAlign w:val="center"/>
          </w:tcPr>
          <w:p>
            <w:pPr>
              <w:pStyle w:val="12"/>
            </w:pPr>
            <w:r>
              <w:t>≥90%</w:t>
            </w:r>
          </w:p>
        </w:tc>
        <w:tc>
          <w:tcPr>
            <w:tcW w:w="1276" w:type="dxa"/>
            <w:vAlign w:val="center"/>
          </w:tcPr>
          <w:p>
            <w:pPr>
              <w:pStyle w:val="12"/>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宗教工作问题处理及时率</w:t>
            </w:r>
          </w:p>
        </w:tc>
        <w:tc>
          <w:tcPr>
            <w:tcW w:w="5386" w:type="dxa"/>
            <w:vAlign w:val="center"/>
          </w:tcPr>
          <w:p>
            <w:pPr>
              <w:pStyle w:val="12"/>
            </w:pPr>
            <w:r>
              <w:t>突发问题及时处理率</w:t>
            </w:r>
          </w:p>
        </w:tc>
        <w:tc>
          <w:tcPr>
            <w:tcW w:w="2268" w:type="dxa"/>
            <w:vAlign w:val="center"/>
          </w:tcPr>
          <w:p>
            <w:pPr>
              <w:pStyle w:val="12"/>
            </w:pPr>
            <w:r>
              <w:t>≥90%</w:t>
            </w:r>
          </w:p>
        </w:tc>
        <w:tc>
          <w:tcPr>
            <w:tcW w:w="1276" w:type="dxa"/>
            <w:vAlign w:val="center"/>
          </w:tcPr>
          <w:p>
            <w:pPr>
              <w:pStyle w:val="12"/>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资金使用数额</w:t>
            </w:r>
          </w:p>
        </w:tc>
        <w:tc>
          <w:tcPr>
            <w:tcW w:w="5386" w:type="dxa"/>
            <w:vAlign w:val="center"/>
          </w:tcPr>
          <w:p>
            <w:pPr>
              <w:pStyle w:val="12"/>
            </w:pPr>
            <w:r>
              <w:t>维护宗教稳定所需资金</w:t>
            </w:r>
          </w:p>
        </w:tc>
        <w:tc>
          <w:tcPr>
            <w:tcW w:w="2268" w:type="dxa"/>
            <w:vAlign w:val="center"/>
          </w:tcPr>
          <w:p>
            <w:pPr>
              <w:pStyle w:val="12"/>
            </w:pPr>
            <w:r>
              <w:t>18万元</w:t>
            </w:r>
          </w:p>
        </w:tc>
        <w:tc>
          <w:tcPr>
            <w:tcW w:w="1276" w:type="dxa"/>
            <w:vAlign w:val="center"/>
          </w:tcPr>
          <w:p>
            <w:pPr>
              <w:pStyle w:val="12"/>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维稳问题解决率</w:t>
            </w:r>
          </w:p>
        </w:tc>
        <w:tc>
          <w:tcPr>
            <w:tcW w:w="5386" w:type="dxa"/>
            <w:vAlign w:val="center"/>
          </w:tcPr>
          <w:p>
            <w:pPr>
              <w:pStyle w:val="12"/>
            </w:pPr>
            <w:r>
              <w:t>宗教教职人员维稳问题解决的比例</w:t>
            </w:r>
          </w:p>
        </w:tc>
        <w:tc>
          <w:tcPr>
            <w:tcW w:w="2268" w:type="dxa"/>
            <w:vAlign w:val="center"/>
          </w:tcPr>
          <w:p>
            <w:pPr>
              <w:pStyle w:val="12"/>
            </w:pPr>
            <w:r>
              <w:t>≥90%</w:t>
            </w:r>
          </w:p>
        </w:tc>
        <w:tc>
          <w:tcPr>
            <w:tcW w:w="1276" w:type="dxa"/>
            <w:vAlign w:val="center"/>
          </w:tcPr>
          <w:p>
            <w:pPr>
              <w:pStyle w:val="12"/>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宗教教职人员满意度</w:t>
            </w:r>
          </w:p>
        </w:tc>
        <w:tc>
          <w:tcPr>
            <w:tcW w:w="5386" w:type="dxa"/>
            <w:vAlign w:val="center"/>
          </w:tcPr>
          <w:p>
            <w:pPr>
              <w:pStyle w:val="12"/>
            </w:pPr>
            <w:r>
              <w:t>宗教教职人员对帮扶问题的满意程度</w:t>
            </w:r>
          </w:p>
        </w:tc>
        <w:tc>
          <w:tcPr>
            <w:tcW w:w="2268" w:type="dxa"/>
            <w:vAlign w:val="center"/>
          </w:tcPr>
          <w:p>
            <w:pPr>
              <w:pStyle w:val="12"/>
            </w:pPr>
            <w:r>
              <w:t>≥90%</w:t>
            </w:r>
          </w:p>
        </w:tc>
        <w:tc>
          <w:tcPr>
            <w:tcW w:w="1276" w:type="dxa"/>
            <w:vAlign w:val="center"/>
          </w:tcPr>
          <w:p>
            <w:pPr>
              <w:pStyle w:val="12"/>
            </w:pPr>
            <w:r>
              <w:t>石办发【2007】8号文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中国共产党晋州市委员会统战部本级小计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7.86</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宗教工作专项经费</w:t>
            </w:r>
          </w:p>
        </w:tc>
        <w:tc>
          <w:tcPr>
            <w:tcW w:w="964" w:type="dxa"/>
            <w:vAlign w:val="center"/>
          </w:tcPr>
          <w:p>
            <w:pPr>
              <w:pStyle w:val="11"/>
            </w:pPr>
            <w:r>
              <w:t>18.00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中国共产党晋州市委员会统战部本级上年末固定资产金额为46.38万元（详见下表）。本年度拟购置固定资产总额为1.50万元，已按要求列入政府采购预算，详见政府采购预算表。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213001中国共产党晋州市委员会统战部本级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112</w:t>
            </w:r>
          </w:p>
        </w:tc>
        <w:tc>
          <w:tcPr>
            <w:tcW w:w="2835" w:type="dxa"/>
            <w:vAlign w:val="center"/>
          </w:tcPr>
          <w:p>
            <w:pPr>
              <w:pStyle w:val="11"/>
            </w:pPr>
            <w:r>
              <w:t>28.40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104A84"/>
    <w:rsid w:val="0DDD677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2026-03-02T14:11:00Z</dcterms:created>
  <dc:creator>Administrator</dc:creator>
  <cp:lastModifiedBy>Administrator</cp:lastModifiedBy>
  <dcterms:modified xsi:type="dcterms:W3CDTF">2026-03-06T08:42:44Z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