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一、晋州市政府投资项目代建中心收支预算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一、晋州市政府投资项目代建中心收支预算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197.49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197.49</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6181.17</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197.49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6378.66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6181.17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6378.66</w:t>
            </w:r>
          </w:p>
        </w:tc>
        <w:tc>
          <w:tcPr>
            <w:tcW w:w="4535" w:type="dxa"/>
            <w:vAlign w:val="center"/>
          </w:tcPr>
          <w:p>
            <w:pPr>
              <w:pStyle w:val="单元格样式6"/>
            </w:pPr>
            <w:r>
              <w:t xml:space="preserve">支出总计</w:t>
            </w:r>
          </w:p>
        </w:tc>
        <w:tc>
          <w:tcPr>
            <w:tcW w:w="2126" w:type="dxa"/>
            <w:vAlign w:val="center"/>
          </w:tcPr>
          <w:p>
            <w:pPr>
              <w:pStyle w:val="单元格样式7"/>
            </w:pPr>
            <w:r>
              <w:t xml:space="preserve">6378.66</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6378.66</w:t>
            </w:r>
          </w:p>
        </w:tc>
        <w:tc>
          <w:tcPr>
            <w:tcW w:w="1134" w:type="dxa"/>
            <w:vAlign w:val="center"/>
          </w:tcPr>
          <w:p>
            <w:pPr>
              <w:pStyle w:val="单元格样式7"/>
            </w:pPr>
            <w:r>
              <w:t xml:space="preserve">197.49</w:t>
            </w:r>
          </w:p>
        </w:tc>
        <w:tc>
          <w:tcPr>
            <w:tcW w:w="1134" w:type="dxa"/>
            <w:vAlign w:val="center"/>
          </w:tcPr>
          <w:p>
            <w:pPr>
              <w:pStyle w:val="单元格样式7"/>
            </w:pPr>
            <w:r>
              <w:t xml:space="preserve">197.49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6181.17</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197.49</w:t>
            </w:r>
          </w:p>
        </w:tc>
        <w:tc>
          <w:tcPr>
            <w:tcW w:w="1134" w:type="dxa"/>
            <w:vAlign w:val="center"/>
          </w:tcPr>
          <w:p>
            <w:pPr>
              <w:pStyle w:val="单元格样式4"/>
            </w:pPr>
            <w:r>
              <w:t xml:space="preserve">197.49</w:t>
            </w:r>
          </w:p>
        </w:tc>
        <w:tc>
          <w:tcPr>
            <w:tcW w:w="1134" w:type="dxa"/>
            <w:vAlign w:val="center"/>
          </w:tcPr>
          <w:p>
            <w:pPr>
              <w:pStyle w:val="单元格样式4"/>
            </w:pPr>
            <w:r>
              <w:t xml:space="preserve">197.49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21201</w:t>
            </w:r>
          </w:p>
        </w:tc>
        <w:tc>
          <w:tcPr>
            <w:tcW w:w="1559" w:type="dxa"/>
            <w:vAlign w:val="center"/>
          </w:tcPr>
          <w:p>
            <w:pPr>
              <w:pStyle w:val="单元格样式2"/>
            </w:pPr>
            <w:r>
              <w:t xml:space="preserve">城乡社区管理事务</w:t>
            </w:r>
          </w:p>
        </w:tc>
        <w:tc>
          <w:tcPr>
            <w:tcW w:w="1134" w:type="dxa"/>
            <w:vAlign w:val="center"/>
          </w:tcPr>
          <w:p>
            <w:pPr>
              <w:pStyle w:val="单元格样式4"/>
            </w:pPr>
            <w:r>
              <w:t xml:space="preserve">197.49</w:t>
            </w:r>
          </w:p>
        </w:tc>
        <w:tc>
          <w:tcPr>
            <w:tcW w:w="1134" w:type="dxa"/>
            <w:vAlign w:val="center"/>
          </w:tcPr>
          <w:p>
            <w:pPr>
              <w:pStyle w:val="单元格样式4"/>
            </w:pPr>
            <w:r>
              <w:t xml:space="preserve">197.49</w:t>
            </w:r>
          </w:p>
        </w:tc>
        <w:tc>
          <w:tcPr>
            <w:tcW w:w="1134" w:type="dxa"/>
            <w:vAlign w:val="center"/>
          </w:tcPr>
          <w:p>
            <w:pPr>
              <w:pStyle w:val="单元格样式4"/>
            </w:pPr>
            <w:r>
              <w:t xml:space="preserve">197.49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2120199</w:t>
            </w:r>
          </w:p>
        </w:tc>
        <w:tc>
          <w:tcPr>
            <w:tcW w:w="1559" w:type="dxa"/>
            <w:vAlign w:val="center"/>
          </w:tcPr>
          <w:p>
            <w:pPr>
              <w:pStyle w:val="单元格样式2"/>
            </w:pPr>
            <w:r>
              <w:t xml:space="preserve">其他城乡社区管理事务支出</w:t>
            </w:r>
          </w:p>
        </w:tc>
        <w:tc>
          <w:tcPr>
            <w:tcW w:w="1134" w:type="dxa"/>
            <w:vAlign w:val="center"/>
          </w:tcPr>
          <w:p>
            <w:pPr>
              <w:pStyle w:val="单元格样式4"/>
            </w:pPr>
            <w:r>
              <w:t xml:space="preserve">197.49</w:t>
            </w:r>
          </w:p>
        </w:tc>
        <w:tc>
          <w:tcPr>
            <w:tcW w:w="1134" w:type="dxa"/>
            <w:vAlign w:val="center"/>
          </w:tcPr>
          <w:p>
            <w:pPr>
              <w:pStyle w:val="单元格样式4"/>
            </w:pPr>
            <w:r>
              <w:t xml:space="preserve">197.49</w:t>
            </w:r>
          </w:p>
        </w:tc>
        <w:tc>
          <w:tcPr>
            <w:tcW w:w="1134" w:type="dxa"/>
            <w:vAlign w:val="center"/>
          </w:tcPr>
          <w:p>
            <w:pPr>
              <w:pStyle w:val="单元格样式4"/>
            </w:pPr>
            <w:r>
              <w:t xml:space="preserve">197.49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6181.17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6181.17</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6180.91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6180.91</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6180.91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6180.91</w:t>
            </w: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22998</w:t>
            </w:r>
          </w:p>
        </w:tc>
        <w:tc>
          <w:tcPr>
            <w:tcW w:w="1559" w:type="dxa"/>
            <w:vAlign w:val="center"/>
          </w:tcPr>
          <w:p>
            <w:pPr>
              <w:pStyle w:val="单元格样式2"/>
            </w:pPr>
            <w:r>
              <w:t xml:space="preserve">超长期特别国债安排的其他支出</w:t>
            </w:r>
          </w:p>
        </w:tc>
        <w:tc>
          <w:tcPr>
            <w:tcW w:w="1134" w:type="dxa"/>
            <w:vAlign w:val="center"/>
          </w:tcPr>
          <w:p>
            <w:pPr>
              <w:pStyle w:val="单元格样式4"/>
            </w:pPr>
            <w:r>
              <w:t xml:space="preserve">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0.26</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2299899</w:t>
            </w:r>
          </w:p>
        </w:tc>
        <w:tc>
          <w:tcPr>
            <w:tcW w:w="1559" w:type="dxa"/>
            <w:vAlign w:val="center"/>
          </w:tcPr>
          <w:p>
            <w:pPr>
              <w:pStyle w:val="单元格样式2"/>
            </w:pPr>
            <w:r>
              <w:t xml:space="preserve">其他支出</w:t>
            </w:r>
          </w:p>
        </w:tc>
        <w:tc>
          <w:tcPr>
            <w:tcW w:w="1134" w:type="dxa"/>
            <w:vAlign w:val="center"/>
          </w:tcPr>
          <w:p>
            <w:pPr>
              <w:pStyle w:val="单元格样式4"/>
            </w:pPr>
            <w:r>
              <w:t xml:space="preserve">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0.26</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6378.66</w:t>
            </w:r>
          </w:p>
        </w:tc>
        <w:tc>
          <w:tcPr>
            <w:tcW w:w="1361" w:type="dxa"/>
            <w:vAlign w:val="center"/>
          </w:tcPr>
          <w:p>
            <w:pPr>
              <w:pStyle w:val="单元格样式7"/>
            </w:pPr>
            <w:r>
              <w:t xml:space="preserve">194.49</w:t>
            </w:r>
          </w:p>
        </w:tc>
        <w:tc>
          <w:tcPr>
            <w:tcW w:w="1361" w:type="dxa"/>
            <w:vAlign w:val="center"/>
          </w:tcPr>
          <w:p>
            <w:pPr>
              <w:pStyle w:val="单元格样式7"/>
            </w:pPr>
            <w:r>
              <w:t xml:space="preserve">6184.17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197.49</w:t>
            </w:r>
          </w:p>
        </w:tc>
        <w:tc>
          <w:tcPr>
            <w:tcW w:w="1361" w:type="dxa"/>
            <w:vAlign w:val="center"/>
          </w:tcPr>
          <w:p>
            <w:pPr>
              <w:pStyle w:val="单元格样式4"/>
            </w:pPr>
            <w:r>
              <w:t xml:space="preserve">194.49</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1361" w:type="dxa"/>
            <w:vAlign w:val="center"/>
          </w:tcPr>
          <w:p>
            <w:pPr>
              <w:pStyle w:val="单元格样式4"/>
            </w:pPr>
            <w:r>
              <w:t xml:space="preserve">197.49</w:t>
            </w:r>
          </w:p>
        </w:tc>
        <w:tc>
          <w:tcPr>
            <w:tcW w:w="1361" w:type="dxa"/>
            <w:vAlign w:val="center"/>
          </w:tcPr>
          <w:p>
            <w:pPr>
              <w:pStyle w:val="单元格样式4"/>
            </w:pPr>
            <w:r>
              <w:t xml:space="preserve">194.49</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2120199</w:t>
            </w:r>
          </w:p>
        </w:tc>
        <w:tc>
          <w:tcPr>
            <w:tcW w:w="4535" w:type="dxa"/>
            <w:vAlign w:val="center"/>
          </w:tcPr>
          <w:p>
            <w:pPr>
              <w:pStyle w:val="单元格样式2"/>
            </w:pPr>
            <w:r>
              <w:t xml:space="preserve">其他城乡社区管理事务支出</w:t>
            </w:r>
          </w:p>
        </w:tc>
        <w:tc>
          <w:tcPr>
            <w:tcW w:w="1361" w:type="dxa"/>
            <w:vAlign w:val="center"/>
          </w:tcPr>
          <w:p>
            <w:pPr>
              <w:pStyle w:val="单元格样式4"/>
            </w:pPr>
            <w:r>
              <w:t xml:space="preserve">197.49</w:t>
            </w:r>
          </w:p>
        </w:tc>
        <w:tc>
          <w:tcPr>
            <w:tcW w:w="1361" w:type="dxa"/>
            <w:vAlign w:val="center"/>
          </w:tcPr>
          <w:p>
            <w:pPr>
              <w:pStyle w:val="单元格样式4"/>
            </w:pPr>
            <w:r>
              <w:t xml:space="preserve">194.49</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6181.17</w:t>
            </w:r>
          </w:p>
        </w:tc>
        <w:tc>
          <w:tcPr>
            <w:tcW w:w="1361" w:type="dxa"/>
            <w:vAlign w:val="center"/>
          </w:tcPr>
          <w:p>
            <w:pPr>
              <w:pStyle w:val="单元格样式4"/>
            </w:pPr>
          </w:p>
        </w:tc>
        <w:tc>
          <w:tcPr>
            <w:tcW w:w="1361" w:type="dxa"/>
            <w:vAlign w:val="center"/>
          </w:tcPr>
          <w:p>
            <w:pPr>
              <w:pStyle w:val="单元格样式4"/>
            </w:pPr>
            <w:r>
              <w:t xml:space="preserve">6181.17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6180.91</w:t>
            </w:r>
          </w:p>
        </w:tc>
        <w:tc>
          <w:tcPr>
            <w:tcW w:w="1361" w:type="dxa"/>
            <w:vAlign w:val="center"/>
          </w:tcPr>
          <w:p>
            <w:pPr>
              <w:pStyle w:val="单元格样式4"/>
            </w:pPr>
          </w:p>
        </w:tc>
        <w:tc>
          <w:tcPr>
            <w:tcW w:w="1361" w:type="dxa"/>
            <w:vAlign w:val="center"/>
          </w:tcPr>
          <w:p>
            <w:pPr>
              <w:pStyle w:val="单元格样式4"/>
            </w:pPr>
            <w:r>
              <w:t xml:space="preserve">6180.91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6180.91</w:t>
            </w:r>
          </w:p>
        </w:tc>
        <w:tc>
          <w:tcPr>
            <w:tcW w:w="1361" w:type="dxa"/>
            <w:vAlign w:val="center"/>
          </w:tcPr>
          <w:p>
            <w:pPr>
              <w:pStyle w:val="单元格样式4"/>
            </w:pPr>
          </w:p>
        </w:tc>
        <w:tc>
          <w:tcPr>
            <w:tcW w:w="1361" w:type="dxa"/>
            <w:vAlign w:val="center"/>
          </w:tcPr>
          <w:p>
            <w:pPr>
              <w:pStyle w:val="单元格样式4"/>
            </w:pPr>
            <w:r>
              <w:t xml:space="preserve">6180.91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22998</w:t>
            </w:r>
          </w:p>
        </w:tc>
        <w:tc>
          <w:tcPr>
            <w:tcW w:w="4535" w:type="dxa"/>
            <w:vAlign w:val="center"/>
          </w:tcPr>
          <w:p>
            <w:pPr>
              <w:pStyle w:val="单元格样式2"/>
            </w:pPr>
            <w:r>
              <w:t xml:space="preserve">超长期特别国债安排的其他支出</w:t>
            </w:r>
          </w:p>
        </w:tc>
        <w:tc>
          <w:tcPr>
            <w:tcW w:w="1361" w:type="dxa"/>
            <w:vAlign w:val="center"/>
          </w:tcPr>
          <w:p>
            <w:pPr>
              <w:pStyle w:val="单元格样式4"/>
            </w:pPr>
            <w:r>
              <w:t xml:space="preserve">0.26</w:t>
            </w:r>
          </w:p>
        </w:tc>
        <w:tc>
          <w:tcPr>
            <w:tcW w:w="1361" w:type="dxa"/>
            <w:vAlign w:val="center"/>
          </w:tcPr>
          <w:p>
            <w:pPr>
              <w:pStyle w:val="单元格样式4"/>
            </w:pPr>
          </w:p>
        </w:tc>
        <w:tc>
          <w:tcPr>
            <w:tcW w:w="1361" w:type="dxa"/>
            <w:vAlign w:val="center"/>
          </w:tcPr>
          <w:p>
            <w:pPr>
              <w:pStyle w:val="单元格样式4"/>
            </w:pPr>
            <w:r>
              <w:t xml:space="preserve">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2299899</w:t>
            </w:r>
          </w:p>
        </w:tc>
        <w:tc>
          <w:tcPr>
            <w:tcW w:w="4535" w:type="dxa"/>
            <w:vAlign w:val="center"/>
          </w:tcPr>
          <w:p>
            <w:pPr>
              <w:pStyle w:val="单元格样式2"/>
            </w:pPr>
            <w:r>
              <w:t xml:space="preserve">其他支出</w:t>
            </w:r>
          </w:p>
        </w:tc>
        <w:tc>
          <w:tcPr>
            <w:tcW w:w="1361" w:type="dxa"/>
            <w:vAlign w:val="center"/>
          </w:tcPr>
          <w:p>
            <w:pPr>
              <w:pStyle w:val="单元格样式4"/>
            </w:pPr>
            <w:r>
              <w:t xml:space="preserve">0.26</w:t>
            </w:r>
          </w:p>
        </w:tc>
        <w:tc>
          <w:tcPr>
            <w:tcW w:w="1361" w:type="dxa"/>
            <w:vAlign w:val="center"/>
          </w:tcPr>
          <w:p>
            <w:pPr>
              <w:pStyle w:val="单元格样式4"/>
            </w:pPr>
          </w:p>
        </w:tc>
        <w:tc>
          <w:tcPr>
            <w:tcW w:w="1361" w:type="dxa"/>
            <w:vAlign w:val="center"/>
          </w:tcPr>
          <w:p>
            <w:pPr>
              <w:pStyle w:val="单元格样式4"/>
            </w:pPr>
            <w:r>
              <w:t xml:space="preserve">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197.49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197.49</w:t>
            </w:r>
          </w:p>
        </w:tc>
        <w:tc>
          <w:tcPr>
            <w:tcW w:w="1474" w:type="dxa"/>
            <w:vAlign w:val="center"/>
          </w:tcPr>
          <w:p>
            <w:pPr>
              <w:pStyle w:val="单元格样式4"/>
            </w:pPr>
            <w:r>
              <w:t xml:space="preserve">197.49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6181.17</w:t>
            </w:r>
          </w:p>
        </w:tc>
        <w:tc>
          <w:tcPr>
            <w:tcW w:w="1474" w:type="dxa"/>
            <w:vAlign w:val="center"/>
          </w:tcPr>
          <w:p>
            <w:pPr>
              <w:pStyle w:val="单元格样式4"/>
            </w:pPr>
          </w:p>
        </w:tc>
        <w:tc>
          <w:tcPr>
            <w:tcW w:w="1474" w:type="dxa"/>
            <w:vAlign w:val="center"/>
          </w:tcPr>
          <w:p>
            <w:pPr>
              <w:pStyle w:val="单元格样式4"/>
            </w:pPr>
            <w:r>
              <w:t xml:space="preserve">6181.17</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197.49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6378.66</w:t>
            </w:r>
          </w:p>
        </w:tc>
        <w:tc>
          <w:tcPr>
            <w:tcW w:w="1474" w:type="dxa"/>
            <w:vAlign w:val="center"/>
          </w:tcPr>
          <w:p>
            <w:pPr>
              <w:pStyle w:val="单元格样式7"/>
            </w:pPr>
            <w:r>
              <w:t xml:space="preserve">197.49</w:t>
            </w:r>
          </w:p>
        </w:tc>
        <w:tc>
          <w:tcPr>
            <w:tcW w:w="1474" w:type="dxa"/>
            <w:vAlign w:val="center"/>
          </w:tcPr>
          <w:p>
            <w:pPr>
              <w:pStyle w:val="单元格样式7"/>
            </w:pPr>
            <w:r>
              <w:t xml:space="preserve">6181.17</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6181.17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6181.17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6378.66</w:t>
            </w:r>
          </w:p>
        </w:tc>
        <w:tc>
          <w:tcPr>
            <w:tcW w:w="3402" w:type="dxa"/>
            <w:vAlign w:val="center"/>
          </w:tcPr>
          <w:p>
            <w:pPr>
              <w:pStyle w:val="单元格样式6"/>
            </w:pPr>
            <w:r>
              <w:t xml:space="preserve">支出总计</w:t>
            </w:r>
          </w:p>
        </w:tc>
        <w:tc>
          <w:tcPr>
            <w:tcW w:w="1474" w:type="dxa"/>
            <w:vAlign w:val="center"/>
          </w:tcPr>
          <w:p>
            <w:pPr>
              <w:pStyle w:val="单元格样式7"/>
            </w:pPr>
            <w:r>
              <w:t xml:space="preserve">6378.66</w:t>
            </w:r>
          </w:p>
        </w:tc>
        <w:tc>
          <w:tcPr>
            <w:tcW w:w="1474" w:type="dxa"/>
            <w:vAlign w:val="center"/>
          </w:tcPr>
          <w:p>
            <w:pPr>
              <w:pStyle w:val="单元格样式7"/>
            </w:pPr>
            <w:r>
              <w:t xml:space="preserve">197.49</w:t>
            </w:r>
          </w:p>
        </w:tc>
        <w:tc>
          <w:tcPr>
            <w:tcW w:w="1474" w:type="dxa"/>
            <w:vAlign w:val="center"/>
          </w:tcPr>
          <w:p>
            <w:pPr>
              <w:pStyle w:val="单元格样式7"/>
            </w:pPr>
            <w:r>
              <w:t xml:space="preserve">6181.17</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197.49</w:t>
            </w:r>
          </w:p>
        </w:tc>
        <w:tc>
          <w:tcPr>
            <w:tcW w:w="2551" w:type="dxa"/>
            <w:vAlign w:val="center"/>
          </w:tcPr>
          <w:p>
            <w:pPr>
              <w:pStyle w:val="单元格样式7"/>
            </w:pPr>
            <w:r>
              <w:t xml:space="preserve">194.49</w:t>
            </w:r>
          </w:p>
        </w:tc>
        <w:tc>
          <w:tcPr>
            <w:tcW w:w="2551" w:type="dxa"/>
            <w:vAlign w:val="center"/>
          </w:tcPr>
          <w:p>
            <w:pPr>
              <w:pStyle w:val="单元格样式7"/>
            </w:pPr>
            <w:r>
              <w:t xml:space="preserve">3.00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197.49</w:t>
            </w:r>
          </w:p>
        </w:tc>
        <w:tc>
          <w:tcPr>
            <w:tcW w:w="2551" w:type="dxa"/>
            <w:vAlign w:val="center"/>
          </w:tcPr>
          <w:p>
            <w:pPr>
              <w:pStyle w:val="单元格样式4"/>
            </w:pPr>
            <w:r>
              <w:t xml:space="preserve">194.49</w:t>
            </w: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2551" w:type="dxa"/>
            <w:vAlign w:val="center"/>
          </w:tcPr>
          <w:p>
            <w:pPr>
              <w:pStyle w:val="单元格样式4"/>
            </w:pPr>
            <w:r>
              <w:t xml:space="preserve">197.49</w:t>
            </w:r>
          </w:p>
        </w:tc>
        <w:tc>
          <w:tcPr>
            <w:tcW w:w="2551" w:type="dxa"/>
            <w:vAlign w:val="center"/>
          </w:tcPr>
          <w:p>
            <w:pPr>
              <w:pStyle w:val="单元格样式4"/>
            </w:pPr>
            <w:r>
              <w:t xml:space="preserve">194.49</w:t>
            </w: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2120199</w:t>
            </w:r>
          </w:p>
        </w:tc>
        <w:tc>
          <w:tcPr>
            <w:tcW w:w="4535" w:type="dxa"/>
            <w:vAlign w:val="center"/>
          </w:tcPr>
          <w:p>
            <w:pPr>
              <w:pStyle w:val="单元格样式2"/>
            </w:pPr>
            <w:r>
              <w:t xml:space="preserve">其他城乡社区管理事务支出</w:t>
            </w:r>
          </w:p>
        </w:tc>
        <w:tc>
          <w:tcPr>
            <w:tcW w:w="2551" w:type="dxa"/>
            <w:vAlign w:val="center"/>
          </w:tcPr>
          <w:p>
            <w:pPr>
              <w:pStyle w:val="单元格样式4"/>
            </w:pPr>
            <w:r>
              <w:t xml:space="preserve">197.49</w:t>
            </w:r>
          </w:p>
        </w:tc>
        <w:tc>
          <w:tcPr>
            <w:tcW w:w="2551" w:type="dxa"/>
            <w:vAlign w:val="center"/>
          </w:tcPr>
          <w:p>
            <w:pPr>
              <w:pStyle w:val="单元格样式4"/>
            </w:pPr>
            <w:r>
              <w:t xml:space="preserve">194.49</w:t>
            </w:r>
          </w:p>
        </w:tc>
        <w:tc>
          <w:tcPr>
            <w:tcW w:w="2551" w:type="dxa"/>
            <w:vAlign w:val="center"/>
          </w:tcPr>
          <w:p>
            <w:pPr>
              <w:pStyle w:val="单元格样式4"/>
            </w:pPr>
            <w:r>
              <w:t xml:space="preserve">3.00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194.49</w:t>
            </w:r>
          </w:p>
        </w:tc>
        <w:tc>
          <w:tcPr>
            <w:tcW w:w="2551" w:type="dxa"/>
            <w:vAlign w:val="center"/>
          </w:tcPr>
          <w:p>
            <w:pPr>
              <w:pStyle w:val="单元格样式7"/>
            </w:pPr>
            <w:r>
              <w:t xml:space="preserve">173.64</w:t>
            </w:r>
          </w:p>
        </w:tc>
        <w:tc>
          <w:tcPr>
            <w:tcW w:w="2551" w:type="dxa"/>
            <w:vAlign w:val="center"/>
          </w:tcPr>
          <w:p>
            <w:pPr>
              <w:pStyle w:val="单元格样式7"/>
            </w:pPr>
            <w:r>
              <w:t xml:space="preserve">20.85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173.64</w:t>
            </w:r>
          </w:p>
        </w:tc>
        <w:tc>
          <w:tcPr>
            <w:tcW w:w="2551" w:type="dxa"/>
            <w:vAlign w:val="center"/>
          </w:tcPr>
          <w:p>
            <w:pPr>
              <w:pStyle w:val="单元格样式4"/>
            </w:pPr>
            <w:r>
              <w:t xml:space="preserve">173.64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63.90</w:t>
            </w:r>
          </w:p>
        </w:tc>
        <w:tc>
          <w:tcPr>
            <w:tcW w:w="2551" w:type="dxa"/>
            <w:vAlign w:val="center"/>
          </w:tcPr>
          <w:p>
            <w:pPr>
              <w:pStyle w:val="单元格样式4"/>
            </w:pPr>
            <w:r>
              <w:t xml:space="preserve">63.90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8.17</w:t>
            </w:r>
          </w:p>
        </w:tc>
        <w:tc>
          <w:tcPr>
            <w:tcW w:w="2551" w:type="dxa"/>
            <w:vAlign w:val="center"/>
          </w:tcPr>
          <w:p>
            <w:pPr>
              <w:pStyle w:val="单元格样式4"/>
            </w:pPr>
            <w:r>
              <w:t xml:space="preserve">8.17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56.36</w:t>
            </w:r>
          </w:p>
        </w:tc>
        <w:tc>
          <w:tcPr>
            <w:tcW w:w="2551" w:type="dxa"/>
            <w:vAlign w:val="center"/>
          </w:tcPr>
          <w:p>
            <w:pPr>
              <w:pStyle w:val="单元格样式4"/>
            </w:pPr>
            <w:r>
              <w:t xml:space="preserve">56.36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17.91</w:t>
            </w:r>
          </w:p>
        </w:tc>
        <w:tc>
          <w:tcPr>
            <w:tcW w:w="2551" w:type="dxa"/>
            <w:vAlign w:val="center"/>
          </w:tcPr>
          <w:p>
            <w:pPr>
              <w:pStyle w:val="单元格样式4"/>
            </w:pPr>
            <w:r>
              <w:t xml:space="preserve">17.91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7.62</w:t>
            </w:r>
          </w:p>
        </w:tc>
        <w:tc>
          <w:tcPr>
            <w:tcW w:w="2551" w:type="dxa"/>
            <w:vAlign w:val="center"/>
          </w:tcPr>
          <w:p>
            <w:pPr>
              <w:pStyle w:val="单元格样式4"/>
            </w:pPr>
            <w:r>
              <w:t xml:space="preserve">7.62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3.88</w:t>
            </w:r>
          </w:p>
        </w:tc>
        <w:tc>
          <w:tcPr>
            <w:tcW w:w="2551" w:type="dxa"/>
            <w:vAlign w:val="center"/>
          </w:tcPr>
          <w:p>
            <w:pPr>
              <w:pStyle w:val="单元格样式4"/>
            </w:pPr>
            <w:r>
              <w:t xml:space="preserve">3.88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1.36</w:t>
            </w:r>
          </w:p>
        </w:tc>
        <w:tc>
          <w:tcPr>
            <w:tcW w:w="2551" w:type="dxa"/>
            <w:vAlign w:val="center"/>
          </w:tcPr>
          <w:p>
            <w:pPr>
              <w:pStyle w:val="单元格样式4"/>
            </w:pPr>
            <w:r>
              <w:t xml:space="preserve">1.36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14.44</w:t>
            </w:r>
          </w:p>
        </w:tc>
        <w:tc>
          <w:tcPr>
            <w:tcW w:w="2551" w:type="dxa"/>
            <w:vAlign w:val="center"/>
          </w:tcPr>
          <w:p>
            <w:pPr>
              <w:pStyle w:val="单元格样式4"/>
            </w:pPr>
            <w:r>
              <w:t xml:space="preserve">14.44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20.85</w:t>
            </w:r>
          </w:p>
        </w:tc>
        <w:tc>
          <w:tcPr>
            <w:tcW w:w="2551" w:type="dxa"/>
            <w:vAlign w:val="center"/>
          </w:tcPr>
          <w:p>
            <w:pPr>
              <w:pStyle w:val="单元格样式4"/>
            </w:pPr>
          </w:p>
        </w:tc>
        <w:tc>
          <w:tcPr>
            <w:tcW w:w="2551" w:type="dxa"/>
            <w:vAlign w:val="center"/>
          </w:tcPr>
          <w:p>
            <w:pPr>
              <w:pStyle w:val="单元格样式4"/>
            </w:pPr>
            <w:r>
              <w:t xml:space="preserve">20.85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2.24</w:t>
            </w:r>
          </w:p>
        </w:tc>
        <w:tc>
          <w:tcPr>
            <w:tcW w:w="2551" w:type="dxa"/>
            <w:vAlign w:val="center"/>
          </w:tcPr>
          <w:p>
            <w:pPr>
              <w:pStyle w:val="单元格样式4"/>
            </w:pPr>
          </w:p>
        </w:tc>
        <w:tc>
          <w:tcPr>
            <w:tcW w:w="2551" w:type="dxa"/>
            <w:vAlign w:val="center"/>
          </w:tcPr>
          <w:p>
            <w:pPr>
              <w:pStyle w:val="单元格样式4"/>
            </w:pPr>
            <w:r>
              <w:t xml:space="preserve">2.24</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0.15</w:t>
            </w:r>
          </w:p>
        </w:tc>
        <w:tc>
          <w:tcPr>
            <w:tcW w:w="2551" w:type="dxa"/>
            <w:vAlign w:val="center"/>
          </w:tcPr>
          <w:p>
            <w:pPr>
              <w:pStyle w:val="单元格样式4"/>
            </w:pPr>
          </w:p>
        </w:tc>
        <w:tc>
          <w:tcPr>
            <w:tcW w:w="2551" w:type="dxa"/>
            <w:vAlign w:val="center"/>
          </w:tcPr>
          <w:p>
            <w:pPr>
              <w:pStyle w:val="单元格样式4"/>
            </w:pPr>
            <w:r>
              <w:t xml:space="preserve">0.15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1.20</w:t>
            </w:r>
          </w:p>
        </w:tc>
        <w:tc>
          <w:tcPr>
            <w:tcW w:w="2551" w:type="dxa"/>
            <w:vAlign w:val="center"/>
          </w:tcPr>
          <w:p>
            <w:pPr>
              <w:pStyle w:val="单元格样式4"/>
            </w:pPr>
          </w:p>
        </w:tc>
        <w:tc>
          <w:tcPr>
            <w:tcW w:w="2551" w:type="dxa"/>
            <w:vAlign w:val="center"/>
          </w:tcPr>
          <w:p>
            <w:pPr>
              <w:pStyle w:val="单元格样式4"/>
            </w:pPr>
            <w:r>
              <w:t xml:space="preserve">1.20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0.45</w:t>
            </w:r>
          </w:p>
        </w:tc>
        <w:tc>
          <w:tcPr>
            <w:tcW w:w="2551" w:type="dxa"/>
            <w:vAlign w:val="center"/>
          </w:tcPr>
          <w:p>
            <w:pPr>
              <w:pStyle w:val="单元格样式4"/>
            </w:pPr>
          </w:p>
        </w:tc>
        <w:tc>
          <w:tcPr>
            <w:tcW w:w="2551" w:type="dxa"/>
            <w:vAlign w:val="center"/>
          </w:tcPr>
          <w:p>
            <w:pPr>
              <w:pStyle w:val="单元格样式4"/>
            </w:pPr>
            <w:r>
              <w:t xml:space="preserve">0.45</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1.19</w:t>
            </w:r>
          </w:p>
        </w:tc>
        <w:tc>
          <w:tcPr>
            <w:tcW w:w="2551" w:type="dxa"/>
            <w:vAlign w:val="center"/>
          </w:tcPr>
          <w:p>
            <w:pPr>
              <w:pStyle w:val="单元格样式4"/>
            </w:pPr>
          </w:p>
        </w:tc>
        <w:tc>
          <w:tcPr>
            <w:tcW w:w="2551" w:type="dxa"/>
            <w:vAlign w:val="center"/>
          </w:tcPr>
          <w:p>
            <w:pPr>
              <w:pStyle w:val="单元格样式4"/>
            </w:pPr>
            <w:r>
              <w:t xml:space="preserve">1.19</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1.34</w:t>
            </w:r>
          </w:p>
        </w:tc>
        <w:tc>
          <w:tcPr>
            <w:tcW w:w="2551" w:type="dxa"/>
            <w:vAlign w:val="center"/>
          </w:tcPr>
          <w:p>
            <w:pPr>
              <w:pStyle w:val="单元格样式4"/>
            </w:pPr>
          </w:p>
        </w:tc>
        <w:tc>
          <w:tcPr>
            <w:tcW w:w="2551" w:type="dxa"/>
            <w:vAlign w:val="center"/>
          </w:tcPr>
          <w:p>
            <w:pPr>
              <w:pStyle w:val="单元格样式4"/>
            </w:pPr>
            <w:r>
              <w:t xml:space="preserve">1.34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2.42</w:t>
            </w:r>
          </w:p>
        </w:tc>
        <w:tc>
          <w:tcPr>
            <w:tcW w:w="2551" w:type="dxa"/>
            <w:vAlign w:val="center"/>
          </w:tcPr>
          <w:p>
            <w:pPr>
              <w:pStyle w:val="单元格样式4"/>
            </w:pPr>
          </w:p>
        </w:tc>
        <w:tc>
          <w:tcPr>
            <w:tcW w:w="2551" w:type="dxa"/>
            <w:vAlign w:val="center"/>
          </w:tcPr>
          <w:p>
            <w:pPr>
              <w:pStyle w:val="单元格样式4"/>
            </w:pPr>
            <w:r>
              <w:t xml:space="preserve">2.42</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8.60</w:t>
            </w:r>
          </w:p>
        </w:tc>
        <w:tc>
          <w:tcPr>
            <w:tcW w:w="2551" w:type="dxa"/>
            <w:vAlign w:val="center"/>
          </w:tcPr>
          <w:p>
            <w:pPr>
              <w:pStyle w:val="单元格样式4"/>
            </w:pPr>
          </w:p>
        </w:tc>
        <w:tc>
          <w:tcPr>
            <w:tcW w:w="2551" w:type="dxa"/>
            <w:vAlign w:val="center"/>
          </w:tcPr>
          <w:p>
            <w:pPr>
              <w:pStyle w:val="单元格样式4"/>
            </w:pPr>
            <w:r>
              <w:t xml:space="preserve">8.60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3.26</w:t>
            </w:r>
          </w:p>
        </w:tc>
        <w:tc>
          <w:tcPr>
            <w:tcW w:w="2551" w:type="dxa"/>
            <w:vAlign w:val="center"/>
          </w:tcPr>
          <w:p>
            <w:pPr>
              <w:pStyle w:val="单元格样式4"/>
            </w:pPr>
          </w:p>
        </w:tc>
        <w:tc>
          <w:tcPr>
            <w:tcW w:w="2551" w:type="dxa"/>
            <w:vAlign w:val="center"/>
          </w:tcPr>
          <w:p>
            <w:pPr>
              <w:pStyle w:val="单元格样式4"/>
            </w:pPr>
            <w:r>
              <w:t xml:space="preserve">3.26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6181.17</w:t>
            </w:r>
          </w:p>
        </w:tc>
        <w:tc>
          <w:tcPr>
            <w:tcW w:w="2551" w:type="dxa"/>
            <w:vAlign w:val="center"/>
          </w:tcPr>
          <w:p>
            <w:pPr>
              <w:pStyle w:val="单元格样式7"/>
            </w:pPr>
          </w:p>
        </w:tc>
        <w:tc>
          <w:tcPr>
            <w:tcW w:w="2551" w:type="dxa"/>
            <w:vAlign w:val="center"/>
          </w:tcPr>
          <w:p>
            <w:pPr>
              <w:pStyle w:val="单元格样式7"/>
            </w:pPr>
            <w:r>
              <w:t xml:space="preserve">6181.17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6181.17</w:t>
            </w:r>
          </w:p>
        </w:tc>
        <w:tc>
          <w:tcPr>
            <w:tcW w:w="2551" w:type="dxa"/>
            <w:vAlign w:val="center"/>
          </w:tcPr>
          <w:p>
            <w:pPr>
              <w:pStyle w:val="单元格样式4"/>
            </w:pPr>
          </w:p>
        </w:tc>
        <w:tc>
          <w:tcPr>
            <w:tcW w:w="2551" w:type="dxa"/>
            <w:vAlign w:val="center"/>
          </w:tcPr>
          <w:p>
            <w:pPr>
              <w:pStyle w:val="单元格样式4"/>
            </w:pPr>
            <w:r>
              <w:t xml:space="preserve">6181.17</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6180.91</w:t>
            </w:r>
          </w:p>
        </w:tc>
        <w:tc>
          <w:tcPr>
            <w:tcW w:w="2551" w:type="dxa"/>
            <w:vAlign w:val="center"/>
          </w:tcPr>
          <w:p>
            <w:pPr>
              <w:pStyle w:val="单元格样式4"/>
            </w:pPr>
          </w:p>
        </w:tc>
        <w:tc>
          <w:tcPr>
            <w:tcW w:w="2551" w:type="dxa"/>
            <w:vAlign w:val="center"/>
          </w:tcPr>
          <w:p>
            <w:pPr>
              <w:pStyle w:val="单元格样式4"/>
            </w:pPr>
            <w:r>
              <w:t xml:space="preserve">6180.91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6180.91</w:t>
            </w:r>
          </w:p>
        </w:tc>
        <w:tc>
          <w:tcPr>
            <w:tcW w:w="2551" w:type="dxa"/>
            <w:vAlign w:val="center"/>
          </w:tcPr>
          <w:p>
            <w:pPr>
              <w:pStyle w:val="单元格样式4"/>
            </w:pPr>
          </w:p>
        </w:tc>
        <w:tc>
          <w:tcPr>
            <w:tcW w:w="2551" w:type="dxa"/>
            <w:vAlign w:val="center"/>
          </w:tcPr>
          <w:p>
            <w:pPr>
              <w:pStyle w:val="单元格样式4"/>
            </w:pPr>
            <w:r>
              <w:t xml:space="preserve">6180.91</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22998</w:t>
            </w:r>
          </w:p>
        </w:tc>
        <w:tc>
          <w:tcPr>
            <w:tcW w:w="4535" w:type="dxa"/>
            <w:vAlign w:val="center"/>
          </w:tcPr>
          <w:p>
            <w:pPr>
              <w:pStyle w:val="单元格样式2"/>
            </w:pPr>
            <w:r>
              <w:t xml:space="preserve">超长期特别国债安排的其他支出</w:t>
            </w:r>
          </w:p>
        </w:tc>
        <w:tc>
          <w:tcPr>
            <w:tcW w:w="2551" w:type="dxa"/>
            <w:vAlign w:val="center"/>
          </w:tcPr>
          <w:p>
            <w:pPr>
              <w:pStyle w:val="单元格样式4"/>
            </w:pPr>
            <w:r>
              <w:t xml:space="preserve">0.26</w:t>
            </w:r>
          </w:p>
        </w:tc>
        <w:tc>
          <w:tcPr>
            <w:tcW w:w="2551" w:type="dxa"/>
            <w:vAlign w:val="center"/>
          </w:tcPr>
          <w:p>
            <w:pPr>
              <w:pStyle w:val="单元格样式4"/>
            </w:pPr>
          </w:p>
        </w:tc>
        <w:tc>
          <w:tcPr>
            <w:tcW w:w="2551" w:type="dxa"/>
            <w:vAlign w:val="center"/>
          </w:tcPr>
          <w:p>
            <w:pPr>
              <w:pStyle w:val="单元格样式4"/>
            </w:pPr>
            <w:r>
              <w:t xml:space="preserve">0.26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2299899</w:t>
            </w:r>
          </w:p>
        </w:tc>
        <w:tc>
          <w:tcPr>
            <w:tcW w:w="4535" w:type="dxa"/>
            <w:vAlign w:val="center"/>
          </w:tcPr>
          <w:p>
            <w:pPr>
              <w:pStyle w:val="单元格样式2"/>
            </w:pPr>
            <w:r>
              <w:t xml:space="preserve">其他支出</w:t>
            </w:r>
          </w:p>
        </w:tc>
        <w:tc>
          <w:tcPr>
            <w:tcW w:w="2551" w:type="dxa"/>
            <w:vAlign w:val="center"/>
          </w:tcPr>
          <w:p>
            <w:pPr>
              <w:pStyle w:val="单元格样式4"/>
            </w:pPr>
            <w:r>
              <w:t xml:space="preserve">0.26</w:t>
            </w:r>
          </w:p>
        </w:tc>
        <w:tc>
          <w:tcPr>
            <w:tcW w:w="2551" w:type="dxa"/>
            <w:vAlign w:val="center"/>
          </w:tcPr>
          <w:p>
            <w:pPr>
              <w:pStyle w:val="单元格样式4"/>
            </w:pPr>
          </w:p>
        </w:tc>
        <w:tc>
          <w:tcPr>
            <w:tcW w:w="2551" w:type="dxa"/>
            <w:vAlign w:val="center"/>
          </w:tcPr>
          <w:p>
            <w:pPr>
              <w:pStyle w:val="单元格样式4"/>
            </w:pPr>
            <w:r>
              <w:t xml:space="preserve">0.26</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2.42</w:t>
            </w:r>
          </w:p>
        </w:tc>
        <w:tc>
          <w:tcPr>
            <w:tcW w:w="2381" w:type="dxa"/>
            <w:vAlign w:val="center"/>
          </w:tcPr>
          <w:p>
            <w:pPr>
              <w:pStyle w:val="单元格样式7"/>
            </w:pPr>
            <w:r>
              <w:t xml:space="preserve">2.42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2.42</w:t>
            </w:r>
          </w:p>
        </w:tc>
        <w:tc>
          <w:tcPr>
            <w:tcW w:w="2381" w:type="dxa"/>
            <w:vAlign w:val="center"/>
          </w:tcPr>
          <w:p>
            <w:pPr>
              <w:pStyle w:val="单元格样式4"/>
            </w:pPr>
            <w:r>
              <w:t xml:space="preserve">2.42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2.42</w:t>
            </w:r>
          </w:p>
        </w:tc>
        <w:tc>
          <w:tcPr>
            <w:tcW w:w="2381" w:type="dxa"/>
            <w:vAlign w:val="center"/>
          </w:tcPr>
          <w:p>
            <w:pPr>
              <w:pStyle w:val="单元格样式4"/>
            </w:pPr>
            <w:r>
              <w:t xml:space="preserve">2.42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晋州市政府投资项目代建中心2026年单位预算信息公开情况说明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按照《中华人民共和国预算法》、《地方预决算公开操作规程》和《关于进一步推进预算公开工作的实施意见》规定，现将晋州市政府投资项目代建中心2026年单位预算公开如下：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1.按照科学、实用、节约的原则，就项目建设内容、规模、标准等与使用单位实际需求进行沟通，对代建项目建设全过程进行管理。</w:t>
      </w:r>
    </w:p>
    <w:p>
      <w:pPr>
        <w:pStyle w:val="插入文本样式-插入单位职责文件"/>
      </w:pPr>
      <w:r>
        <w:t xml:space="preserve">2.负责办理有关报建报批手续，负责工程勘察、设计、施工、监理和重要设备、材料、货物等的招标采购及管理工作。</w:t>
      </w:r>
    </w:p>
    <w:p>
      <w:pPr>
        <w:pStyle w:val="插入文本样式-插入单位职责文件"/>
      </w:pPr>
      <w:r>
        <w:t xml:space="preserve">3.制订代建项目工作方案、工作计划和项目管理目标，与项目使用单位共同编报项目年度支出预算。</w:t>
      </w:r>
    </w:p>
    <w:p>
      <w:pPr>
        <w:pStyle w:val="插入文本样式-插入单位职责文件"/>
      </w:pPr>
      <w:r>
        <w:t xml:space="preserve">4.按工程建设进度编制用款计划，对参建单位的资金拨付申请进行审核，并按程序拨付。</w:t>
      </w:r>
    </w:p>
    <w:p>
      <w:pPr>
        <w:pStyle w:val="插入文本样式-插入单位职责文件"/>
      </w:pPr>
      <w:r>
        <w:t xml:space="preserve">5.负责评价参建单位的合同履行情况，组织指导参建单位科学合理做好项目建设过程中的投资控制、质量安全、工期进度、信息档案等工作，组织代建中间验收、竣工验收、项目使用移交等。</w:t>
      </w:r>
    </w:p>
    <w:p>
      <w:pPr>
        <w:pStyle w:val="插入文本样式-插入单位职责文件"/>
      </w:pPr>
      <w:r>
        <w:t xml:space="preserve">6.完成市政府交办的其他任务。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晋州市政府投资项目代建中心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6378.66万元，其中：一般公共预算收入197.49万元，基金预算收入0.00万元，国有资本经营预算收入0.00万元，财政专户核拨收入0.00万元，单位资金收入0.00万元，上年结转结余6181.17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政府投资项目代建中心年度单位预算中支出预算的总体情况。2026年支出预算6378.66万元，其中基本支出194.49万元，包括人员经费173.64万元和日常公用经费20.85万元；项目支出6184.17万元，主要为晋州市时代幼儿园新建项目结转资金11.0052万元、河北省晋州市职业技术中学改扩建及室外工程项目结转资金514.7009万元、晋州市妇幼保健院二期项目结转资金56.227307万元、晋州市人民医院新建医用楼项目结转资金2030.739622万元、晋州市中医院中医药综合服务楼项目结转资金3568.23731万元、专业技术服务费法律顾问安保服务费3万元；预计下年使用的单位资金结余0.00万元。委托业务费共计安排2.40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6378.66万元，较2025年预算减少3225.95万元，其中：基本支出增加19.01万元，主要为新增人员、2025年工资调标支出增加。项目支出减少3244.96万元，主要为没有新增项目，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2026年，我单位机关运行经费共计安排20.85万元，主要用于日常维修、办公用房水电费、办公用房取暖费、办公用房物业管理费等日常运行支出。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2.42万元，其中因公出国（境）费0.00万元；公务用车购置及运维费2.42万元（其中：公务用车购置费为0.00万元，公务用车运维费2.42万元)；公务接待费0.00万元。与2025年相比减少0.08万元，增减变化的主要原因是厉行节俭，减少公务用车运行维护费用。</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1、河北省晋州市职业技术中学改扩建及室外工程项目（专项债券）绩效目标表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13018324P00006410124U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河北省晋州市职业技术中学改扩建及室外工程项目（专项债券）</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514.70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514.70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河北省晋州市职业技术中学改扩建及室外工程项目（专项债券）</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1.确保项目顺利进行且高质量完成</w:t>
            </w:r>
          </w:p>
          <w:p>
            <w:pPr>
              <w:pStyle w:val="单元格样式2"/>
            </w:pPr>
            <w:r>
              <w:t xml:space="preserve">2.确保教学空间有效提升</w:t>
            </w:r>
          </w:p>
          <w:p>
            <w:pPr>
              <w:pStyle w:val="单元格样式2"/>
            </w:pPr>
            <w:r>
              <w:t xml:space="preserve">3.确保教学质量有效提升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教学楼宿舍楼装饰装修工程及室外工程完成率</w:t>
            </w:r>
          </w:p>
        </w:tc>
        <w:tc>
          <w:tcPr>
            <w:tcW w:w="5386" w:type="dxa"/>
            <w:vAlign w:val="center"/>
          </w:tcPr>
          <w:p>
            <w:pPr>
              <w:pStyle w:val="单元格样式2"/>
            </w:pPr>
            <w:r>
              <w:t xml:space="preserve">教学楼宿舍楼装饰装修工程及室外工程完成率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安装及室外工程完成率</w:t>
            </w:r>
          </w:p>
        </w:tc>
        <w:tc>
          <w:tcPr>
            <w:tcW w:w="5386" w:type="dxa"/>
            <w:vAlign w:val="center"/>
          </w:tcPr>
          <w:p>
            <w:pPr>
              <w:pStyle w:val="单元格样式2"/>
            </w:pPr>
            <w:r>
              <w:t xml:space="preserve">安装及室外工程完成率</w:t>
            </w:r>
          </w:p>
        </w:tc>
        <w:tc>
          <w:tcPr>
            <w:tcW w:w="2268" w:type="dxa"/>
            <w:vAlign w:val="center"/>
          </w:tcPr>
          <w:p>
            <w:pPr>
              <w:pStyle w:val="单元格样式2"/>
            </w:pPr>
            <w:r>
              <w:t xml:space="preserve">≥95%</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新建建筑验收合格率</w:t>
            </w:r>
          </w:p>
        </w:tc>
        <w:tc>
          <w:tcPr>
            <w:tcW w:w="5386" w:type="dxa"/>
            <w:vAlign w:val="center"/>
          </w:tcPr>
          <w:p>
            <w:pPr>
              <w:pStyle w:val="单元格样式2"/>
            </w:pPr>
            <w:r>
              <w:t xml:space="preserve">新建建筑验收合格率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本次资金需求</w:t>
            </w:r>
          </w:p>
        </w:tc>
        <w:tc>
          <w:tcPr>
            <w:tcW w:w="5386" w:type="dxa"/>
            <w:vAlign w:val="center"/>
          </w:tcPr>
          <w:p>
            <w:pPr>
              <w:pStyle w:val="单元格样式2"/>
            </w:pPr>
            <w:r>
              <w:t xml:space="preserve">本次资金需求</w:t>
            </w:r>
          </w:p>
        </w:tc>
        <w:tc>
          <w:tcPr>
            <w:tcW w:w="2268" w:type="dxa"/>
            <w:vAlign w:val="center"/>
          </w:tcPr>
          <w:p>
            <w:pPr>
              <w:pStyle w:val="单元格样式2"/>
            </w:pPr>
            <w:r>
              <w:t xml:space="preserve">5147009元</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提升服务能力</w:t>
            </w:r>
          </w:p>
        </w:tc>
        <w:tc>
          <w:tcPr>
            <w:tcW w:w="5386" w:type="dxa"/>
            <w:vAlign w:val="center"/>
          </w:tcPr>
          <w:p>
            <w:pPr>
              <w:pStyle w:val="单元格样式2"/>
            </w:pPr>
            <w:r>
              <w:t xml:space="preserve">提升服务能力比率</w:t>
            </w:r>
          </w:p>
        </w:tc>
        <w:tc>
          <w:tcPr>
            <w:tcW w:w="2268" w:type="dxa"/>
            <w:vAlign w:val="center"/>
          </w:tcPr>
          <w:p>
            <w:pPr>
              <w:pStyle w:val="单元格样式2"/>
            </w:pPr>
            <w:r>
              <w:t xml:space="preserve">≥90%</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2、冀财建[2024]178号下达2024年超长期特别国债项目（河北省晋州市第一中学学生宿舍楼、体育馆项目）绩效目标表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13018325P000064118736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冀财建[2024]178号下达2024年超长期特别国债项目（河北省晋州市第一中学学生宿舍楼、体育馆项目）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改善教学环境，确保项目顺利进行，如期完成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1.改善教学环境，提升教学楼质量，确保项目顺利进行，如期完成</w:t>
            </w:r>
          </w:p>
          <w:p>
            <w:pPr>
              <w:pStyle w:val="单元格样式2"/>
            </w:pPr>
            <w:r>
              <w:t xml:space="preserve">2.有效增加医院发展空间</w:t>
            </w:r>
          </w:p>
          <w:p>
            <w:pPr>
              <w:pStyle w:val="单元格样式2"/>
            </w:pPr>
            <w:r>
              <w:t xml:space="preserve">3.提升服务规模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宿舍楼、体育馆新建工程完成率</w:t>
            </w:r>
          </w:p>
        </w:tc>
        <w:tc>
          <w:tcPr>
            <w:tcW w:w="5386" w:type="dxa"/>
            <w:vAlign w:val="center"/>
          </w:tcPr>
          <w:p>
            <w:pPr>
              <w:pStyle w:val="单元格样式2"/>
            </w:pPr>
            <w:r>
              <w:t xml:space="preserve">宿舍楼、体育馆新建工程完成率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冀财建[2024]178号下达2024年超长期特别国债项目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新建建筑验收合格率</w:t>
            </w:r>
          </w:p>
        </w:tc>
        <w:tc>
          <w:tcPr>
            <w:tcW w:w="5386" w:type="dxa"/>
            <w:vAlign w:val="center"/>
          </w:tcPr>
          <w:p>
            <w:pPr>
              <w:pStyle w:val="单元格样式2"/>
            </w:pPr>
            <w:r>
              <w:t xml:space="preserve">新建建筑验收合格率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冀财建[2024]178号下达2024年超长期特别国债项目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工程及时完成率</w:t>
            </w:r>
          </w:p>
        </w:tc>
        <w:tc>
          <w:tcPr>
            <w:tcW w:w="5386" w:type="dxa"/>
            <w:vAlign w:val="center"/>
          </w:tcPr>
          <w:p>
            <w:pPr>
              <w:pStyle w:val="单元格样式2"/>
            </w:pPr>
            <w:r>
              <w:t xml:space="preserve">工程及时完成率</w:t>
            </w:r>
          </w:p>
        </w:tc>
        <w:tc>
          <w:tcPr>
            <w:tcW w:w="2268" w:type="dxa"/>
            <w:vAlign w:val="center"/>
          </w:tcPr>
          <w:p>
            <w:pPr>
              <w:pStyle w:val="单元格样式2"/>
            </w:pPr>
            <w:r>
              <w:t xml:space="preserve">≥98%</w:t>
            </w:r>
          </w:p>
        </w:tc>
        <w:tc>
          <w:tcPr>
            <w:tcW w:w="1276" w:type="dxa"/>
            <w:vAlign w:val="center"/>
          </w:tcPr>
          <w:p>
            <w:pPr>
              <w:pStyle w:val="单元格样式2"/>
            </w:pPr>
            <w:r>
              <w:t xml:space="preserve">冀财建[2024]178号下达2024年超长期特别国债项目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本次资金需求</w:t>
            </w:r>
          </w:p>
        </w:tc>
        <w:tc>
          <w:tcPr>
            <w:tcW w:w="5386" w:type="dxa"/>
            <w:vAlign w:val="center"/>
          </w:tcPr>
          <w:p>
            <w:pPr>
              <w:pStyle w:val="单元格样式2"/>
            </w:pPr>
            <w:r>
              <w:t xml:space="preserve">本次资金需求</w:t>
            </w:r>
          </w:p>
        </w:tc>
        <w:tc>
          <w:tcPr>
            <w:tcW w:w="2268" w:type="dxa"/>
            <w:vAlign w:val="center"/>
          </w:tcPr>
          <w:p>
            <w:pPr>
              <w:pStyle w:val="单元格样式2"/>
            </w:pPr>
            <w:r>
              <w:t xml:space="preserve">2550元</w:t>
            </w:r>
          </w:p>
        </w:tc>
        <w:tc>
          <w:tcPr>
            <w:tcW w:w="1276" w:type="dxa"/>
            <w:vAlign w:val="center"/>
          </w:tcPr>
          <w:p>
            <w:pPr>
              <w:pStyle w:val="单元格样式2"/>
            </w:pPr>
            <w:r>
              <w:t xml:space="preserve">冀财建[2024]178号下达2024年超长期特别国债项目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提升服务能力</w:t>
            </w:r>
          </w:p>
        </w:tc>
        <w:tc>
          <w:tcPr>
            <w:tcW w:w="5386" w:type="dxa"/>
            <w:vAlign w:val="center"/>
          </w:tcPr>
          <w:p>
            <w:pPr>
              <w:pStyle w:val="单元格样式2"/>
            </w:pPr>
            <w:r>
              <w:t xml:space="preserve">提升服务能力比率</w:t>
            </w:r>
          </w:p>
        </w:tc>
        <w:tc>
          <w:tcPr>
            <w:tcW w:w="2268" w:type="dxa"/>
            <w:vAlign w:val="center"/>
          </w:tcPr>
          <w:p>
            <w:pPr>
              <w:pStyle w:val="单元格样式2"/>
            </w:pPr>
            <w:r>
              <w:t xml:space="preserve">≥90%</w:t>
            </w:r>
          </w:p>
        </w:tc>
        <w:tc>
          <w:tcPr>
            <w:tcW w:w="1276" w:type="dxa"/>
            <w:vAlign w:val="center"/>
          </w:tcPr>
          <w:p>
            <w:pPr>
              <w:pStyle w:val="单元格样式2"/>
            </w:pPr>
            <w:r>
              <w:t xml:space="preserve">冀财建[2024]178号下达2024年超长期特别国债项目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受众群众满意度</w:t>
            </w:r>
          </w:p>
        </w:tc>
        <w:tc>
          <w:tcPr>
            <w:tcW w:w="5386" w:type="dxa"/>
            <w:vAlign w:val="center"/>
          </w:tcPr>
          <w:p>
            <w:pPr>
              <w:pStyle w:val="单元格样式2"/>
            </w:pPr>
            <w:r>
              <w:t xml:space="preserve">受众群众满意度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3、晋州市妇幼保健院二期项目（专项债券）绩效目标表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13018324P00006410419X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晋州市妇幼保健院二期项目（专项债券）</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晋州市妇幼保健院二期项目（专项债券）</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1.为了有效增加医院业务用房建筑规模</w:t>
            </w:r>
          </w:p>
          <w:p>
            <w:pPr>
              <w:pStyle w:val="单元格样式2"/>
            </w:pPr>
            <w:r>
              <w:t xml:space="preserve">2.为了有效提升医院发展空间</w:t>
            </w:r>
          </w:p>
          <w:p>
            <w:pPr>
              <w:pStyle w:val="单元格样式2"/>
            </w:pPr>
            <w:r>
              <w:t xml:space="preserve">3.为了有效提升服务规模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装饰装修及设备安装工程完成率</w:t>
            </w:r>
          </w:p>
        </w:tc>
        <w:tc>
          <w:tcPr>
            <w:tcW w:w="5386" w:type="dxa"/>
            <w:vAlign w:val="center"/>
          </w:tcPr>
          <w:p>
            <w:pPr>
              <w:pStyle w:val="单元格样式2"/>
            </w:pPr>
            <w:r>
              <w:t xml:space="preserve">装饰装修及设备安装工程完成率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冀财债[2024]26号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新建建筑验收合格率</w:t>
            </w:r>
          </w:p>
        </w:tc>
        <w:tc>
          <w:tcPr>
            <w:tcW w:w="5386" w:type="dxa"/>
            <w:vAlign w:val="center"/>
          </w:tcPr>
          <w:p>
            <w:pPr>
              <w:pStyle w:val="单元格样式2"/>
            </w:pPr>
            <w:r>
              <w:t xml:space="preserve">新建建筑验收合格率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冀财债[2024]26号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冀财债[2024]26号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本次资金需求</w:t>
            </w:r>
          </w:p>
        </w:tc>
        <w:tc>
          <w:tcPr>
            <w:tcW w:w="5386" w:type="dxa"/>
            <w:vAlign w:val="center"/>
          </w:tcPr>
          <w:p>
            <w:pPr>
              <w:pStyle w:val="单元格样式2"/>
            </w:pPr>
            <w:r>
              <w:t xml:space="preserve">本次资金需求</w:t>
            </w:r>
          </w:p>
        </w:tc>
        <w:tc>
          <w:tcPr>
            <w:tcW w:w="2268" w:type="dxa"/>
            <w:vAlign w:val="center"/>
          </w:tcPr>
          <w:p>
            <w:pPr>
              <w:pStyle w:val="单元格样式2"/>
            </w:pPr>
            <w:r>
              <w:t xml:space="preserve">1520273.07元</w:t>
            </w:r>
          </w:p>
        </w:tc>
        <w:tc>
          <w:tcPr>
            <w:tcW w:w="1276" w:type="dxa"/>
            <w:vAlign w:val="center"/>
          </w:tcPr>
          <w:p>
            <w:pPr>
              <w:pStyle w:val="单元格样式2"/>
            </w:pPr>
            <w:r>
              <w:t xml:space="preserve">冀财债[2024]26号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提升服务能力</w:t>
            </w:r>
          </w:p>
        </w:tc>
        <w:tc>
          <w:tcPr>
            <w:tcW w:w="5386" w:type="dxa"/>
            <w:vAlign w:val="center"/>
          </w:tcPr>
          <w:p>
            <w:pPr>
              <w:pStyle w:val="单元格样式2"/>
            </w:pPr>
            <w:r>
              <w:t xml:space="preserve">提升服务能力比率</w:t>
            </w:r>
          </w:p>
        </w:tc>
        <w:tc>
          <w:tcPr>
            <w:tcW w:w="2268" w:type="dxa"/>
            <w:vAlign w:val="center"/>
          </w:tcPr>
          <w:p>
            <w:pPr>
              <w:pStyle w:val="单元格样式2"/>
            </w:pPr>
            <w:r>
              <w:t xml:space="preserve">≥90%</w:t>
            </w:r>
          </w:p>
        </w:tc>
        <w:tc>
          <w:tcPr>
            <w:tcW w:w="1276" w:type="dxa"/>
            <w:vAlign w:val="center"/>
          </w:tcPr>
          <w:p>
            <w:pPr>
              <w:pStyle w:val="单元格样式2"/>
            </w:pPr>
            <w:r>
              <w:t xml:space="preserve">冀财债[2024]26号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4、晋州市人民医院新建医用楼项目（专项债券）绩效目标表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13018324P000064101096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晋州市人民医院新建医用楼项目（专项债券）</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2030.74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2030.74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晋州市人民医院新建医用楼项目（专项债券）</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1.为了有效增加医院业务用房建筑规模</w:t>
            </w:r>
          </w:p>
          <w:p>
            <w:pPr>
              <w:pStyle w:val="单元格样式2"/>
            </w:pPr>
            <w:r>
              <w:t xml:space="preserve">2.为了有效提升医院发展空间</w:t>
            </w:r>
          </w:p>
          <w:p>
            <w:pPr>
              <w:pStyle w:val="单元格样式2"/>
            </w:pPr>
            <w:r>
              <w:t xml:space="preserve">3.为了有效提升服务规模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安装工程完成率</w:t>
            </w:r>
          </w:p>
        </w:tc>
        <w:tc>
          <w:tcPr>
            <w:tcW w:w="5386" w:type="dxa"/>
            <w:vAlign w:val="center"/>
          </w:tcPr>
          <w:p>
            <w:pPr>
              <w:pStyle w:val="单元格样式2"/>
            </w:pPr>
            <w:r>
              <w:t xml:space="preserve">安装工程完成率</w:t>
            </w:r>
          </w:p>
        </w:tc>
        <w:tc>
          <w:tcPr>
            <w:tcW w:w="2268" w:type="dxa"/>
            <w:vAlign w:val="center"/>
          </w:tcPr>
          <w:p>
            <w:pPr>
              <w:pStyle w:val="单元格样式2"/>
            </w:pPr>
            <w:r>
              <w:t xml:space="preserve">≥80%</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新建建筑验收合格率</w:t>
            </w:r>
          </w:p>
        </w:tc>
        <w:tc>
          <w:tcPr>
            <w:tcW w:w="5386" w:type="dxa"/>
            <w:vAlign w:val="center"/>
          </w:tcPr>
          <w:p>
            <w:pPr>
              <w:pStyle w:val="单元格样式2"/>
            </w:pPr>
            <w:r>
              <w:t xml:space="preserve">新建建筑验收合格率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工程完成及时率</w:t>
            </w:r>
          </w:p>
        </w:tc>
        <w:tc>
          <w:tcPr>
            <w:tcW w:w="5386" w:type="dxa"/>
            <w:vAlign w:val="center"/>
          </w:tcPr>
          <w:p>
            <w:pPr>
              <w:pStyle w:val="单元格样式2"/>
            </w:pPr>
            <w:r>
              <w:t xml:space="preserve">工程完成及时率</w:t>
            </w:r>
          </w:p>
        </w:tc>
        <w:tc>
          <w:tcPr>
            <w:tcW w:w="2268" w:type="dxa"/>
            <w:vAlign w:val="center"/>
          </w:tcPr>
          <w:p>
            <w:pPr>
              <w:pStyle w:val="单元格样式2"/>
            </w:pPr>
            <w:r>
              <w:t xml:space="preserve">≥98%</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本次资金需求</w:t>
            </w:r>
          </w:p>
        </w:tc>
        <w:tc>
          <w:tcPr>
            <w:tcW w:w="5386" w:type="dxa"/>
            <w:vAlign w:val="center"/>
          </w:tcPr>
          <w:p>
            <w:pPr>
              <w:pStyle w:val="单元格样式2"/>
            </w:pPr>
            <w:r>
              <w:t xml:space="preserve">本次资金需求</w:t>
            </w:r>
          </w:p>
        </w:tc>
        <w:tc>
          <w:tcPr>
            <w:tcW w:w="2268" w:type="dxa"/>
            <w:vAlign w:val="center"/>
          </w:tcPr>
          <w:p>
            <w:pPr>
              <w:pStyle w:val="单元格样式2"/>
            </w:pPr>
            <w:r>
              <w:t xml:space="preserve">20307396.22元</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提升服务能力</w:t>
            </w:r>
          </w:p>
        </w:tc>
        <w:tc>
          <w:tcPr>
            <w:tcW w:w="5386" w:type="dxa"/>
            <w:vAlign w:val="center"/>
          </w:tcPr>
          <w:p>
            <w:pPr>
              <w:pStyle w:val="单元格样式2"/>
            </w:pPr>
            <w:r>
              <w:t xml:space="preserve">提升服务能力比率</w:t>
            </w:r>
          </w:p>
        </w:tc>
        <w:tc>
          <w:tcPr>
            <w:tcW w:w="2268" w:type="dxa"/>
            <w:vAlign w:val="center"/>
          </w:tcPr>
          <w:p>
            <w:pPr>
              <w:pStyle w:val="单元格样式2"/>
            </w:pPr>
            <w:r>
              <w:t xml:space="preserve">≥90%</w:t>
            </w:r>
          </w:p>
        </w:tc>
        <w:tc>
          <w:tcPr>
            <w:tcW w:w="1276" w:type="dxa"/>
            <w:vAlign w:val="center"/>
          </w:tcPr>
          <w:p>
            <w:pPr>
              <w:pStyle w:val="单元格样式2"/>
            </w:pPr>
            <w:r>
              <w:t xml:space="preserve">冀财债[2024]10号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5、晋州市时代幼儿园新建项目2（专项债券）绩效目标表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13018323P007810111284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晋州市时代幼儿园新建项目2（专项债券）</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晋州市时代幼儿园新建项目2（专项债券）</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1.确保项目顺利进行如期完工</w:t>
            </w:r>
          </w:p>
          <w:p>
            <w:pPr>
              <w:pStyle w:val="单元格样式2"/>
            </w:pPr>
            <w:r>
              <w:t xml:space="preserve">2.为了有效缓解周边幼儿入园问题</w:t>
            </w:r>
          </w:p>
          <w:p>
            <w:pPr>
              <w:pStyle w:val="单元格样式2"/>
            </w:pPr>
            <w:r>
              <w:t xml:space="preserve">3.有效缓解周边教育资源压力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安装工程完成率</w:t>
            </w:r>
          </w:p>
        </w:tc>
        <w:tc>
          <w:tcPr>
            <w:tcW w:w="5386" w:type="dxa"/>
            <w:vAlign w:val="center"/>
          </w:tcPr>
          <w:p>
            <w:pPr>
              <w:pStyle w:val="单元格样式2"/>
            </w:pPr>
            <w:r>
              <w:t xml:space="preserve">安装工程完成率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冀财债【2023】28号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新建建筑验收合格率</w:t>
            </w:r>
          </w:p>
        </w:tc>
        <w:tc>
          <w:tcPr>
            <w:tcW w:w="5386" w:type="dxa"/>
            <w:vAlign w:val="center"/>
          </w:tcPr>
          <w:p>
            <w:pPr>
              <w:pStyle w:val="单元格样式2"/>
            </w:pPr>
            <w:r>
              <w:t xml:space="preserve">新建建筑验收合格率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冀财债【2023】28号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本次资金需求</w:t>
            </w:r>
          </w:p>
        </w:tc>
        <w:tc>
          <w:tcPr>
            <w:tcW w:w="5386" w:type="dxa"/>
            <w:vAlign w:val="center"/>
          </w:tcPr>
          <w:p>
            <w:pPr>
              <w:pStyle w:val="单元格样式2"/>
            </w:pPr>
            <w:r>
              <w:t xml:space="preserve">本次资金需求</w:t>
            </w:r>
          </w:p>
        </w:tc>
        <w:tc>
          <w:tcPr>
            <w:tcW w:w="2268" w:type="dxa"/>
            <w:vAlign w:val="center"/>
          </w:tcPr>
          <w:p>
            <w:pPr>
              <w:pStyle w:val="单元格样式2"/>
            </w:pPr>
            <w:r>
              <w:t xml:space="preserve">3021652元</w:t>
            </w:r>
          </w:p>
        </w:tc>
        <w:tc>
          <w:tcPr>
            <w:tcW w:w="1276" w:type="dxa"/>
            <w:vAlign w:val="center"/>
          </w:tcPr>
          <w:p>
            <w:pPr>
              <w:pStyle w:val="单元格样式2"/>
            </w:pPr>
            <w:r>
              <w:t xml:space="preserve">冀财债【2023】28号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缓解周边教育资源压力比率</w:t>
            </w:r>
          </w:p>
        </w:tc>
        <w:tc>
          <w:tcPr>
            <w:tcW w:w="5386" w:type="dxa"/>
            <w:vAlign w:val="center"/>
          </w:tcPr>
          <w:p>
            <w:pPr>
              <w:pStyle w:val="单元格样式2"/>
            </w:pPr>
            <w:r>
              <w:t xml:space="preserve">缓解周边教育资源压力比率</w:t>
            </w:r>
          </w:p>
        </w:tc>
        <w:tc>
          <w:tcPr>
            <w:tcW w:w="2268" w:type="dxa"/>
            <w:vAlign w:val="center"/>
          </w:tcPr>
          <w:p>
            <w:pPr>
              <w:pStyle w:val="单元格样式2"/>
            </w:pPr>
            <w:r>
              <w:t xml:space="preserve">≥90%</w:t>
            </w:r>
          </w:p>
        </w:tc>
        <w:tc>
          <w:tcPr>
            <w:tcW w:w="1276" w:type="dxa"/>
            <w:vAlign w:val="center"/>
          </w:tcPr>
          <w:p>
            <w:pPr>
              <w:pStyle w:val="单元格样式2"/>
            </w:pPr>
            <w:r>
              <w:t xml:space="preserve">冀财债【2023】28号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6、晋州市中医药综合服务楼建设项目（专项债券）绩效目标表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13018323P00781011122E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晋州市中医药综合服务楼建设项目（专项债券）</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3568.24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3568.24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晋州市中医药综合服务楼建设项目（专项债券）</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1.为了有效增加业务用房建筑规模</w:t>
            </w:r>
          </w:p>
          <w:p>
            <w:pPr>
              <w:pStyle w:val="单元格样式2"/>
            </w:pPr>
            <w:r>
              <w:t xml:space="preserve">2.为了有效提升医院的发展空间</w:t>
            </w:r>
          </w:p>
          <w:p>
            <w:pPr>
              <w:pStyle w:val="单元格样式2"/>
            </w:pPr>
            <w:r>
              <w:t xml:space="preserve">3.为了有效提升医院的服务规模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主体工程完成率</w:t>
            </w:r>
          </w:p>
        </w:tc>
        <w:tc>
          <w:tcPr>
            <w:tcW w:w="5386" w:type="dxa"/>
            <w:vAlign w:val="center"/>
          </w:tcPr>
          <w:p>
            <w:pPr>
              <w:pStyle w:val="单元格样式2"/>
            </w:pPr>
            <w:r>
              <w:t xml:space="preserve">主体工程完成率</w:t>
            </w:r>
          </w:p>
        </w:tc>
        <w:tc>
          <w:tcPr>
            <w:tcW w:w="2268" w:type="dxa"/>
            <w:vAlign w:val="center"/>
          </w:tcPr>
          <w:p>
            <w:pPr>
              <w:pStyle w:val="单元格样式2"/>
            </w:pPr>
            <w:r>
              <w:t xml:space="preserve">100%</w:t>
            </w:r>
          </w:p>
        </w:tc>
        <w:tc>
          <w:tcPr>
            <w:tcW w:w="1276" w:type="dxa"/>
            <w:vAlign w:val="center"/>
          </w:tcPr>
          <w:p>
            <w:pPr>
              <w:pStyle w:val="单元格样式2"/>
            </w:pPr>
            <w:r>
              <w:t xml:space="preserve">冀财债【2023】9号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新建建筑验收合格率</w:t>
            </w:r>
          </w:p>
        </w:tc>
        <w:tc>
          <w:tcPr>
            <w:tcW w:w="5386" w:type="dxa"/>
            <w:vAlign w:val="center"/>
          </w:tcPr>
          <w:p>
            <w:pPr>
              <w:pStyle w:val="单元格样式2"/>
            </w:pPr>
            <w:r>
              <w:t xml:space="preserve">新建建筑验收合格率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冀财债【2023】9号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本次资金需求</w:t>
            </w:r>
          </w:p>
        </w:tc>
        <w:tc>
          <w:tcPr>
            <w:tcW w:w="5386" w:type="dxa"/>
            <w:vAlign w:val="center"/>
          </w:tcPr>
          <w:p>
            <w:pPr>
              <w:pStyle w:val="单元格样式2"/>
            </w:pPr>
            <w:r>
              <w:t xml:space="preserve">本次资金需求</w:t>
            </w:r>
          </w:p>
        </w:tc>
        <w:tc>
          <w:tcPr>
            <w:tcW w:w="2268" w:type="dxa"/>
            <w:vAlign w:val="center"/>
          </w:tcPr>
          <w:p>
            <w:pPr>
              <w:pStyle w:val="单元格样式2"/>
            </w:pPr>
            <w:r>
              <w:t xml:space="preserve">36615873.1元</w:t>
            </w:r>
          </w:p>
        </w:tc>
        <w:tc>
          <w:tcPr>
            <w:tcW w:w="1276" w:type="dxa"/>
            <w:vAlign w:val="center"/>
          </w:tcPr>
          <w:p>
            <w:pPr>
              <w:pStyle w:val="单元格样式2"/>
            </w:pPr>
            <w:r>
              <w:t xml:space="preserve">冀财债【2023】9号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提升服务能力</w:t>
            </w:r>
          </w:p>
        </w:tc>
        <w:tc>
          <w:tcPr>
            <w:tcW w:w="5386" w:type="dxa"/>
            <w:vAlign w:val="center"/>
          </w:tcPr>
          <w:p>
            <w:pPr>
              <w:pStyle w:val="单元格样式2"/>
            </w:pPr>
            <w:r>
              <w:t xml:space="preserve">提升服务能力比率</w:t>
            </w:r>
          </w:p>
        </w:tc>
        <w:tc>
          <w:tcPr>
            <w:tcW w:w="2268" w:type="dxa"/>
            <w:vAlign w:val="center"/>
          </w:tcPr>
          <w:p>
            <w:pPr>
              <w:pStyle w:val="单元格样式2"/>
            </w:pPr>
            <w:r>
              <w:t xml:space="preserve">≥90%</w:t>
            </w:r>
          </w:p>
        </w:tc>
        <w:tc>
          <w:tcPr>
            <w:tcW w:w="1276" w:type="dxa"/>
            <w:vAlign w:val="center"/>
          </w:tcPr>
          <w:p>
            <w:pPr>
              <w:pStyle w:val="单元格样式2"/>
            </w:pPr>
            <w:r>
              <w:t xml:space="preserve">冀财债【2023】9号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≥98%</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7、专业技术服务费、法律顾问、安保服务费绩效目标表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13018326P00032810082G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专业技术服务费、法律顾问、安保服务费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专业技术服务费、法律顾问、安保服务费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1.顺利完成代建项目工作，确保代建项目圆满完成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项目完成量</w:t>
            </w:r>
          </w:p>
        </w:tc>
        <w:tc>
          <w:tcPr>
            <w:tcW w:w="5386" w:type="dxa"/>
            <w:vAlign w:val="center"/>
          </w:tcPr>
          <w:p>
            <w:pPr>
              <w:pStyle w:val="单元格样式2"/>
            </w:pPr>
            <w:r>
              <w:t xml:space="preserve">项目完成量</w:t>
            </w:r>
          </w:p>
        </w:tc>
        <w:tc>
          <w:tcPr>
            <w:tcW w:w="2268" w:type="dxa"/>
            <w:vAlign w:val="center"/>
          </w:tcPr>
          <w:p>
            <w:pPr>
              <w:pStyle w:val="单元格样式2"/>
            </w:pPr>
            <w:r>
              <w:t xml:space="preserve">3个</w:t>
            </w:r>
          </w:p>
        </w:tc>
        <w:tc>
          <w:tcPr>
            <w:tcW w:w="1276" w:type="dxa"/>
            <w:vAlign w:val="center"/>
          </w:tcPr>
          <w:p>
            <w:pPr>
              <w:pStyle w:val="单元格样式2"/>
            </w:pPr>
            <w:r>
              <w:t xml:space="preserve">晋州市财政资金支出申请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服务项目完成率</w:t>
            </w:r>
          </w:p>
        </w:tc>
        <w:tc>
          <w:tcPr>
            <w:tcW w:w="5386" w:type="dxa"/>
            <w:vAlign w:val="center"/>
          </w:tcPr>
          <w:p>
            <w:pPr>
              <w:pStyle w:val="单元格样式2"/>
            </w:pPr>
            <w:r>
              <w:t xml:space="preserve">服务项目完成率</w:t>
            </w:r>
          </w:p>
        </w:tc>
        <w:tc>
          <w:tcPr>
            <w:tcW w:w="2268" w:type="dxa"/>
            <w:vAlign w:val="center"/>
          </w:tcPr>
          <w:p>
            <w:pPr>
              <w:pStyle w:val="单元格样式2"/>
            </w:pPr>
            <w:r>
              <w:t xml:space="preserve">100%</w:t>
            </w:r>
          </w:p>
        </w:tc>
        <w:tc>
          <w:tcPr>
            <w:tcW w:w="1276" w:type="dxa"/>
            <w:vAlign w:val="center"/>
          </w:tcPr>
          <w:p>
            <w:pPr>
              <w:pStyle w:val="单元格样式2"/>
            </w:pPr>
            <w:r>
              <w:t xml:space="preserve">晋州市财政资金支出申请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项目服务期限</w:t>
            </w:r>
          </w:p>
        </w:tc>
        <w:tc>
          <w:tcPr>
            <w:tcW w:w="5386" w:type="dxa"/>
            <w:vAlign w:val="center"/>
          </w:tcPr>
          <w:p>
            <w:pPr>
              <w:pStyle w:val="单元格样式2"/>
            </w:pPr>
            <w:r>
              <w:t xml:space="preserve">项目服务期限</w:t>
            </w:r>
          </w:p>
        </w:tc>
        <w:tc>
          <w:tcPr>
            <w:tcW w:w="2268" w:type="dxa"/>
            <w:vAlign w:val="center"/>
          </w:tcPr>
          <w:p>
            <w:pPr>
              <w:pStyle w:val="单元格样式2"/>
            </w:pPr>
            <w:r>
              <w:t xml:space="preserve">服务期限到2026年12月31日</w:t>
            </w:r>
          </w:p>
        </w:tc>
        <w:tc>
          <w:tcPr>
            <w:tcW w:w="1276" w:type="dxa"/>
            <w:vAlign w:val="center"/>
          </w:tcPr>
          <w:p>
            <w:pPr>
              <w:pStyle w:val="单元格样式2"/>
            </w:pPr>
            <w:r>
              <w:t xml:space="preserve">晋州市财政资金支出申请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资金总成本</w:t>
            </w:r>
          </w:p>
        </w:tc>
        <w:tc>
          <w:tcPr>
            <w:tcW w:w="2268" w:type="dxa"/>
            <w:vAlign w:val="center"/>
          </w:tcPr>
          <w:p>
            <w:pPr>
              <w:pStyle w:val="单元格样式2"/>
            </w:pPr>
            <w:r>
              <w:t xml:space="preserve">3万元</w:t>
            </w:r>
          </w:p>
        </w:tc>
        <w:tc>
          <w:tcPr>
            <w:tcW w:w="1276" w:type="dxa"/>
            <w:vAlign w:val="center"/>
          </w:tcPr>
          <w:p>
            <w:pPr>
              <w:pStyle w:val="单元格样式2"/>
            </w:pPr>
            <w:r>
              <w:t xml:space="preserve">晋州市财政资金支出申请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政府投资项目持续发展作用力</w:t>
            </w:r>
          </w:p>
        </w:tc>
        <w:tc>
          <w:tcPr>
            <w:tcW w:w="2268" w:type="dxa"/>
            <w:vAlign w:val="center"/>
          </w:tcPr>
          <w:p>
            <w:pPr>
              <w:pStyle w:val="单元格样式2"/>
            </w:pPr>
            <w:r>
              <w:t xml:space="preserve">可持续</w:t>
            </w:r>
          </w:p>
        </w:tc>
        <w:tc>
          <w:tcPr>
            <w:tcW w:w="1276" w:type="dxa"/>
            <w:vAlign w:val="center"/>
          </w:tcPr>
          <w:p>
            <w:pPr>
              <w:pStyle w:val="单元格样式2"/>
            </w:pPr>
            <w:r>
              <w:t xml:space="preserve">晋州市财政资金支出申请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2.24</w:t>
            </w:r>
          </w:p>
        </w:tc>
        <w:tc>
          <w:tcPr>
            <w:tcW w:w="964" w:type="dxa"/>
            <w:vAlign w:val="center"/>
          </w:tcPr>
          <w:p>
            <w:pPr>
              <w:pStyle w:val="单元格样式7"/>
            </w:pPr>
            <w:r>
              <w:t xml:space="preserve">2.24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2.24</w:t>
            </w:r>
          </w:p>
        </w:tc>
      </w:tr>
      <w:tr>
        <w:tblPrEx>
          <w:jc w:val="center"/>
          <w:tblLayout w:type="fixed"/>
        </w:tblPrEx>
        <w:trPr>
          <w:jc w:val="center"/>
        </w:trPr>
        <w:tc>
          <w:tcPr>
            <w:tcW w:w="1701" w:type="dxa"/>
            <w:vAlign w:val="center"/>
          </w:tcPr>
          <w:p>
            <w:pPr>
              <w:pStyle w:val="单元格样式6"/>
            </w:pPr>
            <w:r>
              <w:t xml:space="preserve">晋州市政府投资项目代建中心小计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2.24</w:t>
            </w:r>
          </w:p>
        </w:tc>
        <w:tc>
          <w:tcPr>
            <w:tcW w:w="964" w:type="dxa"/>
            <w:vAlign w:val="center"/>
          </w:tcPr>
          <w:p>
            <w:pPr>
              <w:pStyle w:val="单元格样式7"/>
            </w:pPr>
            <w:r>
              <w:t xml:space="preserve">2.24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2.24</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4.04</w:t>
            </w:r>
          </w:p>
        </w:tc>
        <w:tc>
          <w:tcPr>
            <w:tcW w:w="1134" w:type="dxa"/>
            <w:vAlign w:val="center"/>
          </w:tcPr>
          <w:p>
            <w:pPr>
              <w:pStyle w:val="单元格样式2"/>
            </w:pPr>
            <w:r>
              <w:t xml:space="preserve">其他办公用品</w:t>
            </w:r>
          </w:p>
        </w:tc>
        <w:tc>
          <w:tcPr>
            <w:tcW w:w="1134" w:type="dxa"/>
            <w:vAlign w:val="center"/>
          </w:tcPr>
          <w:p>
            <w:pPr>
              <w:pStyle w:val="单元格样式2"/>
            </w:pPr>
            <w:r>
              <w:t xml:space="preserve">A05049900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2.24</w:t>
            </w:r>
          </w:p>
        </w:tc>
        <w:tc>
          <w:tcPr>
            <w:tcW w:w="964" w:type="dxa"/>
            <w:vAlign w:val="center"/>
          </w:tcPr>
          <w:p>
            <w:pPr>
              <w:pStyle w:val="单元格样式4"/>
            </w:pPr>
            <w:r>
              <w:t xml:space="preserve">2.24</w:t>
            </w:r>
          </w:p>
        </w:tc>
        <w:tc>
          <w:tcPr>
            <w:tcW w:w="964" w:type="dxa"/>
            <w:vAlign w:val="center"/>
          </w:tcPr>
          <w:p>
            <w:pPr>
              <w:pStyle w:val="单元格样式4"/>
            </w:pPr>
            <w:r>
              <w:t xml:space="preserve">2.24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2.24</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晋州市政府投资项目代建中心上年末固定资产金额为28.44万元（详见下表）。本年度拟购置固定资产总额为0.00万元，已按要求列入政府采购预算，详见政府采购预算表。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809001晋州市政府投资项目代建中心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28.44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16.00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171</w:t>
            </w:r>
          </w:p>
        </w:tc>
        <w:tc>
          <w:tcPr>
            <w:tcW w:w="2835" w:type="dxa"/>
            <w:vAlign w:val="center"/>
          </w:tcPr>
          <w:p>
            <w:pPr>
              <w:pStyle w:val="单元格样式4"/>
            </w:pPr>
            <w:r>
              <w:t xml:space="preserve">12.44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2026-03-02T15:20:04Z</dcterms:created>
  <dcterms:modified xsi:type="dcterms:W3CDTF">2026-03-02T15:20:04Z</dcterms:modified>
</cp:coreProperties>
</file>