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一、中国共产党晋州市委员会政法委员会本级收支预算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一、中国共产党晋州市委员会政法委员会本级收支预算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1098.64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1098.64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1098.64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1098.64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1098.64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1098.64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1098.64</w:t>
            </w:r>
          </w:p>
        </w:tc>
        <w:tc>
          <w:tcPr>
            <w:tcW w:w="1134" w:type="dxa"/>
            <w:vAlign w:val="center"/>
          </w:tcPr>
          <w:p>
            <w:pPr>
              <w:pStyle w:val="单元格样式7"/>
            </w:pPr>
            <w:r>
              <w:t xml:space="preserve">1098.64</w:t>
            </w:r>
          </w:p>
        </w:tc>
        <w:tc>
          <w:tcPr>
            <w:tcW w:w="1134" w:type="dxa"/>
            <w:vAlign w:val="center"/>
          </w:tcPr>
          <w:p>
            <w:pPr>
              <w:pStyle w:val="单元格样式7"/>
            </w:pPr>
            <w:r>
              <w:t xml:space="preserve">1098.64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1098.64</w:t>
            </w:r>
          </w:p>
        </w:tc>
        <w:tc>
          <w:tcPr>
            <w:tcW w:w="1134" w:type="dxa"/>
            <w:vAlign w:val="center"/>
          </w:tcPr>
          <w:p>
            <w:pPr>
              <w:pStyle w:val="单元格样式4"/>
            </w:pPr>
            <w:r>
              <w:t xml:space="preserve">1098.64</w:t>
            </w:r>
          </w:p>
        </w:tc>
        <w:tc>
          <w:tcPr>
            <w:tcW w:w="1134" w:type="dxa"/>
            <w:vAlign w:val="center"/>
          </w:tcPr>
          <w:p>
            <w:pPr>
              <w:pStyle w:val="单元格样式4"/>
            </w:pPr>
            <w:r>
              <w:t xml:space="preserve">1098.64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20136</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1098.64</w:t>
            </w:r>
          </w:p>
        </w:tc>
        <w:tc>
          <w:tcPr>
            <w:tcW w:w="1134" w:type="dxa"/>
            <w:vAlign w:val="center"/>
          </w:tcPr>
          <w:p>
            <w:pPr>
              <w:pStyle w:val="单元格样式4"/>
            </w:pPr>
            <w:r>
              <w:t xml:space="preserve">1098.64</w:t>
            </w:r>
          </w:p>
        </w:tc>
        <w:tc>
          <w:tcPr>
            <w:tcW w:w="1134" w:type="dxa"/>
            <w:vAlign w:val="center"/>
          </w:tcPr>
          <w:p>
            <w:pPr>
              <w:pStyle w:val="单元格样式4"/>
            </w:pPr>
            <w:r>
              <w:t xml:space="preserve">1098.64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452.67</w:t>
            </w:r>
          </w:p>
        </w:tc>
        <w:tc>
          <w:tcPr>
            <w:tcW w:w="1134" w:type="dxa"/>
            <w:vAlign w:val="center"/>
          </w:tcPr>
          <w:p>
            <w:pPr>
              <w:pStyle w:val="单元格样式4"/>
            </w:pPr>
            <w:r>
              <w:t xml:space="preserve">452.67</w:t>
            </w:r>
          </w:p>
        </w:tc>
        <w:tc>
          <w:tcPr>
            <w:tcW w:w="1134" w:type="dxa"/>
            <w:vAlign w:val="center"/>
          </w:tcPr>
          <w:p>
            <w:pPr>
              <w:pStyle w:val="单元格样式4"/>
            </w:pPr>
            <w:r>
              <w:t xml:space="preserve">452.67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2013699</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645.97</w:t>
            </w:r>
          </w:p>
        </w:tc>
        <w:tc>
          <w:tcPr>
            <w:tcW w:w="1134" w:type="dxa"/>
            <w:vAlign w:val="center"/>
          </w:tcPr>
          <w:p>
            <w:pPr>
              <w:pStyle w:val="单元格样式4"/>
            </w:pPr>
            <w:r>
              <w:t xml:space="preserve">645.97</w:t>
            </w:r>
          </w:p>
        </w:tc>
        <w:tc>
          <w:tcPr>
            <w:tcW w:w="1134" w:type="dxa"/>
            <w:vAlign w:val="center"/>
          </w:tcPr>
          <w:p>
            <w:pPr>
              <w:pStyle w:val="单元格样式4"/>
            </w:pPr>
            <w:r>
              <w:t xml:space="preserve">645.97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1098.64</w:t>
            </w:r>
          </w:p>
        </w:tc>
        <w:tc>
          <w:tcPr>
            <w:tcW w:w="1361" w:type="dxa"/>
            <w:vAlign w:val="center"/>
          </w:tcPr>
          <w:p>
            <w:pPr>
              <w:pStyle w:val="单元格样式7"/>
            </w:pPr>
            <w:r>
              <w:t xml:space="preserve">452.67</w:t>
            </w:r>
          </w:p>
        </w:tc>
        <w:tc>
          <w:tcPr>
            <w:tcW w:w="1361" w:type="dxa"/>
            <w:vAlign w:val="center"/>
          </w:tcPr>
          <w:p>
            <w:pPr>
              <w:pStyle w:val="单元格样式7"/>
            </w:pPr>
            <w:r>
              <w:t xml:space="preserve">645.97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1098.64</w:t>
            </w:r>
          </w:p>
        </w:tc>
        <w:tc>
          <w:tcPr>
            <w:tcW w:w="1361" w:type="dxa"/>
            <w:vAlign w:val="center"/>
          </w:tcPr>
          <w:p>
            <w:pPr>
              <w:pStyle w:val="单元格样式4"/>
            </w:pPr>
            <w:r>
              <w:t xml:space="preserve">452.67</w:t>
            </w:r>
          </w:p>
        </w:tc>
        <w:tc>
          <w:tcPr>
            <w:tcW w:w="1361" w:type="dxa"/>
            <w:vAlign w:val="center"/>
          </w:tcPr>
          <w:p>
            <w:pPr>
              <w:pStyle w:val="单元格样式4"/>
            </w:pPr>
            <w:r>
              <w:t xml:space="preserve">645.97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1098.64</w:t>
            </w:r>
          </w:p>
        </w:tc>
        <w:tc>
          <w:tcPr>
            <w:tcW w:w="1361" w:type="dxa"/>
            <w:vAlign w:val="center"/>
          </w:tcPr>
          <w:p>
            <w:pPr>
              <w:pStyle w:val="单元格样式4"/>
            </w:pPr>
            <w:r>
              <w:t xml:space="preserve">452.67</w:t>
            </w:r>
          </w:p>
        </w:tc>
        <w:tc>
          <w:tcPr>
            <w:tcW w:w="1361" w:type="dxa"/>
            <w:vAlign w:val="center"/>
          </w:tcPr>
          <w:p>
            <w:pPr>
              <w:pStyle w:val="单元格样式4"/>
            </w:pPr>
            <w:r>
              <w:t xml:space="preserve">645.97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452.67</w:t>
            </w:r>
          </w:p>
        </w:tc>
        <w:tc>
          <w:tcPr>
            <w:tcW w:w="1361" w:type="dxa"/>
            <w:vAlign w:val="center"/>
          </w:tcPr>
          <w:p>
            <w:pPr>
              <w:pStyle w:val="单元格样式4"/>
            </w:pPr>
            <w:r>
              <w:t xml:space="preserve">452.67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2013699</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645.97</w:t>
            </w:r>
          </w:p>
        </w:tc>
        <w:tc>
          <w:tcPr>
            <w:tcW w:w="1361" w:type="dxa"/>
            <w:vAlign w:val="center"/>
          </w:tcPr>
          <w:p>
            <w:pPr>
              <w:pStyle w:val="单元格样式4"/>
            </w:pPr>
          </w:p>
        </w:tc>
        <w:tc>
          <w:tcPr>
            <w:tcW w:w="1361" w:type="dxa"/>
            <w:vAlign w:val="center"/>
          </w:tcPr>
          <w:p>
            <w:pPr>
              <w:pStyle w:val="单元格样式4"/>
            </w:pPr>
            <w:r>
              <w:t xml:space="preserve">645.97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1098.64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1098.64</w:t>
            </w:r>
          </w:p>
        </w:tc>
        <w:tc>
          <w:tcPr>
            <w:tcW w:w="1474" w:type="dxa"/>
            <w:vAlign w:val="center"/>
          </w:tcPr>
          <w:p>
            <w:pPr>
              <w:pStyle w:val="单元格样式4"/>
            </w:pPr>
            <w:r>
              <w:t xml:space="preserve">1098.64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1098.64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1098.64</w:t>
            </w:r>
          </w:p>
        </w:tc>
        <w:tc>
          <w:tcPr>
            <w:tcW w:w="1474" w:type="dxa"/>
            <w:vAlign w:val="center"/>
          </w:tcPr>
          <w:p>
            <w:pPr>
              <w:pStyle w:val="单元格样式7"/>
            </w:pPr>
            <w:r>
              <w:t xml:space="preserve">1098.64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1098.64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1098.64</w:t>
            </w:r>
          </w:p>
        </w:tc>
        <w:tc>
          <w:tcPr>
            <w:tcW w:w="1474" w:type="dxa"/>
            <w:vAlign w:val="center"/>
          </w:tcPr>
          <w:p>
            <w:pPr>
              <w:pStyle w:val="单元格样式7"/>
            </w:pPr>
            <w:r>
              <w:t xml:space="preserve">1098.64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1098.64</w:t>
            </w:r>
          </w:p>
        </w:tc>
        <w:tc>
          <w:tcPr>
            <w:tcW w:w="2551" w:type="dxa"/>
            <w:vAlign w:val="center"/>
          </w:tcPr>
          <w:p>
            <w:pPr>
              <w:pStyle w:val="单元格样式7"/>
            </w:pPr>
            <w:r>
              <w:t xml:space="preserve">452.67</w:t>
            </w:r>
          </w:p>
        </w:tc>
        <w:tc>
          <w:tcPr>
            <w:tcW w:w="2551" w:type="dxa"/>
            <w:vAlign w:val="center"/>
          </w:tcPr>
          <w:p>
            <w:pPr>
              <w:pStyle w:val="单元格样式7"/>
            </w:pPr>
            <w:r>
              <w:t xml:space="preserve">645.97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1098.64</w:t>
            </w:r>
          </w:p>
        </w:tc>
        <w:tc>
          <w:tcPr>
            <w:tcW w:w="2551" w:type="dxa"/>
            <w:vAlign w:val="center"/>
          </w:tcPr>
          <w:p>
            <w:pPr>
              <w:pStyle w:val="单元格样式4"/>
            </w:pPr>
            <w:r>
              <w:t xml:space="preserve">452.67</w:t>
            </w:r>
          </w:p>
        </w:tc>
        <w:tc>
          <w:tcPr>
            <w:tcW w:w="2551" w:type="dxa"/>
            <w:vAlign w:val="center"/>
          </w:tcPr>
          <w:p>
            <w:pPr>
              <w:pStyle w:val="单元格样式4"/>
            </w:pPr>
            <w:r>
              <w:t xml:space="preserve">645.97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1098.64</w:t>
            </w:r>
          </w:p>
        </w:tc>
        <w:tc>
          <w:tcPr>
            <w:tcW w:w="2551" w:type="dxa"/>
            <w:vAlign w:val="center"/>
          </w:tcPr>
          <w:p>
            <w:pPr>
              <w:pStyle w:val="单元格样式4"/>
            </w:pPr>
            <w:r>
              <w:t xml:space="preserve">452.67</w:t>
            </w:r>
          </w:p>
        </w:tc>
        <w:tc>
          <w:tcPr>
            <w:tcW w:w="2551" w:type="dxa"/>
            <w:vAlign w:val="center"/>
          </w:tcPr>
          <w:p>
            <w:pPr>
              <w:pStyle w:val="单元格样式4"/>
            </w:pPr>
            <w:r>
              <w:t xml:space="preserve">645.97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452.67</w:t>
            </w:r>
          </w:p>
        </w:tc>
        <w:tc>
          <w:tcPr>
            <w:tcW w:w="2551" w:type="dxa"/>
            <w:vAlign w:val="center"/>
          </w:tcPr>
          <w:p>
            <w:pPr>
              <w:pStyle w:val="单元格样式4"/>
            </w:pPr>
            <w:r>
              <w:t xml:space="preserve">452.67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2013699</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645.97</w:t>
            </w:r>
          </w:p>
        </w:tc>
        <w:tc>
          <w:tcPr>
            <w:tcW w:w="2551" w:type="dxa"/>
            <w:vAlign w:val="center"/>
          </w:tcPr>
          <w:p>
            <w:pPr>
              <w:pStyle w:val="单元格样式4"/>
            </w:pPr>
          </w:p>
        </w:tc>
        <w:tc>
          <w:tcPr>
            <w:tcW w:w="2551" w:type="dxa"/>
            <w:vAlign w:val="center"/>
          </w:tcPr>
          <w:p>
            <w:pPr>
              <w:pStyle w:val="单元格样式4"/>
            </w:pPr>
            <w:r>
              <w:t xml:space="preserve">645.97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452.67</w:t>
            </w:r>
          </w:p>
        </w:tc>
        <w:tc>
          <w:tcPr>
            <w:tcW w:w="2551" w:type="dxa"/>
            <w:vAlign w:val="center"/>
          </w:tcPr>
          <w:p>
            <w:pPr>
              <w:pStyle w:val="单元格样式7"/>
            </w:pPr>
            <w:r>
              <w:t xml:space="preserve">402.22</w:t>
            </w:r>
          </w:p>
        </w:tc>
        <w:tc>
          <w:tcPr>
            <w:tcW w:w="2551" w:type="dxa"/>
            <w:vAlign w:val="center"/>
          </w:tcPr>
          <w:p>
            <w:pPr>
              <w:pStyle w:val="单元格样式7"/>
            </w:pPr>
            <w:r>
              <w:t xml:space="preserve">50.45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365.56</w:t>
            </w:r>
          </w:p>
        </w:tc>
        <w:tc>
          <w:tcPr>
            <w:tcW w:w="2551" w:type="dxa"/>
            <w:vAlign w:val="center"/>
          </w:tcPr>
          <w:p>
            <w:pPr>
              <w:pStyle w:val="单元格样式4"/>
            </w:pPr>
            <w:r>
              <w:t xml:space="preserve">365.56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131.34</w:t>
            </w:r>
          </w:p>
        </w:tc>
        <w:tc>
          <w:tcPr>
            <w:tcW w:w="2551" w:type="dxa"/>
            <w:vAlign w:val="center"/>
          </w:tcPr>
          <w:p>
            <w:pPr>
              <w:pStyle w:val="单元格样式4"/>
            </w:pPr>
            <w:r>
              <w:t xml:space="preserve">131.34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80.92</w:t>
            </w:r>
          </w:p>
        </w:tc>
        <w:tc>
          <w:tcPr>
            <w:tcW w:w="2551" w:type="dxa"/>
            <w:vAlign w:val="center"/>
          </w:tcPr>
          <w:p>
            <w:pPr>
              <w:pStyle w:val="单元格样式4"/>
            </w:pPr>
            <w:r>
              <w:t xml:space="preserve">80.92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46.21</w:t>
            </w:r>
          </w:p>
        </w:tc>
        <w:tc>
          <w:tcPr>
            <w:tcW w:w="2551" w:type="dxa"/>
            <w:vAlign w:val="center"/>
          </w:tcPr>
          <w:p>
            <w:pPr>
              <w:pStyle w:val="单元格样式4"/>
            </w:pPr>
            <w:r>
              <w:t xml:space="preserve">46.21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18.57</w:t>
            </w:r>
          </w:p>
        </w:tc>
        <w:tc>
          <w:tcPr>
            <w:tcW w:w="2551" w:type="dxa"/>
            <w:vAlign w:val="center"/>
          </w:tcPr>
          <w:p>
            <w:pPr>
              <w:pStyle w:val="单元格样式4"/>
            </w:pPr>
            <w:r>
              <w:t xml:space="preserve">18.57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34.98</w:t>
            </w:r>
          </w:p>
        </w:tc>
        <w:tc>
          <w:tcPr>
            <w:tcW w:w="2551" w:type="dxa"/>
            <w:vAlign w:val="center"/>
          </w:tcPr>
          <w:p>
            <w:pPr>
              <w:pStyle w:val="单元格样式4"/>
            </w:pPr>
            <w:r>
              <w:t xml:space="preserve">34.98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13.74</w:t>
            </w:r>
          </w:p>
        </w:tc>
        <w:tc>
          <w:tcPr>
            <w:tcW w:w="2551" w:type="dxa"/>
            <w:vAlign w:val="center"/>
          </w:tcPr>
          <w:p>
            <w:pPr>
              <w:pStyle w:val="单元格样式4"/>
            </w:pPr>
            <w:r>
              <w:t xml:space="preserve">13.74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6.98</w:t>
            </w:r>
          </w:p>
        </w:tc>
        <w:tc>
          <w:tcPr>
            <w:tcW w:w="2551" w:type="dxa"/>
            <w:vAlign w:val="center"/>
          </w:tcPr>
          <w:p>
            <w:pPr>
              <w:pStyle w:val="单元格样式4"/>
            </w:pPr>
            <w:r>
              <w:t xml:space="preserve">6.98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1.40</w:t>
            </w:r>
          </w:p>
        </w:tc>
        <w:tc>
          <w:tcPr>
            <w:tcW w:w="2551" w:type="dxa"/>
            <w:vAlign w:val="center"/>
          </w:tcPr>
          <w:p>
            <w:pPr>
              <w:pStyle w:val="单元格样式4"/>
            </w:pPr>
            <w:r>
              <w:t xml:space="preserve">1.40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31.42</w:t>
            </w:r>
          </w:p>
        </w:tc>
        <w:tc>
          <w:tcPr>
            <w:tcW w:w="2551" w:type="dxa"/>
            <w:vAlign w:val="center"/>
          </w:tcPr>
          <w:p>
            <w:pPr>
              <w:pStyle w:val="单元格样式4"/>
            </w:pPr>
            <w:r>
              <w:t xml:space="preserve">31.42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50.45</w:t>
            </w:r>
          </w:p>
        </w:tc>
        <w:tc>
          <w:tcPr>
            <w:tcW w:w="2551" w:type="dxa"/>
            <w:vAlign w:val="center"/>
          </w:tcPr>
          <w:p>
            <w:pPr>
              <w:pStyle w:val="单元格样式4"/>
            </w:pPr>
          </w:p>
        </w:tc>
        <w:tc>
          <w:tcPr>
            <w:tcW w:w="2551" w:type="dxa"/>
            <w:vAlign w:val="center"/>
          </w:tcPr>
          <w:p>
            <w:pPr>
              <w:pStyle w:val="单元格样式4"/>
            </w:pPr>
            <w:r>
              <w:t xml:space="preserve">50.45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5.84</w:t>
            </w:r>
          </w:p>
        </w:tc>
        <w:tc>
          <w:tcPr>
            <w:tcW w:w="2551" w:type="dxa"/>
            <w:vAlign w:val="center"/>
          </w:tcPr>
          <w:p>
            <w:pPr>
              <w:pStyle w:val="单元格样式4"/>
            </w:pPr>
          </w:p>
        </w:tc>
        <w:tc>
          <w:tcPr>
            <w:tcW w:w="2551" w:type="dxa"/>
            <w:vAlign w:val="center"/>
          </w:tcPr>
          <w:p>
            <w:pPr>
              <w:pStyle w:val="单元格样式4"/>
            </w:pPr>
            <w:r>
              <w:t xml:space="preserve">5.84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0.39</w:t>
            </w:r>
          </w:p>
        </w:tc>
        <w:tc>
          <w:tcPr>
            <w:tcW w:w="2551" w:type="dxa"/>
            <w:vAlign w:val="center"/>
          </w:tcPr>
          <w:p>
            <w:pPr>
              <w:pStyle w:val="单元格样式4"/>
            </w:pPr>
          </w:p>
        </w:tc>
        <w:tc>
          <w:tcPr>
            <w:tcW w:w="2551" w:type="dxa"/>
            <w:vAlign w:val="center"/>
          </w:tcPr>
          <w:p>
            <w:pPr>
              <w:pStyle w:val="单元格样式4"/>
            </w:pPr>
            <w:r>
              <w:t xml:space="preserve">0.39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11.13</w:t>
            </w:r>
          </w:p>
        </w:tc>
        <w:tc>
          <w:tcPr>
            <w:tcW w:w="2551" w:type="dxa"/>
            <w:vAlign w:val="center"/>
          </w:tcPr>
          <w:p>
            <w:pPr>
              <w:pStyle w:val="单元格样式4"/>
            </w:pPr>
          </w:p>
        </w:tc>
        <w:tc>
          <w:tcPr>
            <w:tcW w:w="2551" w:type="dxa"/>
            <w:vAlign w:val="center"/>
          </w:tcPr>
          <w:p>
            <w:pPr>
              <w:pStyle w:val="单元格样式4"/>
            </w:pPr>
            <w:r>
              <w:t xml:space="preserve">11.13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2.97</w:t>
            </w:r>
          </w:p>
        </w:tc>
        <w:tc>
          <w:tcPr>
            <w:tcW w:w="2551" w:type="dxa"/>
            <w:vAlign w:val="center"/>
          </w:tcPr>
          <w:p>
            <w:pPr>
              <w:pStyle w:val="单元格样式4"/>
            </w:pPr>
          </w:p>
        </w:tc>
        <w:tc>
          <w:tcPr>
            <w:tcW w:w="2551" w:type="dxa"/>
            <w:vAlign w:val="center"/>
          </w:tcPr>
          <w:p>
            <w:pPr>
              <w:pStyle w:val="单元格样式4"/>
            </w:pPr>
            <w:r>
              <w:t xml:space="preserve">2.97</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14.16</w:t>
            </w:r>
          </w:p>
        </w:tc>
        <w:tc>
          <w:tcPr>
            <w:tcW w:w="2551" w:type="dxa"/>
            <w:vAlign w:val="center"/>
          </w:tcPr>
          <w:p>
            <w:pPr>
              <w:pStyle w:val="单元格样式4"/>
            </w:pPr>
          </w:p>
        </w:tc>
        <w:tc>
          <w:tcPr>
            <w:tcW w:w="2551" w:type="dxa"/>
            <w:vAlign w:val="center"/>
          </w:tcPr>
          <w:p>
            <w:pPr>
              <w:pStyle w:val="单元格样式4"/>
            </w:pPr>
            <w:r>
              <w:t xml:space="preserve">14.16</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7.54</w:t>
            </w:r>
          </w:p>
        </w:tc>
        <w:tc>
          <w:tcPr>
            <w:tcW w:w="2551" w:type="dxa"/>
            <w:vAlign w:val="center"/>
          </w:tcPr>
          <w:p>
            <w:pPr>
              <w:pStyle w:val="单元格样式4"/>
            </w:pPr>
          </w:p>
        </w:tc>
        <w:tc>
          <w:tcPr>
            <w:tcW w:w="2551" w:type="dxa"/>
            <w:vAlign w:val="center"/>
          </w:tcPr>
          <w:p>
            <w:pPr>
              <w:pStyle w:val="单元格样式4"/>
            </w:pPr>
            <w:r>
              <w:t xml:space="preserve">7.54</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36.66</w:t>
            </w:r>
          </w:p>
        </w:tc>
        <w:tc>
          <w:tcPr>
            <w:tcW w:w="2551" w:type="dxa"/>
            <w:vAlign w:val="center"/>
          </w:tcPr>
          <w:p>
            <w:pPr>
              <w:pStyle w:val="单元格样式4"/>
            </w:pPr>
            <w:r>
              <w:t xml:space="preserve">36.66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36.66</w:t>
            </w:r>
          </w:p>
        </w:tc>
        <w:tc>
          <w:tcPr>
            <w:tcW w:w="2551" w:type="dxa"/>
            <w:vAlign w:val="center"/>
          </w:tcPr>
          <w:p>
            <w:pPr>
              <w:pStyle w:val="单元格样式4"/>
            </w:pPr>
            <w:r>
              <w:t xml:space="preserve">36.66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中国共产党晋州市委员会政法委员会本级2026年单位预算信息公开情况说明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按照《中华人民共和国预算法》、《地方预决算公开操作规程》和《关于进一步推进预算公开工作的实施意见》规定，现将中国共产党晋州市委员会政法委员会本级2026年单位预算公开如下：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深入学习贯彻习近平新时代中国特色社会主义思想，坚持党对政法工作的绝对领导，坚决维护习近平总书记党中央的核心、全党的核心地位，坚决维护党中央权威和集中统一领导。深入贯彻党的路线方针政策和中央、省委、石家庄市委、晋州市委的决策部署，统一全市政法单位和行动，确保政法单位坚定的政治方向。</w:t>
      </w:r>
    </w:p>
    <w:p>
      <w:pPr>
        <w:pStyle w:val="插入文本样式-插入单位职责文件"/>
      </w:pPr>
      <w:r>
        <w:t xml:space="preserve">2、对全市政法工作研究提出全局性部署，推动平安晋州、法治晋州建设，加强过硬队伍建设，深化智能化建设，坚决维护国家政治安全、确保社会大局稳定、促进社会公平正义、保障人民安居乐业。</w:t>
      </w:r>
    </w:p>
    <w:p>
      <w:pPr>
        <w:pStyle w:val="插入文本样式-插入单位职责文件"/>
      </w:pPr>
      <w:r>
        <w:t xml:space="preserve">3、了解掌握和分析研判政法工作情况动态，分析社会稳定形势，创新完善多部门参与的综治维稳工作机制，协调推动预防、化解影响稳定的社会矛盾和风险，协调应对和处置重大突发事件。</w:t>
      </w:r>
    </w:p>
    <w:p>
      <w:pPr>
        <w:pStyle w:val="插入文本样式-插入单位职责文件"/>
      </w:pPr>
      <w:r>
        <w:t xml:space="preserve">4、加强对政法工作的督查，统筹协调社会治安综合治理、维护社会稳定、反邪教有关法律法规政策的实施工作。</w:t>
      </w:r>
    </w:p>
    <w:p>
      <w:pPr>
        <w:pStyle w:val="插入文本样式-插入单位职责文件"/>
      </w:pPr>
      <w:r>
        <w:t xml:space="preserve">5、组织开展政法领域的调查研究，研究拟订政法工作的重大措施，及时向市委提出建议。</w:t>
      </w:r>
    </w:p>
    <w:p>
      <w:pPr>
        <w:pStyle w:val="插入文本样式-插入单位职责文件"/>
      </w:pPr>
      <w:r>
        <w:t xml:space="preserve">6、掌握分析政法舆情动态，指导协调政法单位媒体网络宣传工作，指导政法单位做好涉及政法工作的重大宣传工作。</w:t>
      </w:r>
    </w:p>
    <w:p>
      <w:pPr>
        <w:pStyle w:val="插入文本样式-插入单位职责文件"/>
      </w:pPr>
      <w:r>
        <w:t xml:space="preserve">7、监督和支持政法单位依法行使职权，指导和协调政法单位密切配合，研究和协调重大、疑难案件，指导政法单位涉法涉诉信访工作，推进严格执法、公正司法。</w:t>
      </w:r>
    </w:p>
    <w:p>
      <w:pPr>
        <w:pStyle w:val="插入文本样式-插入单位职责文件"/>
      </w:pPr>
      <w:r>
        <w:t xml:space="preserve">8、组织研究政法改革中带有方向性、倾向性和普遍性的重大问题，深化政法改革，负责处理市委全面依法治市委员会办公室日常事务。</w:t>
      </w:r>
    </w:p>
    <w:p>
      <w:pPr>
        <w:pStyle w:val="插入文本样式-插入单位职责文件"/>
      </w:pPr>
      <w:r>
        <w:t xml:space="preserve">9、指导推动政法系统党的建设和政法队伍建设，协调和指导全市见义勇为工作，代管市法学会。</w:t>
      </w:r>
    </w:p>
    <w:p>
      <w:pPr>
        <w:pStyle w:val="插入文本样式-插入单位职责文件"/>
      </w:pPr>
      <w:r>
        <w:t xml:space="preserve">10、统筹推动全市政法系统信息化工作，指导政法智能化建设。</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中国共产党晋州市委员会政法委员会本级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1098.64万元，其中：一般公共预算收入1098.64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晋州市委员会政法委员会本级年度单位预算中支出预算的总体情况。2026年支出预算1098.64万元，其中基本支出452.67万元，包括人员经费402.22万元和日常公用经费50.45万元；项目支出645.97万元，主要为综合治理经费56万元，政法网络信息化保障经费19.45万元，严重精神障碍患者监护人以奖代补25万元，严重精神障碍患者监护人责任险19.9万元，其他劳务派遣人员（综治）31.34万元，维护稳定经费5.63万元，临时办经费2.38万元，综治信息化建设经费26.45万元，扫黑除恶专项经费39.77万元，报刊费0.16万元，大要案基金3.33万元，见义勇为基金10万元，雪亮工程视频资源整合联网光线租赁费2.87万元，国家司法救助金7万元，政法四级网设备维保费153.17万元，晋州市社会矛盾多元化解中心租赁费59.88万元，晋州市社会矛盾多元化解中心运行经费74.97万元，其他劳务派遣人员（多元化解中心）15.67万元，社会维稳能力提升工作经费93万元；预计下年使用的单位资金结余0.00万元。委托业务费共计安排47.01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1098.64万元，较2025年预算减少2.06万元，其中：基本支出增加13.73万元，主要为人员增资，各项社保缴费及公积金增加。项目支出减少15.79万元，主要为减少冀财政法[2024]50号提前下达2025年中央政法纪检监察转移支付资金16万元，其他劳务派遣人员（多元化解中心）增加0.07万元，其他劳务派遣人员（综治）增加0.14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2026年，我单位机关运行经费共计安排50.45万元，主要用于日常维修、办公用房水电费、办公用房取暖费、办公用房物业管理费等日常运行支出。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5.82万元，其中因公出国（境）费0.00万元；公务用车购置及运维费5.82万元（其中：公务用车购置费为0.00万元，公务用车运维费5.82万元)；公务接待费0.00万元。与2025年相比减少0.18万元，增减变化的主要原因是本着节能减排和节约的原则，加强车辆的管理，认真做好油耗及维护登记，杜绝不必要的浪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1、报刊征订费绩效目标表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报刊征订费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用于定制党报党刊。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1.有利于推进全市政法工作提出全面性部署，推进平安晋州、法治晋州建设，坚决维护国家政治安全，确保社会大局稳定、促进社会公平正义。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定制刊物完成率</w:t>
            </w:r>
          </w:p>
        </w:tc>
        <w:tc>
          <w:tcPr>
            <w:tcW w:w="5386" w:type="dxa"/>
            <w:vAlign w:val="center"/>
          </w:tcPr>
          <w:p>
            <w:pPr>
              <w:pStyle w:val="单元格样式2"/>
            </w:pPr>
            <w:r>
              <w:t xml:space="preserve">定制刊物数量占总任务的比率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晋州市委政法委关于报刊征订费的请示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报刊费占用数额占报刊费总数额的比率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晋州市委政法委关于报刊征订费的请示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报刊送达及时性</w:t>
            </w:r>
          </w:p>
        </w:tc>
        <w:tc>
          <w:tcPr>
            <w:tcW w:w="5386" w:type="dxa"/>
            <w:vAlign w:val="center"/>
          </w:tcPr>
          <w:p>
            <w:pPr>
              <w:pStyle w:val="单元格样式2"/>
            </w:pPr>
            <w:r>
              <w:t xml:space="preserve">党报、刊物送达及时性</w:t>
            </w:r>
          </w:p>
        </w:tc>
        <w:tc>
          <w:tcPr>
            <w:tcW w:w="2268" w:type="dxa"/>
            <w:vAlign w:val="center"/>
          </w:tcPr>
          <w:p>
            <w:pPr>
              <w:pStyle w:val="单元格样式2"/>
            </w:pPr>
            <w:r>
              <w:t xml:space="preserve">≤2天</w:t>
            </w:r>
          </w:p>
        </w:tc>
        <w:tc>
          <w:tcPr>
            <w:tcW w:w="1276" w:type="dxa"/>
            <w:vAlign w:val="center"/>
          </w:tcPr>
          <w:p>
            <w:pPr>
              <w:pStyle w:val="单元格样式2"/>
            </w:pPr>
            <w:r>
              <w:t xml:space="preserve">晋州市委政法委关于报刊征订费的请示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预算资金支出为0.16万元</w:t>
            </w:r>
          </w:p>
        </w:tc>
        <w:tc>
          <w:tcPr>
            <w:tcW w:w="2268" w:type="dxa"/>
            <w:vAlign w:val="center"/>
          </w:tcPr>
          <w:p>
            <w:pPr>
              <w:pStyle w:val="单元格样式2"/>
            </w:pPr>
            <w:r>
              <w:t xml:space="preserve">0.16万元</w:t>
            </w:r>
          </w:p>
        </w:tc>
        <w:tc>
          <w:tcPr>
            <w:tcW w:w="1276" w:type="dxa"/>
            <w:vAlign w:val="center"/>
          </w:tcPr>
          <w:p>
            <w:pPr>
              <w:pStyle w:val="单元格样式2"/>
            </w:pPr>
            <w:r>
              <w:t xml:space="preserve">晋州市委政法委关于报刊征订费的请示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突发事件新闻处置完成率</w:t>
            </w:r>
          </w:p>
        </w:tc>
        <w:tc>
          <w:tcPr>
            <w:tcW w:w="5386" w:type="dxa"/>
            <w:vAlign w:val="center"/>
          </w:tcPr>
          <w:p>
            <w:pPr>
              <w:pStyle w:val="单元格样式2"/>
            </w:pPr>
            <w:r>
              <w:t xml:space="preserve">处置完成突发事件新闻数量占突发事件新闻数量的比率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晋州市委政法委关于报刊征订费的请示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2、大要案基金绩效目标表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大要案基金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主要用于大要案的侦破、追逃、执行、奖励、国家赔偿等支出。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1.确保我市政法部门大案、要案办案顺利完成，有效打击各种犯罪活动，提升平安建设水平，维护社会稳定。预防减少不稳定因素的发生，有效化解不稳定隐患和群体性事件。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查办大要案比率</w:t>
            </w:r>
          </w:p>
        </w:tc>
        <w:tc>
          <w:tcPr>
            <w:tcW w:w="5386" w:type="dxa"/>
            <w:vAlign w:val="center"/>
          </w:tcPr>
          <w:p>
            <w:pPr>
              <w:pStyle w:val="单元格样式2"/>
            </w:pPr>
            <w:r>
              <w:t xml:space="preserve">查办的重特大案件、要案占同期立案案件的比率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重特大案件组织指挥督导协调率</w:t>
            </w:r>
          </w:p>
        </w:tc>
        <w:tc>
          <w:tcPr>
            <w:tcW w:w="5386" w:type="dxa"/>
            <w:vAlign w:val="center"/>
          </w:tcPr>
          <w:p>
            <w:pPr>
              <w:pStyle w:val="单元格样式2"/>
            </w:pPr>
            <w:r>
              <w:t xml:space="preserve">组织、指挥、督导重特大犯罪案件数占发案总数的比率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提高办案质量，依法办案及时率</w:t>
            </w:r>
          </w:p>
        </w:tc>
        <w:tc>
          <w:tcPr>
            <w:tcW w:w="5386" w:type="dxa"/>
            <w:vAlign w:val="center"/>
          </w:tcPr>
          <w:p>
            <w:pPr>
              <w:pStyle w:val="单元格样式2"/>
            </w:pPr>
            <w:r>
              <w:t xml:space="preserve">按照要求，依法办结案件占总案件的比率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预算资金为3.33万元</w:t>
            </w:r>
          </w:p>
        </w:tc>
        <w:tc>
          <w:tcPr>
            <w:tcW w:w="2268" w:type="dxa"/>
            <w:vAlign w:val="center"/>
          </w:tcPr>
          <w:p>
            <w:pPr>
              <w:pStyle w:val="单元格样式2"/>
            </w:pPr>
            <w:r>
              <w:t xml:space="preserve">3.33万元</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打击违法犯罪，维护社会稳定</w:t>
            </w:r>
          </w:p>
        </w:tc>
        <w:tc>
          <w:tcPr>
            <w:tcW w:w="5386" w:type="dxa"/>
            <w:vAlign w:val="center"/>
          </w:tcPr>
          <w:p>
            <w:pPr>
              <w:pStyle w:val="单元格样式2"/>
            </w:pPr>
            <w:r>
              <w:t xml:space="preserve">打击违法犯罪对维护社会稳定、创造良好社会治安环境</w:t>
            </w:r>
          </w:p>
        </w:tc>
        <w:tc>
          <w:tcPr>
            <w:tcW w:w="2268" w:type="dxa"/>
            <w:vAlign w:val="center"/>
          </w:tcPr>
          <w:p>
            <w:pPr>
              <w:pStyle w:val="单元格样式2"/>
            </w:pPr>
            <w:r>
              <w:t xml:space="preserve">打击违法犯罪对维护社会稳定、创造良好社会治安环境</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3、国家司法救助金绩效目标表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13018326P000328102076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国家司法救助金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国家司法救助资金为一次性救助，基本按照“一案一申请、一案一审批、一案一救助”的原则办理。由国家给予适当的经济资助，帮助他们摆脱困境。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1.引导和支持政法部门开展业务工作，帮助提高基层政法办案和装备经费保障水平。引导地方加大对法律援助经费和司法救助资金的投入力度。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司法救助工作完成率</w:t>
            </w:r>
          </w:p>
        </w:tc>
        <w:tc>
          <w:tcPr>
            <w:tcW w:w="5386" w:type="dxa"/>
            <w:vAlign w:val="center"/>
          </w:tcPr>
          <w:p>
            <w:pPr>
              <w:pStyle w:val="单元格样式2"/>
            </w:pPr>
            <w:r>
              <w:t xml:space="preserve">年度内已完成的司法救助工作量占受理量的比率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晋政法字[2015]9号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司法救助率</w:t>
            </w:r>
          </w:p>
        </w:tc>
        <w:tc>
          <w:tcPr>
            <w:tcW w:w="5386" w:type="dxa"/>
            <w:vAlign w:val="center"/>
          </w:tcPr>
          <w:p>
            <w:pPr>
              <w:pStyle w:val="单元格样式2"/>
            </w:pPr>
            <w:r>
              <w:t xml:space="preserve">司法救助案件数占受理案件数的比率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晋政法字[2015]9号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治安、刑事案件上报及时性</w:t>
            </w:r>
          </w:p>
        </w:tc>
        <w:tc>
          <w:tcPr>
            <w:tcW w:w="5386" w:type="dxa"/>
            <w:vAlign w:val="center"/>
          </w:tcPr>
          <w:p>
            <w:pPr>
              <w:pStyle w:val="单元格样式2"/>
            </w:pPr>
            <w:r>
              <w:t xml:space="preserve">治安、刑事案件上报处理及时性</w:t>
            </w:r>
          </w:p>
        </w:tc>
        <w:tc>
          <w:tcPr>
            <w:tcW w:w="2268" w:type="dxa"/>
            <w:vAlign w:val="center"/>
          </w:tcPr>
          <w:p>
            <w:pPr>
              <w:pStyle w:val="单元格样式2"/>
            </w:pPr>
            <w:r>
              <w:t xml:space="preserve">≤48小时</w:t>
            </w:r>
          </w:p>
        </w:tc>
        <w:tc>
          <w:tcPr>
            <w:tcW w:w="1276" w:type="dxa"/>
            <w:vAlign w:val="center"/>
          </w:tcPr>
          <w:p>
            <w:pPr>
              <w:pStyle w:val="单元格样式2"/>
            </w:pPr>
            <w:r>
              <w:t xml:space="preserve">晋政法字[2015]9号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控制资金成本</w:t>
            </w:r>
          </w:p>
        </w:tc>
        <w:tc>
          <w:tcPr>
            <w:tcW w:w="5386" w:type="dxa"/>
            <w:vAlign w:val="center"/>
          </w:tcPr>
          <w:p>
            <w:pPr>
              <w:pStyle w:val="单元格样式2"/>
            </w:pPr>
            <w:r>
              <w:t xml:space="preserve">预算资金成本为7万元</w:t>
            </w:r>
          </w:p>
        </w:tc>
        <w:tc>
          <w:tcPr>
            <w:tcW w:w="2268" w:type="dxa"/>
            <w:vAlign w:val="center"/>
          </w:tcPr>
          <w:p>
            <w:pPr>
              <w:pStyle w:val="单元格样式2"/>
            </w:pPr>
            <w:r>
              <w:t xml:space="preserve">7万元</w:t>
            </w:r>
          </w:p>
        </w:tc>
        <w:tc>
          <w:tcPr>
            <w:tcW w:w="1276" w:type="dxa"/>
            <w:vAlign w:val="center"/>
          </w:tcPr>
          <w:p>
            <w:pPr>
              <w:pStyle w:val="单元格样式2"/>
            </w:pPr>
            <w:r>
              <w:t xml:space="preserve">晋政法字[2015]9号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化解矛盾率</w:t>
            </w:r>
          </w:p>
        </w:tc>
        <w:tc>
          <w:tcPr>
            <w:tcW w:w="5386" w:type="dxa"/>
            <w:vAlign w:val="center"/>
          </w:tcPr>
          <w:p>
            <w:pPr>
              <w:pStyle w:val="单元格样式2"/>
            </w:pPr>
            <w:r>
              <w:t xml:space="preserve">司法救助案件化解矛盾的数量占司法救助案件数的比率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晋政法字[2015]9号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4、见义勇为基金绩效目标表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13018326P00032810208R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见义勇为基金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用于及时奖励见义勇为先进人物。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1.大张旗鼓地宣传见义勇为者的英雄事迹，在全社会形成见义勇为的良好氛围。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见义勇为资金覆盖率</w:t>
            </w:r>
          </w:p>
        </w:tc>
        <w:tc>
          <w:tcPr>
            <w:tcW w:w="5386" w:type="dxa"/>
            <w:vAlign w:val="center"/>
          </w:tcPr>
          <w:p>
            <w:pPr>
              <w:pStyle w:val="单元格样式2"/>
            </w:pPr>
            <w:r>
              <w:t xml:space="preserve">奖励、帮扶、慰问晋州市见义勇为人员人次占总人数的比率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奖励、抚恤慰问见义勇为率</w:t>
            </w:r>
          </w:p>
        </w:tc>
        <w:tc>
          <w:tcPr>
            <w:tcW w:w="5386" w:type="dxa"/>
            <w:vAlign w:val="center"/>
          </w:tcPr>
          <w:p>
            <w:pPr>
              <w:pStyle w:val="单元格样式2"/>
            </w:pPr>
            <w:r>
              <w:t xml:space="preserve">奖励抚恤慰问省级以上表彰的见义勇为的人次占奖励总人数的比率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突发事件处置及时性</w:t>
            </w:r>
          </w:p>
        </w:tc>
        <w:tc>
          <w:tcPr>
            <w:tcW w:w="5386" w:type="dxa"/>
            <w:vAlign w:val="center"/>
          </w:tcPr>
          <w:p>
            <w:pPr>
              <w:pStyle w:val="单元格样式2"/>
            </w:pPr>
            <w:r>
              <w:t xml:space="preserve">见义勇为突发事件上报处置及时率</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预算资金成本为10万元</w:t>
            </w:r>
          </w:p>
        </w:tc>
        <w:tc>
          <w:tcPr>
            <w:tcW w:w="2268" w:type="dxa"/>
            <w:vAlign w:val="center"/>
          </w:tcPr>
          <w:p>
            <w:pPr>
              <w:pStyle w:val="单元格样式2"/>
            </w:pPr>
            <w:r>
              <w:t xml:space="preserve">10万元</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覆盖范围扩大效果</w:t>
            </w:r>
          </w:p>
        </w:tc>
        <w:tc>
          <w:tcPr>
            <w:tcW w:w="5386" w:type="dxa"/>
            <w:vAlign w:val="center"/>
          </w:tcPr>
          <w:p>
            <w:pPr>
              <w:pStyle w:val="单元格样式2"/>
            </w:pPr>
            <w:r>
              <w:t xml:space="preserve">见义勇为事件覆盖范围对社会影响效果</w:t>
            </w:r>
          </w:p>
        </w:tc>
        <w:tc>
          <w:tcPr>
            <w:tcW w:w="2268" w:type="dxa"/>
            <w:vAlign w:val="center"/>
          </w:tcPr>
          <w:p>
            <w:pPr>
              <w:pStyle w:val="单元格样式2"/>
            </w:pPr>
            <w:r>
              <w:t xml:space="preserve">≥90%</w:t>
            </w:r>
          </w:p>
        </w:tc>
        <w:tc>
          <w:tcPr>
            <w:tcW w:w="1276" w:type="dxa"/>
            <w:vAlign w:val="center"/>
          </w:tcPr>
          <w:p>
            <w:pPr>
              <w:pStyle w:val="单元格样式2"/>
            </w:pPr>
            <w:r>
              <w:t xml:space="preserve">晋发[2001]32号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5、临时办经费绩效目标表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13018326P00032810209D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临时办经费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主要用于政法、综治、稳定、排调“四位一体”的综治维稳领导机构和办事机构开支，保障临时办工作正常进行。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1.进一步加强和改进社会治安综合治理和维护社会稳定工作，以适应新形势、新任务的要求，为实现经济社会又好又快发展创造更好的社会环境。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案件受理率</w:t>
            </w:r>
          </w:p>
        </w:tc>
        <w:tc>
          <w:tcPr>
            <w:tcW w:w="5386" w:type="dxa"/>
            <w:vAlign w:val="center"/>
          </w:tcPr>
          <w:p>
            <w:pPr>
              <w:pStyle w:val="单元格样式2"/>
            </w:pPr>
            <w:r>
              <w:t xml:space="preserve">矛盾纠纷案件受理占总案件的比率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协调督导事项化解率</w:t>
            </w:r>
          </w:p>
        </w:tc>
        <w:tc>
          <w:tcPr>
            <w:tcW w:w="5386" w:type="dxa"/>
            <w:vAlign w:val="center"/>
          </w:tcPr>
          <w:p>
            <w:pPr>
              <w:pStyle w:val="单元格样式2"/>
            </w:pPr>
            <w:r>
              <w:t xml:space="preserve">化解事项占督导事项总数的比率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突发事件处理及时率</w:t>
            </w:r>
          </w:p>
        </w:tc>
        <w:tc>
          <w:tcPr>
            <w:tcW w:w="5386" w:type="dxa"/>
            <w:vAlign w:val="center"/>
          </w:tcPr>
          <w:p>
            <w:pPr>
              <w:pStyle w:val="单元格样式2"/>
            </w:pPr>
            <w:r>
              <w:t xml:space="preserve">突发事件处理数占总事件的比率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预算资金为2.38万元</w:t>
            </w:r>
          </w:p>
        </w:tc>
        <w:tc>
          <w:tcPr>
            <w:tcW w:w="2268" w:type="dxa"/>
            <w:vAlign w:val="center"/>
          </w:tcPr>
          <w:p>
            <w:pPr>
              <w:pStyle w:val="单元格样式2"/>
            </w:pPr>
            <w:r>
              <w:t xml:space="preserve">2.38万元</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重大活动突发事件发生率</w:t>
            </w:r>
          </w:p>
        </w:tc>
        <w:tc>
          <w:tcPr>
            <w:tcW w:w="5386" w:type="dxa"/>
            <w:vAlign w:val="center"/>
          </w:tcPr>
          <w:p>
            <w:pPr>
              <w:pStyle w:val="单元格样式2"/>
            </w:pPr>
            <w:r>
              <w:t xml:space="preserve">发生突发事件的重大活动数量占全部重大活动的比率（反向指标）</w:t>
            </w:r>
          </w:p>
        </w:tc>
        <w:tc>
          <w:tcPr>
            <w:tcW w:w="2268" w:type="dxa"/>
            <w:vAlign w:val="center"/>
          </w:tcPr>
          <w:p>
            <w:pPr>
              <w:pStyle w:val="单元格样式2"/>
            </w:pPr>
            <w:r>
              <w:t xml:space="preserve">≤30%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调查问卷群众满意数量占总问卷数量的比率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6、其他劳务派遣人员（多元化解中心）绩效目标表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13018326P00032810210Q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其他劳务派遣人员（多元化解中心）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招聘4名劳务派遣人员，全年工资及保险15.67万元，年人均39175元。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1.发挥组织协调作用，推动社会矛盾纠纷多元化解中心的工作平台。保障多元化解中心工作开展。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矛盾纠纷调处率</w:t>
            </w:r>
          </w:p>
        </w:tc>
        <w:tc>
          <w:tcPr>
            <w:tcW w:w="5386" w:type="dxa"/>
            <w:vAlign w:val="center"/>
          </w:tcPr>
          <w:p>
            <w:pPr>
              <w:pStyle w:val="单元格样式2"/>
            </w:pPr>
            <w:r>
              <w:t xml:space="preserve">调处矛盾纠纷数量占排查矛盾纠纷总数的比率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关于为市社会矛盾纠纷多元化解中心劳务派遣人员拨付工资费用的请示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业务处理达标率</w:t>
            </w:r>
          </w:p>
        </w:tc>
        <w:tc>
          <w:tcPr>
            <w:tcW w:w="5386" w:type="dxa"/>
            <w:vAlign w:val="center"/>
          </w:tcPr>
          <w:p>
            <w:pPr>
              <w:pStyle w:val="单元格样式2"/>
            </w:pPr>
            <w:r>
              <w:t xml:space="preserve">工作人员处理业务数占总业务处理数的比率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关于为市社会矛盾纠纷多元化解中心劳务派遣人员拨付工资费用的请示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处置事件的时限性</w:t>
            </w:r>
          </w:p>
        </w:tc>
        <w:tc>
          <w:tcPr>
            <w:tcW w:w="5386" w:type="dxa"/>
            <w:vAlign w:val="center"/>
          </w:tcPr>
          <w:p>
            <w:pPr>
              <w:pStyle w:val="单元格样式2"/>
            </w:pPr>
            <w:r>
              <w:t xml:space="preserve">多元化解中心上访事件处置时间</w:t>
            </w:r>
          </w:p>
        </w:tc>
        <w:tc>
          <w:tcPr>
            <w:tcW w:w="2268" w:type="dxa"/>
            <w:vAlign w:val="center"/>
          </w:tcPr>
          <w:p>
            <w:pPr>
              <w:pStyle w:val="单元格样式2"/>
            </w:pPr>
            <w:r>
              <w:t xml:space="preserve">≤24小时</w:t>
            </w:r>
          </w:p>
        </w:tc>
        <w:tc>
          <w:tcPr>
            <w:tcW w:w="1276" w:type="dxa"/>
            <w:vAlign w:val="center"/>
          </w:tcPr>
          <w:p>
            <w:pPr>
              <w:pStyle w:val="单元格样式2"/>
            </w:pPr>
            <w:r>
              <w:t xml:space="preserve">关于为市社会矛盾纠纷多元化解中心劳务派遣人员拨付工资费用的请示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预算资金成本为15.67万元</w:t>
            </w:r>
          </w:p>
        </w:tc>
        <w:tc>
          <w:tcPr>
            <w:tcW w:w="2268" w:type="dxa"/>
            <w:vAlign w:val="center"/>
          </w:tcPr>
          <w:p>
            <w:pPr>
              <w:pStyle w:val="单元格样式2"/>
            </w:pPr>
            <w:r>
              <w:t xml:space="preserve">15.67万元</w:t>
            </w:r>
          </w:p>
        </w:tc>
        <w:tc>
          <w:tcPr>
            <w:tcW w:w="1276" w:type="dxa"/>
            <w:vAlign w:val="center"/>
          </w:tcPr>
          <w:p>
            <w:pPr>
              <w:pStyle w:val="单元格样式2"/>
            </w:pPr>
            <w:r>
              <w:t xml:space="preserve">关于为市社会矛盾纠纷多元化解中心劳务派遣人员拨付工资费用的请示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保障相关业务、工作开展的情况</w:t>
            </w:r>
          </w:p>
        </w:tc>
        <w:tc>
          <w:tcPr>
            <w:tcW w:w="2268" w:type="dxa"/>
            <w:vAlign w:val="center"/>
          </w:tcPr>
          <w:p>
            <w:pPr>
              <w:pStyle w:val="单元格样式2"/>
            </w:pPr>
            <w:r>
              <w:t xml:space="preserve">≥90%</w:t>
            </w:r>
          </w:p>
        </w:tc>
        <w:tc>
          <w:tcPr>
            <w:tcW w:w="1276" w:type="dxa"/>
            <w:vAlign w:val="center"/>
          </w:tcPr>
          <w:p>
            <w:pPr>
              <w:pStyle w:val="单元格样式2"/>
            </w:pPr>
            <w:r>
              <w:t xml:space="preserve">关于为市社会矛盾纠纷多元化解中心劳务派遣人员拨付工资费用的请示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7、其他劳务派遣人员（综治）绩效目标表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13018326P00032810211C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其他劳务派遣人员（综治）</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主要用于招聘8人劳务派遣工资及保险开支，年开支31.34万元，年人均42888万元。人员主要安排在维护稳定工作领导小组办公室和综治中心。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1.发挥组织协调作用，以信息化为支撑，推动社会治安联防、重点工作联动，推动社会治安综合治理的工作平台。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人员到岗率</w:t>
            </w:r>
          </w:p>
        </w:tc>
        <w:tc>
          <w:tcPr>
            <w:tcW w:w="5386" w:type="dxa"/>
            <w:vAlign w:val="center"/>
          </w:tcPr>
          <w:p>
            <w:pPr>
              <w:pStyle w:val="单元格样式2"/>
            </w:pPr>
            <w:r>
              <w:t xml:space="preserve">劳务派遣人员到岗数占总人数的比率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劳务派遣人员服务协议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处理业务合格率</w:t>
            </w:r>
          </w:p>
        </w:tc>
        <w:tc>
          <w:tcPr>
            <w:tcW w:w="5386" w:type="dxa"/>
            <w:vAlign w:val="center"/>
          </w:tcPr>
          <w:p>
            <w:pPr>
              <w:pStyle w:val="单元格样式2"/>
            </w:pPr>
            <w:r>
              <w:t xml:space="preserve">劳务派遣人员处理业务合格数占总处理的比率</w:t>
            </w:r>
          </w:p>
        </w:tc>
        <w:tc>
          <w:tcPr>
            <w:tcW w:w="2268" w:type="dxa"/>
            <w:vAlign w:val="center"/>
          </w:tcPr>
          <w:p>
            <w:pPr>
              <w:pStyle w:val="单元格样式2"/>
            </w:pPr>
            <w:r>
              <w:t xml:space="preserve">≥90%</w:t>
            </w:r>
          </w:p>
        </w:tc>
        <w:tc>
          <w:tcPr>
            <w:tcW w:w="1276" w:type="dxa"/>
            <w:vAlign w:val="center"/>
          </w:tcPr>
          <w:p>
            <w:pPr>
              <w:pStyle w:val="单元格样式2"/>
            </w:pPr>
            <w:r>
              <w:t xml:space="preserve">劳务派遣人员服务协议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业务处理及时性</w:t>
            </w:r>
          </w:p>
        </w:tc>
        <w:tc>
          <w:tcPr>
            <w:tcW w:w="5386" w:type="dxa"/>
            <w:vAlign w:val="center"/>
          </w:tcPr>
          <w:p>
            <w:pPr>
              <w:pStyle w:val="单元格样式2"/>
            </w:pPr>
            <w:r>
              <w:t xml:space="preserve">维稳、综治业务处理占总业务的比率</w:t>
            </w:r>
          </w:p>
        </w:tc>
        <w:tc>
          <w:tcPr>
            <w:tcW w:w="2268" w:type="dxa"/>
            <w:vAlign w:val="center"/>
          </w:tcPr>
          <w:p>
            <w:pPr>
              <w:pStyle w:val="单元格样式2"/>
            </w:pPr>
            <w:r>
              <w:t xml:space="preserve">≥90%</w:t>
            </w:r>
          </w:p>
        </w:tc>
        <w:tc>
          <w:tcPr>
            <w:tcW w:w="1276" w:type="dxa"/>
            <w:vAlign w:val="center"/>
          </w:tcPr>
          <w:p>
            <w:pPr>
              <w:pStyle w:val="单元格样式2"/>
            </w:pPr>
            <w:r>
              <w:t xml:space="preserve">劳务派遣人员服务协议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控制资金发放成本</w:t>
            </w:r>
          </w:p>
        </w:tc>
        <w:tc>
          <w:tcPr>
            <w:tcW w:w="5386" w:type="dxa"/>
            <w:vAlign w:val="center"/>
          </w:tcPr>
          <w:p>
            <w:pPr>
              <w:pStyle w:val="单元格样式2"/>
            </w:pPr>
            <w:r>
              <w:t xml:space="preserve">资金发放成本为31.34万元</w:t>
            </w:r>
          </w:p>
        </w:tc>
        <w:tc>
          <w:tcPr>
            <w:tcW w:w="2268" w:type="dxa"/>
            <w:vAlign w:val="center"/>
          </w:tcPr>
          <w:p>
            <w:pPr>
              <w:pStyle w:val="单元格样式2"/>
            </w:pPr>
            <w:r>
              <w:t xml:space="preserve">31.34万元</w:t>
            </w:r>
          </w:p>
        </w:tc>
        <w:tc>
          <w:tcPr>
            <w:tcW w:w="1276" w:type="dxa"/>
            <w:vAlign w:val="center"/>
          </w:tcPr>
          <w:p>
            <w:pPr>
              <w:pStyle w:val="单元格样式2"/>
            </w:pPr>
            <w:r>
              <w:t xml:space="preserve">劳务派遣人员服务协议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能力提升率</w:t>
            </w:r>
          </w:p>
        </w:tc>
        <w:tc>
          <w:tcPr>
            <w:tcW w:w="5386" w:type="dxa"/>
            <w:vAlign w:val="center"/>
          </w:tcPr>
          <w:p>
            <w:pPr>
              <w:pStyle w:val="单元格样式2"/>
            </w:pPr>
            <w:r>
              <w:t xml:space="preserve">对维稳、综治、平安建设业务能力提升率</w:t>
            </w:r>
          </w:p>
        </w:tc>
        <w:tc>
          <w:tcPr>
            <w:tcW w:w="2268" w:type="dxa"/>
            <w:vAlign w:val="center"/>
          </w:tcPr>
          <w:p>
            <w:pPr>
              <w:pStyle w:val="单元格样式2"/>
            </w:pPr>
            <w:r>
              <w:t xml:space="preserve">≥90%</w:t>
            </w:r>
          </w:p>
        </w:tc>
        <w:tc>
          <w:tcPr>
            <w:tcW w:w="1276" w:type="dxa"/>
            <w:vAlign w:val="center"/>
          </w:tcPr>
          <w:p>
            <w:pPr>
              <w:pStyle w:val="单元格样式2"/>
            </w:pPr>
            <w:r>
              <w:t xml:space="preserve">劳务派遣人员服务协议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8、扫黑除恶专项经费绩效目标表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扫黑除恶专项经费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主要用于制作宣传笔、pvc展牌、宣传栏、墙体标语、灯杆道旗、宣传橱窗、各种宣传品等。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1.为切实做好我市扫黑除恶专项斗争，巩固党的执政地位、维护党的执政形象。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扫黑除恶宣传完成率</w:t>
            </w:r>
          </w:p>
        </w:tc>
        <w:tc>
          <w:tcPr>
            <w:tcW w:w="5386" w:type="dxa"/>
            <w:vAlign w:val="center"/>
          </w:tcPr>
          <w:p>
            <w:pPr>
              <w:pStyle w:val="单元格样式2"/>
            </w:pPr>
            <w:r>
              <w:t xml:space="preserve">扫黑除恶宣传的次数占政法综治总宣传次数的比率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扫黑除恶专项经费的请示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扫黑除恶考核评定率</w:t>
            </w:r>
          </w:p>
        </w:tc>
        <w:tc>
          <w:tcPr>
            <w:tcW w:w="5386" w:type="dxa"/>
            <w:vAlign w:val="center"/>
          </w:tcPr>
          <w:p>
            <w:pPr>
              <w:pStyle w:val="单元格样式2"/>
            </w:pPr>
            <w:r>
              <w:t xml:space="preserve">扫黑除恶考核评定完成占总考核评定的比率</w:t>
            </w:r>
          </w:p>
        </w:tc>
        <w:tc>
          <w:tcPr>
            <w:tcW w:w="2268" w:type="dxa"/>
            <w:vAlign w:val="center"/>
          </w:tcPr>
          <w:p>
            <w:pPr>
              <w:pStyle w:val="单元格样式2"/>
            </w:pPr>
            <w:r>
              <w:t xml:space="preserve">≥90%</w:t>
            </w:r>
          </w:p>
        </w:tc>
        <w:tc>
          <w:tcPr>
            <w:tcW w:w="1276" w:type="dxa"/>
            <w:vAlign w:val="center"/>
          </w:tcPr>
          <w:p>
            <w:pPr>
              <w:pStyle w:val="单元格样式2"/>
            </w:pPr>
            <w:r>
              <w:t xml:space="preserve">扫黑除恶专项经费的请示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案件、资料上报及时率</w:t>
            </w:r>
          </w:p>
        </w:tc>
        <w:tc>
          <w:tcPr>
            <w:tcW w:w="5386" w:type="dxa"/>
            <w:vAlign w:val="center"/>
          </w:tcPr>
          <w:p>
            <w:pPr>
              <w:pStyle w:val="单元格样式2"/>
            </w:pPr>
            <w:r>
              <w:t xml:space="preserve">按照要求和计划上报案件、资料和应上报案件、资料的比率</w:t>
            </w:r>
          </w:p>
        </w:tc>
        <w:tc>
          <w:tcPr>
            <w:tcW w:w="2268" w:type="dxa"/>
            <w:vAlign w:val="center"/>
          </w:tcPr>
          <w:p>
            <w:pPr>
              <w:pStyle w:val="单元格样式2"/>
            </w:pPr>
            <w:r>
              <w:t xml:space="preserve">≥90%</w:t>
            </w:r>
          </w:p>
        </w:tc>
        <w:tc>
          <w:tcPr>
            <w:tcW w:w="1276" w:type="dxa"/>
            <w:vAlign w:val="center"/>
          </w:tcPr>
          <w:p>
            <w:pPr>
              <w:pStyle w:val="单元格样式2"/>
            </w:pPr>
            <w:r>
              <w:t xml:space="preserve">扫黑除恶专项经费的请示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资金使用为39.77万元</w:t>
            </w:r>
          </w:p>
        </w:tc>
        <w:tc>
          <w:tcPr>
            <w:tcW w:w="2268" w:type="dxa"/>
            <w:vAlign w:val="center"/>
          </w:tcPr>
          <w:p>
            <w:pPr>
              <w:pStyle w:val="单元格样式2"/>
            </w:pPr>
            <w:r>
              <w:t xml:space="preserve">39.77万元</w:t>
            </w:r>
          </w:p>
        </w:tc>
        <w:tc>
          <w:tcPr>
            <w:tcW w:w="1276" w:type="dxa"/>
            <w:vAlign w:val="center"/>
          </w:tcPr>
          <w:p>
            <w:pPr>
              <w:pStyle w:val="单元格样式2"/>
            </w:pPr>
            <w:r>
              <w:t xml:space="preserve">扫黑除恶专项经费的请示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突发事件新闻处置完成率</w:t>
            </w:r>
          </w:p>
        </w:tc>
        <w:tc>
          <w:tcPr>
            <w:tcW w:w="5386" w:type="dxa"/>
            <w:vAlign w:val="center"/>
          </w:tcPr>
          <w:p>
            <w:pPr>
              <w:pStyle w:val="单元格样式2"/>
            </w:pPr>
            <w:r>
              <w:t xml:space="preserve">处置完成突发事件新闻数量占突发事件新闻数量的比率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扫黑除恶专项经费的请示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9、社会矛盾多元化解中心运行经费绩效目标表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社会矛盾多元化解中心运行经费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主要包括电费、水费、保安服务费、保洁费、采暖季采暖费、物业费、电梯维护费、互联网专线费和办公费等。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1.打造联合调处、多元化解的矛盾纠纷解决工作模式，保障社会矛盾纠纷多元化解中心正常运行。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保障运行经费支付率</w:t>
            </w:r>
          </w:p>
        </w:tc>
        <w:tc>
          <w:tcPr>
            <w:tcW w:w="5386" w:type="dxa"/>
            <w:vAlign w:val="center"/>
          </w:tcPr>
          <w:p>
            <w:pPr>
              <w:pStyle w:val="单元格样式2"/>
            </w:pPr>
            <w:r>
              <w:t xml:space="preserve">支付多元化解中心运行经费占总经费的比率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关于申请综治视联网等四项经费列入财政预算资金的请示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协调事件化解率</w:t>
            </w:r>
          </w:p>
        </w:tc>
        <w:tc>
          <w:tcPr>
            <w:tcW w:w="5386" w:type="dxa"/>
            <w:vAlign w:val="center"/>
          </w:tcPr>
          <w:p>
            <w:pPr>
              <w:pStyle w:val="单元格样式2"/>
            </w:pPr>
            <w:r>
              <w:t xml:space="preserve">化解事项占事项总数的比率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关于申请综治视联网等四项经费列入财政预算资金的请示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突发事件处置及时性</w:t>
            </w:r>
          </w:p>
        </w:tc>
        <w:tc>
          <w:tcPr>
            <w:tcW w:w="5386" w:type="dxa"/>
            <w:vAlign w:val="center"/>
          </w:tcPr>
          <w:p>
            <w:pPr>
              <w:pStyle w:val="单元格样式2"/>
            </w:pPr>
            <w:r>
              <w:t xml:space="preserve">多元化解中心运行中突发事件处置及时性</w:t>
            </w:r>
          </w:p>
        </w:tc>
        <w:tc>
          <w:tcPr>
            <w:tcW w:w="2268" w:type="dxa"/>
            <w:vAlign w:val="center"/>
          </w:tcPr>
          <w:p>
            <w:pPr>
              <w:pStyle w:val="单元格样式2"/>
            </w:pPr>
            <w:r>
              <w:t xml:space="preserve">≤24小时</w:t>
            </w:r>
          </w:p>
        </w:tc>
        <w:tc>
          <w:tcPr>
            <w:tcW w:w="1276" w:type="dxa"/>
            <w:vAlign w:val="center"/>
          </w:tcPr>
          <w:p>
            <w:pPr>
              <w:pStyle w:val="单元格样式2"/>
            </w:pPr>
            <w:r>
              <w:t xml:space="preserve">关于申请综治视联网等四项经费列入财政预算资金的请示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预算资金成本为74.97万元</w:t>
            </w:r>
          </w:p>
        </w:tc>
        <w:tc>
          <w:tcPr>
            <w:tcW w:w="2268" w:type="dxa"/>
            <w:vAlign w:val="center"/>
          </w:tcPr>
          <w:p>
            <w:pPr>
              <w:pStyle w:val="单元格样式2"/>
            </w:pPr>
            <w:r>
              <w:t xml:space="preserve">74.97万元</w:t>
            </w:r>
          </w:p>
        </w:tc>
        <w:tc>
          <w:tcPr>
            <w:tcW w:w="1276" w:type="dxa"/>
            <w:vAlign w:val="center"/>
          </w:tcPr>
          <w:p>
            <w:pPr>
              <w:pStyle w:val="单元格样式2"/>
            </w:pPr>
            <w:r>
              <w:t xml:space="preserve">关于申请综治视联网等四项经费列入财政预算资金的请示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保障相关业务、工作等开展的情况</w:t>
            </w:r>
          </w:p>
        </w:tc>
        <w:tc>
          <w:tcPr>
            <w:tcW w:w="2268" w:type="dxa"/>
            <w:vAlign w:val="center"/>
          </w:tcPr>
          <w:p>
            <w:pPr>
              <w:pStyle w:val="单元格样式2"/>
            </w:pPr>
            <w:r>
              <w:t xml:space="preserve">≥90%</w:t>
            </w:r>
          </w:p>
        </w:tc>
        <w:tc>
          <w:tcPr>
            <w:tcW w:w="1276" w:type="dxa"/>
            <w:vAlign w:val="center"/>
          </w:tcPr>
          <w:p>
            <w:pPr>
              <w:pStyle w:val="单元格样式2"/>
            </w:pPr>
            <w:r>
              <w:t xml:space="preserve">关于申请综治视联网等四项经费列入财政预算资金的请示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10、社会矛盾多元化解中心租赁经费绩效目标表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社会矛盾多元化解中心租赁经费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租赁了时代新城小区西北角房屋租赁，建筑面积为1987.47平方米，费用为59.88万元。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1.整合市综治中心、群众诉讼服务中心、公共法律服务中心、行政争议协调化解中心、疑难纠纷化解中心等工作平台入驻。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协调督导事项化解率</w:t>
            </w:r>
          </w:p>
        </w:tc>
        <w:tc>
          <w:tcPr>
            <w:tcW w:w="5386" w:type="dxa"/>
            <w:vAlign w:val="center"/>
          </w:tcPr>
          <w:p>
            <w:pPr>
              <w:pStyle w:val="单元格样式2"/>
            </w:pPr>
            <w:r>
              <w:t xml:space="preserve">化解事项占督导事项总数的比率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社会矛盾多元化解中心租赁合同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纠正异常业务、违规业务率</w:t>
            </w:r>
          </w:p>
        </w:tc>
        <w:tc>
          <w:tcPr>
            <w:tcW w:w="5386" w:type="dxa"/>
            <w:vAlign w:val="center"/>
          </w:tcPr>
          <w:p>
            <w:pPr>
              <w:pStyle w:val="单元格样式2"/>
            </w:pPr>
            <w:r>
              <w:t xml:space="preserve">纠正治安、刑事案件异常业务、违规业务率</w:t>
            </w:r>
          </w:p>
        </w:tc>
        <w:tc>
          <w:tcPr>
            <w:tcW w:w="2268" w:type="dxa"/>
            <w:vAlign w:val="center"/>
          </w:tcPr>
          <w:p>
            <w:pPr>
              <w:pStyle w:val="单元格样式2"/>
            </w:pPr>
            <w:r>
              <w:t xml:space="preserve">≥90%</w:t>
            </w:r>
          </w:p>
        </w:tc>
        <w:tc>
          <w:tcPr>
            <w:tcW w:w="1276" w:type="dxa"/>
            <w:vAlign w:val="center"/>
          </w:tcPr>
          <w:p>
            <w:pPr>
              <w:pStyle w:val="单元格样式2"/>
            </w:pPr>
            <w:r>
              <w:t xml:space="preserve">社会矛盾多元化解中心租赁合同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突发事件处置及时率</w:t>
            </w:r>
          </w:p>
        </w:tc>
        <w:tc>
          <w:tcPr>
            <w:tcW w:w="5386" w:type="dxa"/>
            <w:vAlign w:val="center"/>
          </w:tcPr>
          <w:p>
            <w:pPr>
              <w:pStyle w:val="单元格样式2"/>
            </w:pPr>
            <w:r>
              <w:t xml:space="preserve">多元化解中心办公场所突发事件处置及时率</w:t>
            </w:r>
          </w:p>
        </w:tc>
        <w:tc>
          <w:tcPr>
            <w:tcW w:w="2268" w:type="dxa"/>
            <w:vAlign w:val="center"/>
          </w:tcPr>
          <w:p>
            <w:pPr>
              <w:pStyle w:val="单元格样式2"/>
            </w:pPr>
            <w:r>
              <w:t xml:space="preserve">≥90%</w:t>
            </w:r>
          </w:p>
        </w:tc>
        <w:tc>
          <w:tcPr>
            <w:tcW w:w="1276" w:type="dxa"/>
            <w:vAlign w:val="center"/>
          </w:tcPr>
          <w:p>
            <w:pPr>
              <w:pStyle w:val="单元格样式2"/>
            </w:pPr>
            <w:r>
              <w:t xml:space="preserve">社会矛盾多元化解中心租赁合同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控制预算经费成本</w:t>
            </w:r>
          </w:p>
        </w:tc>
        <w:tc>
          <w:tcPr>
            <w:tcW w:w="5386" w:type="dxa"/>
            <w:vAlign w:val="center"/>
          </w:tcPr>
          <w:p>
            <w:pPr>
              <w:pStyle w:val="单元格样式2"/>
            </w:pPr>
            <w:r>
              <w:t xml:space="preserve">预算经费金额为59.88万元</w:t>
            </w:r>
          </w:p>
        </w:tc>
        <w:tc>
          <w:tcPr>
            <w:tcW w:w="2268" w:type="dxa"/>
            <w:vAlign w:val="center"/>
          </w:tcPr>
          <w:p>
            <w:pPr>
              <w:pStyle w:val="单元格样式2"/>
            </w:pPr>
            <w:r>
              <w:t xml:space="preserve">59.88万元</w:t>
            </w:r>
          </w:p>
        </w:tc>
        <w:tc>
          <w:tcPr>
            <w:tcW w:w="1276" w:type="dxa"/>
            <w:vAlign w:val="center"/>
          </w:tcPr>
          <w:p>
            <w:pPr>
              <w:pStyle w:val="单元格样式2"/>
            </w:pPr>
            <w:r>
              <w:t xml:space="preserve">社会矛盾多元化解中心租赁合同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案件处理效率</w:t>
            </w:r>
          </w:p>
        </w:tc>
        <w:tc>
          <w:tcPr>
            <w:tcW w:w="5386" w:type="dxa"/>
            <w:vAlign w:val="center"/>
          </w:tcPr>
          <w:p>
            <w:pPr>
              <w:pStyle w:val="单元格样式2"/>
            </w:pPr>
            <w:r>
              <w:t xml:space="preserve">受理上访案件处理数值占总受理上访案件的比率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社会矛盾多元化解中心租赁合同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11、社会维稳能力提升工作经费绩效目标表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社会维稳能力提升工作经费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主要用于社会稳定工作总体谋划，抓好各类群体性事件和各种影响社会稳定重大问题的预防和处置。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1.进一步加强和改进社会治安综合治理和维护社会稳定工作，以适应新形势、新任务的要求，为实现经济社会又好又快发展创造更好的社会环境。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印刷画册、彩页数量</w:t>
            </w:r>
          </w:p>
        </w:tc>
        <w:tc>
          <w:tcPr>
            <w:tcW w:w="5386" w:type="dxa"/>
            <w:vAlign w:val="center"/>
          </w:tcPr>
          <w:p>
            <w:pPr>
              <w:pStyle w:val="单元格样式2"/>
            </w:pPr>
            <w:r>
              <w:t xml:space="preserve">印刷维稳及社会稳定画册、彩页数量</w:t>
            </w:r>
          </w:p>
        </w:tc>
        <w:tc>
          <w:tcPr>
            <w:tcW w:w="2268" w:type="dxa"/>
            <w:vAlign w:val="center"/>
          </w:tcPr>
          <w:p>
            <w:pPr>
              <w:pStyle w:val="单元格样式2"/>
            </w:pPr>
            <w:r>
              <w:t xml:space="preserve">≥10000册</w:t>
            </w:r>
          </w:p>
        </w:tc>
        <w:tc>
          <w:tcPr>
            <w:tcW w:w="1276" w:type="dxa"/>
            <w:vAlign w:val="center"/>
          </w:tcPr>
          <w:p>
            <w:pPr>
              <w:pStyle w:val="单元格样式2"/>
            </w:pPr>
            <w:r>
              <w:t xml:space="preserve">晋州市对于社会维稳能力提升指示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涉稳舆情处置率</w:t>
            </w:r>
          </w:p>
        </w:tc>
        <w:tc>
          <w:tcPr>
            <w:tcW w:w="5386" w:type="dxa"/>
            <w:vAlign w:val="center"/>
          </w:tcPr>
          <w:p>
            <w:pPr>
              <w:pStyle w:val="单元格样式2"/>
            </w:pPr>
            <w:r>
              <w:t xml:space="preserve">处置的涉稳舆情数占涉稳网络舆情总数的比率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晋州市对于社会维稳能力提升指示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事件处置时限</w:t>
            </w:r>
          </w:p>
        </w:tc>
        <w:tc>
          <w:tcPr>
            <w:tcW w:w="5386" w:type="dxa"/>
            <w:vAlign w:val="center"/>
          </w:tcPr>
          <w:p>
            <w:pPr>
              <w:pStyle w:val="单元格样式2"/>
            </w:pPr>
            <w:r>
              <w:t xml:space="preserve">网络安全事件处置时间</w:t>
            </w:r>
          </w:p>
        </w:tc>
        <w:tc>
          <w:tcPr>
            <w:tcW w:w="2268" w:type="dxa"/>
            <w:vAlign w:val="center"/>
          </w:tcPr>
          <w:p>
            <w:pPr>
              <w:pStyle w:val="单元格样式2"/>
            </w:pPr>
            <w:r>
              <w:t xml:space="preserve">≤2天</w:t>
            </w:r>
          </w:p>
        </w:tc>
        <w:tc>
          <w:tcPr>
            <w:tcW w:w="1276" w:type="dxa"/>
            <w:vAlign w:val="center"/>
          </w:tcPr>
          <w:p>
            <w:pPr>
              <w:pStyle w:val="单元格样式2"/>
            </w:pPr>
            <w:r>
              <w:t xml:space="preserve">晋州市对于社会维稳能力提升指示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预算资金成本为93万元</w:t>
            </w:r>
          </w:p>
        </w:tc>
        <w:tc>
          <w:tcPr>
            <w:tcW w:w="2268" w:type="dxa"/>
            <w:vAlign w:val="center"/>
          </w:tcPr>
          <w:p>
            <w:pPr>
              <w:pStyle w:val="单元格样式2"/>
            </w:pPr>
            <w:r>
              <w:t xml:space="preserve">93万元</w:t>
            </w:r>
          </w:p>
        </w:tc>
        <w:tc>
          <w:tcPr>
            <w:tcW w:w="1276" w:type="dxa"/>
            <w:vAlign w:val="center"/>
          </w:tcPr>
          <w:p>
            <w:pPr>
              <w:pStyle w:val="单元格样式2"/>
            </w:pPr>
            <w:r>
              <w:t xml:space="preserve">晋州市对于社会维稳能力提升指示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排除突发事件发生率</w:t>
            </w:r>
          </w:p>
        </w:tc>
        <w:tc>
          <w:tcPr>
            <w:tcW w:w="5386" w:type="dxa"/>
            <w:vAlign w:val="center"/>
          </w:tcPr>
          <w:p>
            <w:pPr>
              <w:pStyle w:val="单元格样式2"/>
            </w:pPr>
            <w:r>
              <w:t xml:space="preserve">排除社会隐患突发事件占总突发事件的比率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晋州市对于社会维稳能力提升指示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12、维护稳定经费绩效目标表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13018326P00032810218M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维护稳定经费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用于重大事件处置、特情、信息收集、稳定工作的培训、会议、奖励等。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1.有效推进社会稳定工作总统谋划，抓好各类群体性事件和各种影响社会稳定重大问题的预防和处置。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重大安保任务完成率</w:t>
            </w:r>
          </w:p>
        </w:tc>
        <w:tc>
          <w:tcPr>
            <w:tcW w:w="5386" w:type="dxa"/>
            <w:vAlign w:val="center"/>
          </w:tcPr>
          <w:p>
            <w:pPr>
              <w:pStyle w:val="单元格样式2"/>
            </w:pPr>
            <w:r>
              <w:t xml:space="preserve">完成重大安保任务占总任务的比率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涉稳舆情处置率</w:t>
            </w:r>
          </w:p>
        </w:tc>
        <w:tc>
          <w:tcPr>
            <w:tcW w:w="5386" w:type="dxa"/>
            <w:vAlign w:val="center"/>
          </w:tcPr>
          <w:p>
            <w:pPr>
              <w:pStyle w:val="单元格样式2"/>
            </w:pPr>
            <w:r>
              <w:t xml:space="preserve">处置的涉稳舆情数占涉稳网络舆情总数的比率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依法及时办结率</w:t>
            </w:r>
          </w:p>
        </w:tc>
        <w:tc>
          <w:tcPr>
            <w:tcW w:w="5386" w:type="dxa"/>
            <w:vAlign w:val="center"/>
          </w:tcPr>
          <w:p>
            <w:pPr>
              <w:pStyle w:val="单元格样式2"/>
            </w:pPr>
            <w:r>
              <w:t xml:space="preserve">按照要求和计划及时办结各项工作占总数的比率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预算资金成本为5.63万元</w:t>
            </w:r>
          </w:p>
        </w:tc>
        <w:tc>
          <w:tcPr>
            <w:tcW w:w="2268" w:type="dxa"/>
            <w:vAlign w:val="center"/>
          </w:tcPr>
          <w:p>
            <w:pPr>
              <w:pStyle w:val="单元格样式2"/>
            </w:pPr>
            <w:r>
              <w:t xml:space="preserve">5.63万元</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重大突发事件办结率</w:t>
            </w:r>
          </w:p>
        </w:tc>
        <w:tc>
          <w:tcPr>
            <w:tcW w:w="5386" w:type="dxa"/>
            <w:vAlign w:val="center"/>
          </w:tcPr>
          <w:p>
            <w:pPr>
              <w:pStyle w:val="单元格样式2"/>
            </w:pPr>
            <w:r>
              <w:t xml:space="preserve">突发事件办结占全部重大活动突发事件的比率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晋办字[2009]4号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13、雪亮工程视频资源整合联网光纤租赁费绩效目标表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13018326P000328102314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雪亮工程视频资源整合联网光纤租赁费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确定了30个单位为视频资源整合单位，30个单位每年光纤租赁费用。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1.实现了与石家庄市平台间互联互通，为实现雪亮工程全域覆盖、全网共享、全时可用、全程可控的建设目标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路口主要路段视频监控率</w:t>
            </w:r>
          </w:p>
        </w:tc>
        <w:tc>
          <w:tcPr>
            <w:tcW w:w="5386" w:type="dxa"/>
            <w:vAlign w:val="center"/>
          </w:tcPr>
          <w:p>
            <w:pPr>
              <w:pStyle w:val="单元格样式2"/>
            </w:pPr>
            <w:r>
              <w:t xml:space="preserve">路口、主要路段视频监控和实际使用情况覆盖率</w:t>
            </w:r>
          </w:p>
        </w:tc>
        <w:tc>
          <w:tcPr>
            <w:tcW w:w="2268" w:type="dxa"/>
            <w:vAlign w:val="center"/>
          </w:tcPr>
          <w:p>
            <w:pPr>
              <w:pStyle w:val="单元格样式2"/>
            </w:pPr>
            <w:r>
              <w:t xml:space="preserve">≥90%</w:t>
            </w:r>
          </w:p>
        </w:tc>
        <w:tc>
          <w:tcPr>
            <w:tcW w:w="1276" w:type="dxa"/>
            <w:vAlign w:val="center"/>
          </w:tcPr>
          <w:p>
            <w:pPr>
              <w:pStyle w:val="单元格样式2"/>
            </w:pPr>
            <w:r>
              <w:t xml:space="preserve">雪亮工程视频资源整合联网光纤租赁合同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公共区域和重点行业的视频监控资源共享率</w:t>
            </w:r>
          </w:p>
        </w:tc>
        <w:tc>
          <w:tcPr>
            <w:tcW w:w="5386" w:type="dxa"/>
            <w:vAlign w:val="center"/>
          </w:tcPr>
          <w:p>
            <w:pPr>
              <w:pStyle w:val="单元格样式2"/>
            </w:pPr>
            <w:r>
              <w:t xml:space="preserve">领域涉及公共区域的视频监控资源共享率</w:t>
            </w:r>
          </w:p>
        </w:tc>
        <w:tc>
          <w:tcPr>
            <w:tcW w:w="2268" w:type="dxa"/>
            <w:vAlign w:val="center"/>
          </w:tcPr>
          <w:p>
            <w:pPr>
              <w:pStyle w:val="单元格样式2"/>
            </w:pPr>
            <w:r>
              <w:t xml:space="preserve">≥90%</w:t>
            </w:r>
          </w:p>
        </w:tc>
        <w:tc>
          <w:tcPr>
            <w:tcW w:w="1276" w:type="dxa"/>
            <w:vAlign w:val="center"/>
          </w:tcPr>
          <w:p>
            <w:pPr>
              <w:pStyle w:val="单元格样式2"/>
            </w:pPr>
            <w:r>
              <w:t xml:space="preserve">雪亮工程视频资源整合联网光纤租赁合同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突发事件处置及时性</w:t>
            </w:r>
          </w:p>
        </w:tc>
        <w:tc>
          <w:tcPr>
            <w:tcW w:w="5386" w:type="dxa"/>
            <w:vAlign w:val="center"/>
          </w:tcPr>
          <w:p>
            <w:pPr>
              <w:pStyle w:val="单元格样式2"/>
            </w:pPr>
            <w:r>
              <w:t xml:space="preserve">雪亮工程视频突发意外事件处置及时率</w:t>
            </w:r>
          </w:p>
        </w:tc>
        <w:tc>
          <w:tcPr>
            <w:tcW w:w="2268" w:type="dxa"/>
            <w:vAlign w:val="center"/>
          </w:tcPr>
          <w:p>
            <w:pPr>
              <w:pStyle w:val="单元格样式2"/>
            </w:pPr>
            <w:r>
              <w:t xml:space="preserve">≤24小时</w:t>
            </w:r>
          </w:p>
        </w:tc>
        <w:tc>
          <w:tcPr>
            <w:tcW w:w="1276" w:type="dxa"/>
            <w:vAlign w:val="center"/>
          </w:tcPr>
          <w:p>
            <w:pPr>
              <w:pStyle w:val="单元格样式2"/>
            </w:pPr>
            <w:r>
              <w:t xml:space="preserve">雪亮工程视频资源整合联网光纤租赁合同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雪亮工程视频资源整合光纤租赁费为2.87万元</w:t>
            </w:r>
          </w:p>
        </w:tc>
        <w:tc>
          <w:tcPr>
            <w:tcW w:w="2268" w:type="dxa"/>
            <w:vAlign w:val="center"/>
          </w:tcPr>
          <w:p>
            <w:pPr>
              <w:pStyle w:val="单元格样式2"/>
            </w:pPr>
            <w:r>
              <w:t xml:space="preserve">2.87万元</w:t>
            </w:r>
          </w:p>
        </w:tc>
        <w:tc>
          <w:tcPr>
            <w:tcW w:w="1276" w:type="dxa"/>
            <w:vAlign w:val="center"/>
          </w:tcPr>
          <w:p>
            <w:pPr>
              <w:pStyle w:val="单元格样式2"/>
            </w:pPr>
            <w:r>
              <w:t xml:space="preserve">雪亮工程视频资源整合联网光纤租赁合同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立体化社会治安防控体系覆盖率</w:t>
            </w:r>
          </w:p>
        </w:tc>
        <w:tc>
          <w:tcPr>
            <w:tcW w:w="5386" w:type="dxa"/>
            <w:vAlign w:val="center"/>
          </w:tcPr>
          <w:p>
            <w:pPr>
              <w:pStyle w:val="单元格样式2"/>
            </w:pPr>
            <w:r>
              <w:t xml:space="preserve">立体化社会治安防控体系在各地市、县、区的覆盖情况</w:t>
            </w:r>
          </w:p>
        </w:tc>
        <w:tc>
          <w:tcPr>
            <w:tcW w:w="2268" w:type="dxa"/>
            <w:vAlign w:val="center"/>
          </w:tcPr>
          <w:p>
            <w:pPr>
              <w:pStyle w:val="单元格样式2"/>
            </w:pPr>
            <w:r>
              <w:t xml:space="preserve">≥90%</w:t>
            </w:r>
          </w:p>
        </w:tc>
        <w:tc>
          <w:tcPr>
            <w:tcW w:w="1276" w:type="dxa"/>
            <w:vAlign w:val="center"/>
          </w:tcPr>
          <w:p>
            <w:pPr>
              <w:pStyle w:val="单元格样式2"/>
            </w:pPr>
            <w:r>
              <w:t xml:space="preserve">雪亮工程视频资源整合联网光纤租赁合同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14、严重精神障碍患者监护人以奖代补费绩效目标表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严重精神障碍患者监护人以奖代补费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录入公安系统的3级以上精神病患者100人，每年每人2400元。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1.提高了对严重精神障碍患者救治力度，从源头上防止肇事肇祸案件的发生，减轻了患者家庭的经济负担。</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严重精神障碍患者群体帮扶救助工作完成率</w:t>
            </w:r>
          </w:p>
        </w:tc>
        <w:tc>
          <w:tcPr>
            <w:tcW w:w="5386" w:type="dxa"/>
            <w:vAlign w:val="center"/>
          </w:tcPr>
          <w:p>
            <w:pPr>
              <w:pStyle w:val="单元格样式2"/>
            </w:pPr>
            <w:r>
              <w:t xml:space="preserve">严重精神障碍患者群体提供救助服务的人数占总人数的比率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石综治[2016]3号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严重精神障碍患者监护人以奖代补排查情况</w:t>
            </w:r>
          </w:p>
        </w:tc>
        <w:tc>
          <w:tcPr>
            <w:tcW w:w="5386" w:type="dxa"/>
            <w:vAlign w:val="center"/>
          </w:tcPr>
          <w:p>
            <w:pPr>
              <w:pStyle w:val="单元格样式2"/>
            </w:pPr>
            <w:r>
              <w:t xml:space="preserve">严重精神障碍患者监护人以奖代补排查数占总人数的比率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石综治[2016]3号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补助发放的及时性</w:t>
            </w:r>
          </w:p>
        </w:tc>
        <w:tc>
          <w:tcPr>
            <w:tcW w:w="5386" w:type="dxa"/>
            <w:vAlign w:val="center"/>
          </w:tcPr>
          <w:p>
            <w:pPr>
              <w:pStyle w:val="单元格样式2"/>
            </w:pPr>
            <w:r>
              <w:t xml:space="preserve">以奖代补按照计划发放的及时性</w:t>
            </w:r>
          </w:p>
        </w:tc>
        <w:tc>
          <w:tcPr>
            <w:tcW w:w="2268" w:type="dxa"/>
            <w:vAlign w:val="center"/>
          </w:tcPr>
          <w:p>
            <w:pPr>
              <w:pStyle w:val="单元格样式2"/>
            </w:pPr>
            <w:r>
              <w:t xml:space="preserve">≥90%</w:t>
            </w:r>
          </w:p>
        </w:tc>
        <w:tc>
          <w:tcPr>
            <w:tcW w:w="1276" w:type="dxa"/>
            <w:vAlign w:val="center"/>
          </w:tcPr>
          <w:p>
            <w:pPr>
              <w:pStyle w:val="单元格样式2"/>
            </w:pPr>
            <w:r>
              <w:t xml:space="preserve">石综治[2016]3号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以奖代补资金发放数为25万元</w:t>
            </w:r>
          </w:p>
        </w:tc>
        <w:tc>
          <w:tcPr>
            <w:tcW w:w="2268" w:type="dxa"/>
            <w:vAlign w:val="center"/>
          </w:tcPr>
          <w:p>
            <w:pPr>
              <w:pStyle w:val="单元格样式2"/>
            </w:pPr>
            <w:r>
              <w:t xml:space="preserve">25万元</w:t>
            </w:r>
          </w:p>
        </w:tc>
        <w:tc>
          <w:tcPr>
            <w:tcW w:w="1276" w:type="dxa"/>
            <w:vAlign w:val="center"/>
          </w:tcPr>
          <w:p>
            <w:pPr>
              <w:pStyle w:val="单元格样式2"/>
            </w:pPr>
            <w:r>
              <w:t xml:space="preserve">石综治[2016]3号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以奖代补资金救助率</w:t>
            </w:r>
          </w:p>
        </w:tc>
        <w:tc>
          <w:tcPr>
            <w:tcW w:w="5386" w:type="dxa"/>
            <w:vAlign w:val="center"/>
          </w:tcPr>
          <w:p>
            <w:pPr>
              <w:pStyle w:val="单元格样式2"/>
            </w:pPr>
            <w:r>
              <w:t xml:space="preserve">严重精神障碍患者患者监护人以奖代补资金救助占总数的比率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石综治[2016]3号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调查问卷群众满意度占总数的比率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15、严重精神障碍患者监护人责任险绩效目标表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严重精神障碍患者监护人责任险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对全市2242名严重精神障碍患者监护人录入保险，年保险总金额19.9万元。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1.从源头上防止肇事肇祸案事件的发生，减轻了患者家庭的经济负担。进一步加强和改进社会治安综合治理和平安建设工作。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严重精神障碍患者群体帮扶救助工作完成率</w:t>
            </w:r>
          </w:p>
        </w:tc>
        <w:tc>
          <w:tcPr>
            <w:tcW w:w="5386" w:type="dxa"/>
            <w:vAlign w:val="center"/>
          </w:tcPr>
          <w:p>
            <w:pPr>
              <w:pStyle w:val="单元格样式2"/>
            </w:pPr>
            <w:r>
              <w:t xml:space="preserve">严重精神障碍患者群体提供救助服务人数占总人数的比率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晋综治[2016]5号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严重精神障碍患者造成第三方伤害赔偿率</w:t>
            </w:r>
          </w:p>
        </w:tc>
        <w:tc>
          <w:tcPr>
            <w:tcW w:w="5386" w:type="dxa"/>
            <w:vAlign w:val="center"/>
          </w:tcPr>
          <w:p>
            <w:pPr>
              <w:pStyle w:val="单元格样式2"/>
            </w:pPr>
            <w:r>
              <w:t xml:space="preserve">严重精神障碍患者造成第三方伤害赔偿纳入治安保险理赔范畴的比率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晋综治[2016]5号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责任险参保及时性</w:t>
            </w:r>
          </w:p>
        </w:tc>
        <w:tc>
          <w:tcPr>
            <w:tcW w:w="5386" w:type="dxa"/>
            <w:vAlign w:val="center"/>
          </w:tcPr>
          <w:p>
            <w:pPr>
              <w:pStyle w:val="单元格样式2"/>
            </w:pPr>
            <w:r>
              <w:t xml:space="preserve">严重精神障碍患者监护人责任险录入保险的及时性</w:t>
            </w:r>
          </w:p>
        </w:tc>
        <w:tc>
          <w:tcPr>
            <w:tcW w:w="2268" w:type="dxa"/>
            <w:vAlign w:val="center"/>
          </w:tcPr>
          <w:p>
            <w:pPr>
              <w:pStyle w:val="单元格样式2"/>
            </w:pPr>
            <w:r>
              <w:t xml:space="preserve">≥90%</w:t>
            </w:r>
          </w:p>
        </w:tc>
        <w:tc>
          <w:tcPr>
            <w:tcW w:w="1276" w:type="dxa"/>
            <w:vAlign w:val="center"/>
          </w:tcPr>
          <w:p>
            <w:pPr>
              <w:pStyle w:val="单元格样式2"/>
            </w:pPr>
            <w:r>
              <w:t xml:space="preserve">晋综治[2016]5号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严重精神障碍患者监护人责任险资金为19.9万元</w:t>
            </w:r>
          </w:p>
        </w:tc>
        <w:tc>
          <w:tcPr>
            <w:tcW w:w="2268" w:type="dxa"/>
            <w:vAlign w:val="center"/>
          </w:tcPr>
          <w:p>
            <w:pPr>
              <w:pStyle w:val="单元格样式2"/>
            </w:pPr>
            <w:r>
              <w:t xml:space="preserve">19.9万元</w:t>
            </w:r>
          </w:p>
        </w:tc>
        <w:tc>
          <w:tcPr>
            <w:tcW w:w="1276" w:type="dxa"/>
            <w:vAlign w:val="center"/>
          </w:tcPr>
          <w:p>
            <w:pPr>
              <w:pStyle w:val="单元格样式2"/>
            </w:pPr>
            <w:r>
              <w:t xml:space="preserve">晋综治[2016]5号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严重精神障碍患者参保率</w:t>
            </w:r>
          </w:p>
        </w:tc>
        <w:tc>
          <w:tcPr>
            <w:tcW w:w="5386" w:type="dxa"/>
            <w:vAlign w:val="center"/>
          </w:tcPr>
          <w:p>
            <w:pPr>
              <w:pStyle w:val="单元格样式2"/>
            </w:pPr>
            <w:r>
              <w:t xml:space="preserve">严重精神障碍患者监护人责任险参保占总人数的比率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晋综治[2016]5号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调查问卷满意度占总数的比率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16、政法四级网设备维保费绩效目标表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政法四级网设备维保费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153.17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153.17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主要用于保证政法四级网正常运行，对设备日常运行和维护。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1.为确保政法网络稳定运行，提升我市政法信息化基础保障能力。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设备检修维护覆盖率</w:t>
            </w:r>
          </w:p>
        </w:tc>
        <w:tc>
          <w:tcPr>
            <w:tcW w:w="5386" w:type="dxa"/>
            <w:vAlign w:val="center"/>
          </w:tcPr>
          <w:p>
            <w:pPr>
              <w:pStyle w:val="单元格样式2"/>
            </w:pPr>
            <w:r>
              <w:t xml:space="preserve">政法四级网设备检修维护占总设备检修的比率</w:t>
            </w:r>
          </w:p>
        </w:tc>
        <w:tc>
          <w:tcPr>
            <w:tcW w:w="2268" w:type="dxa"/>
            <w:vAlign w:val="center"/>
          </w:tcPr>
          <w:p>
            <w:pPr>
              <w:pStyle w:val="单元格样式2"/>
            </w:pPr>
            <w:r>
              <w:t xml:space="preserve">≥90%</w:t>
            </w:r>
          </w:p>
        </w:tc>
        <w:tc>
          <w:tcPr>
            <w:tcW w:w="1276" w:type="dxa"/>
            <w:vAlign w:val="center"/>
          </w:tcPr>
          <w:p>
            <w:pPr>
              <w:pStyle w:val="单元格样式2"/>
            </w:pPr>
            <w:r>
              <w:t xml:space="preserve">政法四级网设备维保费合同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异常处理次数完成率</w:t>
            </w:r>
          </w:p>
        </w:tc>
        <w:tc>
          <w:tcPr>
            <w:tcW w:w="5386" w:type="dxa"/>
            <w:vAlign w:val="center"/>
          </w:tcPr>
          <w:p>
            <w:pPr>
              <w:pStyle w:val="单元格样式2"/>
            </w:pPr>
            <w:r>
              <w:t xml:space="preserve">政法四级网突发异常处理次数占总次数的比率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政法四级网设备维保费合同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设备故障处置及时率</w:t>
            </w:r>
          </w:p>
        </w:tc>
        <w:tc>
          <w:tcPr>
            <w:tcW w:w="5386" w:type="dxa"/>
            <w:vAlign w:val="center"/>
          </w:tcPr>
          <w:p>
            <w:pPr>
              <w:pStyle w:val="单元格样式2"/>
            </w:pPr>
            <w:r>
              <w:t xml:space="preserve">设备故障处置占总设备故障的比率</w:t>
            </w:r>
          </w:p>
        </w:tc>
        <w:tc>
          <w:tcPr>
            <w:tcW w:w="2268" w:type="dxa"/>
            <w:vAlign w:val="center"/>
          </w:tcPr>
          <w:p>
            <w:pPr>
              <w:pStyle w:val="单元格样式2"/>
            </w:pPr>
            <w:r>
              <w:t xml:space="preserve">≤5天</w:t>
            </w:r>
          </w:p>
        </w:tc>
        <w:tc>
          <w:tcPr>
            <w:tcW w:w="1276" w:type="dxa"/>
            <w:vAlign w:val="center"/>
          </w:tcPr>
          <w:p>
            <w:pPr>
              <w:pStyle w:val="单元格样式2"/>
            </w:pPr>
            <w:r>
              <w:t xml:space="preserve">政法四级网设备维保费合同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控制预算资金成本</w:t>
            </w:r>
          </w:p>
        </w:tc>
        <w:tc>
          <w:tcPr>
            <w:tcW w:w="5386" w:type="dxa"/>
            <w:vAlign w:val="center"/>
          </w:tcPr>
          <w:p>
            <w:pPr>
              <w:pStyle w:val="单元格样式2"/>
            </w:pPr>
            <w:r>
              <w:t xml:space="preserve">预算资金为153.17万元</w:t>
            </w:r>
          </w:p>
        </w:tc>
        <w:tc>
          <w:tcPr>
            <w:tcW w:w="2268" w:type="dxa"/>
            <w:vAlign w:val="center"/>
          </w:tcPr>
          <w:p>
            <w:pPr>
              <w:pStyle w:val="单元格样式2"/>
            </w:pPr>
            <w:r>
              <w:t xml:space="preserve">153.17万元</w:t>
            </w:r>
          </w:p>
        </w:tc>
        <w:tc>
          <w:tcPr>
            <w:tcW w:w="1276" w:type="dxa"/>
            <w:vAlign w:val="center"/>
          </w:tcPr>
          <w:p>
            <w:pPr>
              <w:pStyle w:val="单元格样式2"/>
            </w:pPr>
            <w:r>
              <w:t xml:space="preserve">政法四级网设备维保费合同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通用设备 及应用软件运行率</w:t>
            </w:r>
          </w:p>
        </w:tc>
        <w:tc>
          <w:tcPr>
            <w:tcW w:w="5386" w:type="dxa"/>
            <w:vAlign w:val="center"/>
          </w:tcPr>
          <w:p>
            <w:pPr>
              <w:pStyle w:val="单元格样式2"/>
            </w:pPr>
            <w:r>
              <w:t xml:space="preserve">通用设备机应用软件正常运行数量占总运行数量的比率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政法四级网设备维保费合同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17、政法网络信息化保障经费绩效目标表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13018326P00032810256X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政法网络信息化保障经费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主要包括光纤传输费11.52万元、设备维护费、应用系统开发费、人员培训费及机构办公费等7.93万元。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1.确保政法网络稳定运行，提升信息化应用水平，提升我市政法信息化基础保障能力。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日常养护工作完成率</w:t>
            </w:r>
          </w:p>
        </w:tc>
        <w:tc>
          <w:tcPr>
            <w:tcW w:w="5386" w:type="dxa"/>
            <w:vAlign w:val="center"/>
          </w:tcPr>
          <w:p>
            <w:pPr>
              <w:pStyle w:val="单元格样式2"/>
            </w:pPr>
            <w:r>
              <w:t xml:space="preserve">政法网络设备日常养护次数占总养护数的比率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关于加强全省政法信息化经费保障的通知（[2012]131号）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设备检修合格率</w:t>
            </w:r>
          </w:p>
        </w:tc>
        <w:tc>
          <w:tcPr>
            <w:tcW w:w="5386" w:type="dxa"/>
            <w:vAlign w:val="center"/>
          </w:tcPr>
          <w:p>
            <w:pPr>
              <w:pStyle w:val="单元格样式2"/>
            </w:pPr>
            <w:r>
              <w:t xml:space="preserve">政法网络设备检修合格次数占总检修次数的比率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关于加强全省政法信息化经费保障的通知（[2012]131号）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信号突发事件处置及时性</w:t>
            </w:r>
          </w:p>
        </w:tc>
        <w:tc>
          <w:tcPr>
            <w:tcW w:w="5386" w:type="dxa"/>
            <w:vAlign w:val="center"/>
          </w:tcPr>
          <w:p>
            <w:pPr>
              <w:pStyle w:val="单元格样式2"/>
            </w:pPr>
            <w:r>
              <w:t xml:space="preserve">政法网络信号突发事件处置及时占总事件的比率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关于加强全省政法信息化经费保障的通知（[2012]131号）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预算资金为19.45万元</w:t>
            </w:r>
          </w:p>
        </w:tc>
        <w:tc>
          <w:tcPr>
            <w:tcW w:w="2268" w:type="dxa"/>
            <w:vAlign w:val="center"/>
          </w:tcPr>
          <w:p>
            <w:pPr>
              <w:pStyle w:val="单元格样式2"/>
            </w:pPr>
            <w:r>
              <w:t xml:space="preserve">19.45万元</w:t>
            </w:r>
          </w:p>
        </w:tc>
        <w:tc>
          <w:tcPr>
            <w:tcW w:w="1276" w:type="dxa"/>
            <w:vAlign w:val="center"/>
          </w:tcPr>
          <w:p>
            <w:pPr>
              <w:pStyle w:val="单元格样式2"/>
            </w:pPr>
            <w:r>
              <w:t xml:space="preserve">关于加强全省政法信息化经费保障的通知（[2012]131号）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w:t>
            </w:r>
          </w:p>
        </w:tc>
        <w:tc>
          <w:tcPr>
            <w:tcW w:w="5386" w:type="dxa"/>
            <w:vAlign w:val="center"/>
          </w:tcPr>
          <w:p>
            <w:pPr>
              <w:pStyle w:val="单元格样式2"/>
            </w:pPr>
            <w:r>
              <w:t xml:space="preserve">政法网各项业务保障占总业务的比率</w:t>
            </w:r>
          </w:p>
        </w:tc>
        <w:tc>
          <w:tcPr>
            <w:tcW w:w="2268" w:type="dxa"/>
            <w:vAlign w:val="center"/>
          </w:tcPr>
          <w:p>
            <w:pPr>
              <w:pStyle w:val="单元格样式2"/>
            </w:pPr>
            <w:r>
              <w:t xml:space="preserve">≥90%</w:t>
            </w:r>
          </w:p>
        </w:tc>
        <w:tc>
          <w:tcPr>
            <w:tcW w:w="1276" w:type="dxa"/>
            <w:vAlign w:val="center"/>
          </w:tcPr>
          <w:p>
            <w:pPr>
              <w:pStyle w:val="单元格样式2"/>
            </w:pPr>
            <w:r>
              <w:t xml:space="preserve">关于加强全省政法信息化经费保障的通知（[2012]131号）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18、综合治理经费绩效目标表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13018326P000328102585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综合治理经费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按管辖人口人均不低于1元的标准主要用于社会治安综合治理的基层创安、法制宣传、基础设施建设、表彰奖励、典型示范等。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1.全面提升社会治安综合治理水平，打牢综治工作根基，提升平安建设成效，为打造平安晋州奠定坚实基础。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矛盾纠纷调出率</w:t>
            </w:r>
          </w:p>
        </w:tc>
        <w:tc>
          <w:tcPr>
            <w:tcW w:w="5386" w:type="dxa"/>
            <w:vAlign w:val="center"/>
          </w:tcPr>
          <w:p>
            <w:pPr>
              <w:pStyle w:val="单元格样式2"/>
            </w:pPr>
            <w:r>
              <w:t xml:space="preserve">调处矛盾纠纷数量占排查矛盾纠纷总数的比率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冀综治办[2016]12号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综合治理各项指标验收合格率</w:t>
            </w:r>
          </w:p>
        </w:tc>
        <w:tc>
          <w:tcPr>
            <w:tcW w:w="2268" w:type="dxa"/>
            <w:vAlign w:val="center"/>
          </w:tcPr>
          <w:p>
            <w:pPr>
              <w:pStyle w:val="单元格样式2"/>
            </w:pPr>
            <w:r>
              <w:t xml:space="preserve">≥90%</w:t>
            </w:r>
          </w:p>
        </w:tc>
        <w:tc>
          <w:tcPr>
            <w:tcW w:w="1276" w:type="dxa"/>
            <w:vAlign w:val="center"/>
          </w:tcPr>
          <w:p>
            <w:pPr>
              <w:pStyle w:val="单元格样式2"/>
            </w:pPr>
            <w:r>
              <w:t xml:space="preserve">冀综治办[2016]12号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综合治理各项工作指标按时完成率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冀综治办[2016]12号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控制预算成本</w:t>
            </w:r>
          </w:p>
        </w:tc>
        <w:tc>
          <w:tcPr>
            <w:tcW w:w="5386" w:type="dxa"/>
            <w:vAlign w:val="center"/>
          </w:tcPr>
          <w:p>
            <w:pPr>
              <w:pStyle w:val="单元格样式2"/>
            </w:pPr>
            <w:r>
              <w:t xml:space="preserve">预算资金成本为56万元</w:t>
            </w:r>
          </w:p>
        </w:tc>
        <w:tc>
          <w:tcPr>
            <w:tcW w:w="2268" w:type="dxa"/>
            <w:vAlign w:val="center"/>
          </w:tcPr>
          <w:p>
            <w:pPr>
              <w:pStyle w:val="单元格样式2"/>
            </w:pPr>
            <w:r>
              <w:t xml:space="preserve">56万元</w:t>
            </w:r>
          </w:p>
        </w:tc>
        <w:tc>
          <w:tcPr>
            <w:tcW w:w="1276" w:type="dxa"/>
            <w:vAlign w:val="center"/>
          </w:tcPr>
          <w:p>
            <w:pPr>
              <w:pStyle w:val="单元格样式2"/>
            </w:pPr>
            <w:r>
              <w:t xml:space="preserve">冀综治办[2016]12号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维护晋州市和谐和稳定。</w:t>
            </w:r>
          </w:p>
        </w:tc>
        <w:tc>
          <w:tcPr>
            <w:tcW w:w="5386" w:type="dxa"/>
            <w:vAlign w:val="center"/>
          </w:tcPr>
          <w:p>
            <w:pPr>
              <w:pStyle w:val="单元格样式2"/>
            </w:pPr>
            <w:r>
              <w:t xml:space="preserve">维护晋州市和谐和稳定。</w:t>
            </w:r>
          </w:p>
        </w:tc>
        <w:tc>
          <w:tcPr>
            <w:tcW w:w="2268" w:type="dxa"/>
            <w:vAlign w:val="center"/>
          </w:tcPr>
          <w:p>
            <w:pPr>
              <w:pStyle w:val="单元格样式2"/>
            </w:pPr>
            <w:r>
              <w:t xml:space="preserve">推动平安晋州、法治晋州建设，坚决维护国家政治安全、确保社会大局稳定、促进社会公平正义、保障人民安居乐业。</w:t>
            </w:r>
          </w:p>
        </w:tc>
        <w:tc>
          <w:tcPr>
            <w:tcW w:w="1276" w:type="dxa"/>
            <w:vAlign w:val="center"/>
          </w:tcPr>
          <w:p>
            <w:pPr>
              <w:pStyle w:val="单元格样式2"/>
            </w:pPr>
            <w:r>
              <w:t xml:space="preserve">冀综治办[2016]12号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19、综治信息化建设经费绩效目标表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综治信息化建设经费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全市进行网格化服务管理，主要用于全市569名网格员通信服务费及雪亮工程电费。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1.进一步创新全市社会治理水平、提升社会治理能力、推进平安晋州建设的一项基础性工作。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培训覆盖率</w:t>
            </w:r>
          </w:p>
        </w:tc>
        <w:tc>
          <w:tcPr>
            <w:tcW w:w="5386" w:type="dxa"/>
            <w:vAlign w:val="center"/>
          </w:tcPr>
          <w:p>
            <w:pPr>
              <w:pStyle w:val="单元格样式2"/>
            </w:pPr>
            <w:r>
              <w:t xml:space="preserve">培训网格员数量占应覆盖对象数量的比率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晋办字[2018]5号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办公自动化覆盖范围占应覆盖范围的比率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晋办字[2018]5号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提高办案质量，依法及时办结率</w:t>
            </w:r>
          </w:p>
        </w:tc>
        <w:tc>
          <w:tcPr>
            <w:tcW w:w="5386" w:type="dxa"/>
            <w:vAlign w:val="center"/>
          </w:tcPr>
          <w:p>
            <w:pPr>
              <w:pStyle w:val="单元格样式2"/>
            </w:pPr>
            <w:r>
              <w:t xml:space="preserve">按照要求和计划及时办结案件占总案件的比率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晋办字[2018]5号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控制预算经费成本</w:t>
            </w:r>
          </w:p>
        </w:tc>
        <w:tc>
          <w:tcPr>
            <w:tcW w:w="5386" w:type="dxa"/>
            <w:vAlign w:val="center"/>
          </w:tcPr>
          <w:p>
            <w:pPr>
              <w:pStyle w:val="单元格样式2"/>
            </w:pPr>
            <w:r>
              <w:t xml:space="preserve">预算资金为26.45万元</w:t>
            </w:r>
          </w:p>
        </w:tc>
        <w:tc>
          <w:tcPr>
            <w:tcW w:w="2268" w:type="dxa"/>
            <w:vAlign w:val="center"/>
          </w:tcPr>
          <w:p>
            <w:pPr>
              <w:pStyle w:val="单元格样式2"/>
            </w:pPr>
            <w:r>
              <w:t xml:space="preserve">26.45万元</w:t>
            </w:r>
          </w:p>
        </w:tc>
        <w:tc>
          <w:tcPr>
            <w:tcW w:w="1276" w:type="dxa"/>
            <w:vAlign w:val="center"/>
          </w:tcPr>
          <w:p>
            <w:pPr>
              <w:pStyle w:val="单元格样式2"/>
            </w:pPr>
            <w:r>
              <w:t xml:space="preserve">晋办字[2018]5号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通用设备及应用软件运行率</w:t>
            </w:r>
          </w:p>
        </w:tc>
        <w:tc>
          <w:tcPr>
            <w:tcW w:w="5386" w:type="dxa"/>
            <w:vAlign w:val="center"/>
          </w:tcPr>
          <w:p>
            <w:pPr>
              <w:pStyle w:val="单元格样式2"/>
            </w:pPr>
            <w:r>
              <w:t xml:space="preserve">通用设备及应用软件运行数量占应运行数量的比率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晋办字[2018]5号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调查问卷群众满意数量占总数量的比率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155.17</w:t>
            </w:r>
          </w:p>
        </w:tc>
        <w:tc>
          <w:tcPr>
            <w:tcW w:w="964" w:type="dxa"/>
            <w:vAlign w:val="center"/>
          </w:tcPr>
          <w:p>
            <w:pPr>
              <w:pStyle w:val="单元格样式7"/>
            </w:pPr>
            <w:r>
              <w:t xml:space="preserve">155.17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155.17</w:t>
            </w:r>
          </w:p>
        </w:tc>
      </w:tr>
      <w:tr>
        <w:tblPrEx>
          <w:jc w:val="center"/>
          <w:tblLayout w:type="fixed"/>
        </w:tblPrEx>
        <w:trPr>
          <w:jc w:val="center"/>
        </w:trPr>
        <w:tc>
          <w:tcPr>
            <w:tcW w:w="1701" w:type="dxa"/>
            <w:vAlign w:val="center"/>
          </w:tcPr>
          <w:p>
            <w:pPr>
              <w:pStyle w:val="单元格样式6"/>
            </w:pPr>
            <w:r>
              <w:t xml:space="preserve">中国共产党晋州市委员会政法委员会本级小计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155.17</w:t>
            </w:r>
          </w:p>
        </w:tc>
        <w:tc>
          <w:tcPr>
            <w:tcW w:w="964" w:type="dxa"/>
            <w:vAlign w:val="center"/>
          </w:tcPr>
          <w:p>
            <w:pPr>
              <w:pStyle w:val="单元格样式7"/>
            </w:pPr>
            <w:r>
              <w:t xml:space="preserve">155.17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155.17</w:t>
            </w:r>
          </w:p>
        </w:tc>
      </w:tr>
      <w:tr>
        <w:tblPrEx>
          <w:jc w:val="center"/>
          <w:tblLayout w:type="fixed"/>
        </w:tblPrEx>
        <w:trPr>
          <w:jc w:val="center"/>
        </w:trPr>
        <w:tc>
          <w:tcPr>
            <w:tcW w:w="1701" w:type="dxa"/>
            <w:vAlign w:val="center"/>
          </w:tcPr>
          <w:p>
            <w:pPr>
              <w:pStyle w:val="单元格样式2"/>
            </w:pPr>
            <w:r>
              <w:t xml:space="preserve">社会维稳能力提升工作经费</w:t>
            </w:r>
          </w:p>
        </w:tc>
        <w:tc>
          <w:tcPr>
            <w:tcW w:w="964" w:type="dxa"/>
            <w:vAlign w:val="center"/>
          </w:tcPr>
          <w:p>
            <w:pPr>
              <w:pStyle w:val="单元格样式4"/>
            </w:pPr>
            <w:r>
              <w:t xml:space="preserve">93.00</w:t>
            </w:r>
          </w:p>
        </w:tc>
        <w:tc>
          <w:tcPr>
            <w:tcW w:w="1134" w:type="dxa"/>
            <w:vAlign w:val="center"/>
          </w:tcPr>
          <w:p>
            <w:pPr>
              <w:pStyle w:val="单元格样式2"/>
            </w:pPr>
            <w:r>
              <w:t xml:space="preserve">其他办公用品</w:t>
            </w:r>
          </w:p>
        </w:tc>
        <w:tc>
          <w:tcPr>
            <w:tcW w:w="1134" w:type="dxa"/>
            <w:vAlign w:val="center"/>
          </w:tcPr>
          <w:p>
            <w:pPr>
              <w:pStyle w:val="单元格样式2"/>
            </w:pPr>
            <w:r>
              <w:t xml:space="preserve">A05049900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政法四级网设备维保费</w:t>
            </w:r>
          </w:p>
        </w:tc>
        <w:tc>
          <w:tcPr>
            <w:tcW w:w="964" w:type="dxa"/>
            <w:vAlign w:val="center"/>
          </w:tcPr>
          <w:p>
            <w:pPr>
              <w:pStyle w:val="单元格样式4"/>
            </w:pPr>
            <w:r>
              <w:t xml:space="preserve">153.17</w:t>
            </w:r>
          </w:p>
        </w:tc>
        <w:tc>
          <w:tcPr>
            <w:tcW w:w="1134" w:type="dxa"/>
            <w:vAlign w:val="center"/>
          </w:tcPr>
          <w:p>
            <w:pPr>
              <w:pStyle w:val="单元格样式2"/>
            </w:pPr>
            <w:r>
              <w:t xml:space="preserve">安全运维服务</w:t>
            </w:r>
          </w:p>
        </w:tc>
        <w:tc>
          <w:tcPr>
            <w:tcW w:w="1134" w:type="dxa"/>
            <w:vAlign w:val="center"/>
          </w:tcPr>
          <w:p>
            <w:pPr>
              <w:pStyle w:val="单元格样式2"/>
            </w:pPr>
            <w:r>
              <w:t xml:space="preserve">C16070400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153.17</w:t>
            </w:r>
          </w:p>
        </w:tc>
        <w:tc>
          <w:tcPr>
            <w:tcW w:w="964" w:type="dxa"/>
            <w:vAlign w:val="center"/>
          </w:tcPr>
          <w:p>
            <w:pPr>
              <w:pStyle w:val="单元格样式4"/>
            </w:pPr>
            <w:r>
              <w:t xml:space="preserve">153.17</w:t>
            </w:r>
          </w:p>
        </w:tc>
        <w:tc>
          <w:tcPr>
            <w:tcW w:w="964" w:type="dxa"/>
            <w:vAlign w:val="center"/>
          </w:tcPr>
          <w:p>
            <w:pPr>
              <w:pStyle w:val="单元格样式4"/>
            </w:pPr>
            <w:r>
              <w:t xml:space="preserve">153.17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153.17</w:t>
            </w:r>
          </w:p>
        </w:tc>
      </w:tr>
      <w:tr>
        <w:tblPrEx>
          <w:jc w:val="center"/>
          <w:tblLayout w:type="fixed"/>
        </w:tblPrEx>
        <w:trPr>
          <w:jc w:val="center"/>
        </w:trPr>
        <w:tc>
          <w:tcPr>
            <w:tcW w:w="1701" w:type="dxa"/>
            <w:vAlign w:val="center"/>
          </w:tcPr>
          <w:p>
            <w:pPr>
              <w:pStyle w:val="单元格样式2"/>
            </w:pPr>
            <w:r>
              <w:t xml:space="preserve">综合治理经费</w:t>
            </w:r>
          </w:p>
        </w:tc>
        <w:tc>
          <w:tcPr>
            <w:tcW w:w="964" w:type="dxa"/>
            <w:vAlign w:val="center"/>
          </w:tcPr>
          <w:p>
            <w:pPr>
              <w:pStyle w:val="单元格样式4"/>
            </w:pPr>
            <w:r>
              <w:t xml:space="preserve">56.00</w:t>
            </w:r>
          </w:p>
        </w:tc>
        <w:tc>
          <w:tcPr>
            <w:tcW w:w="1134" w:type="dxa"/>
            <w:vAlign w:val="center"/>
          </w:tcPr>
          <w:p>
            <w:pPr>
              <w:pStyle w:val="单元格样式2"/>
            </w:pPr>
            <w:r>
              <w:t xml:space="preserve">其他办公用品</w:t>
            </w:r>
          </w:p>
        </w:tc>
        <w:tc>
          <w:tcPr>
            <w:tcW w:w="1134" w:type="dxa"/>
            <w:vAlign w:val="center"/>
          </w:tcPr>
          <w:p>
            <w:pPr>
              <w:pStyle w:val="单元格样式2"/>
            </w:pPr>
            <w:r>
              <w:t xml:space="preserve">A05049900</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中国共产党晋州市委员会政法委员会本级上年末固定资产金额为227.74万元（详见下表）。本年度拟购置固定资产总额为0.00万元，已按要求列入政府采购预算，详见政府采购预算表。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216001中国共产党晋州市委员会政法委员会本级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227.74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24.50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616</w:t>
            </w:r>
          </w:p>
        </w:tc>
        <w:tc>
          <w:tcPr>
            <w:tcW w:w="2835" w:type="dxa"/>
            <w:vAlign w:val="center"/>
          </w:tcPr>
          <w:p>
            <w:pPr>
              <w:pStyle w:val="单元格样式4"/>
            </w:pPr>
            <w:r>
              <w:t xml:space="preserve">203.24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2026-03-02T14:23:34Z</dcterms:created>
  <dcterms:modified xsi:type="dcterms:W3CDTF">2026-03-02T14:23:34Z</dcterms:modified>
</cp:coreProperties>
</file>