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2333.12</w:t>
            </w:r>
          </w:p>
        </w:tc>
        <w:tc>
          <w:tcPr>
            <w:tcW w:w="4535" w:type="dxa"/>
            <w:vAlign w:val="center"/>
          </w:tcPr>
          <w:p>
            <w:pPr>
              <w:pStyle w:val="13"/>
            </w:pPr>
            <w:r>
              <w:t>一、一般公共服务支出</w:t>
            </w:r>
          </w:p>
        </w:tc>
        <w:tc>
          <w:tcPr>
            <w:tcW w:w="2126" w:type="dxa"/>
            <w:vAlign w:val="center"/>
          </w:tcPr>
          <w:p>
            <w:pPr>
              <w:pStyle w:val="12"/>
            </w:pPr>
            <w:r>
              <w:t>2333.12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2333.12</w:t>
            </w:r>
          </w:p>
        </w:tc>
        <w:tc>
          <w:tcPr>
            <w:tcW w:w="4535" w:type="dxa"/>
            <w:vAlign w:val="center"/>
          </w:tcPr>
          <w:p>
            <w:pPr>
              <w:pStyle w:val="15"/>
            </w:pPr>
            <w:r>
              <w:t>本年支出合计</w:t>
            </w:r>
          </w:p>
        </w:tc>
        <w:tc>
          <w:tcPr>
            <w:tcW w:w="2126" w:type="dxa"/>
            <w:vAlign w:val="center"/>
          </w:tcPr>
          <w:p>
            <w:pPr>
              <w:pStyle w:val="16"/>
            </w:pPr>
            <w:r>
              <w:t>2333.12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2333.12</w:t>
            </w:r>
          </w:p>
        </w:tc>
        <w:tc>
          <w:tcPr>
            <w:tcW w:w="4535" w:type="dxa"/>
            <w:vAlign w:val="center"/>
          </w:tcPr>
          <w:p>
            <w:pPr>
              <w:pStyle w:val="15"/>
            </w:pPr>
            <w:r>
              <w:t>支出总计</w:t>
            </w:r>
          </w:p>
        </w:tc>
        <w:tc>
          <w:tcPr>
            <w:tcW w:w="2126" w:type="dxa"/>
            <w:vAlign w:val="center"/>
          </w:tcPr>
          <w:p>
            <w:pPr>
              <w:pStyle w:val="16"/>
            </w:pPr>
            <w:r>
              <w:t>2333.12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2333.12</w:t>
            </w:r>
          </w:p>
        </w:tc>
        <w:tc>
          <w:tcPr>
            <w:tcW w:w="1134" w:type="dxa"/>
            <w:vAlign w:val="center"/>
          </w:tcPr>
          <w:p>
            <w:pPr>
              <w:pStyle w:val="16"/>
            </w:pPr>
            <w:r>
              <w:t>2333.12</w:t>
            </w:r>
          </w:p>
        </w:tc>
        <w:tc>
          <w:tcPr>
            <w:tcW w:w="1134" w:type="dxa"/>
            <w:vAlign w:val="center"/>
          </w:tcPr>
          <w:p>
            <w:pPr>
              <w:pStyle w:val="16"/>
            </w:pPr>
            <w:r>
              <w:t>2333.12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2333.12</w:t>
            </w:r>
          </w:p>
        </w:tc>
        <w:tc>
          <w:tcPr>
            <w:tcW w:w="1134" w:type="dxa"/>
            <w:vAlign w:val="center"/>
          </w:tcPr>
          <w:p>
            <w:pPr>
              <w:pStyle w:val="12"/>
            </w:pPr>
            <w:r>
              <w:t>2333.12</w:t>
            </w:r>
          </w:p>
        </w:tc>
        <w:tc>
          <w:tcPr>
            <w:tcW w:w="1134" w:type="dxa"/>
            <w:vAlign w:val="center"/>
          </w:tcPr>
          <w:p>
            <w:pPr>
              <w:pStyle w:val="12"/>
            </w:pPr>
            <w:r>
              <w:t>2333.12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2333.12</w:t>
            </w:r>
          </w:p>
        </w:tc>
        <w:tc>
          <w:tcPr>
            <w:tcW w:w="1134" w:type="dxa"/>
            <w:vAlign w:val="center"/>
          </w:tcPr>
          <w:p>
            <w:pPr>
              <w:pStyle w:val="12"/>
            </w:pPr>
            <w:r>
              <w:t>2333.12</w:t>
            </w:r>
          </w:p>
        </w:tc>
        <w:tc>
          <w:tcPr>
            <w:tcW w:w="1134" w:type="dxa"/>
            <w:vAlign w:val="center"/>
          </w:tcPr>
          <w:p>
            <w:pPr>
              <w:pStyle w:val="12"/>
            </w:pPr>
            <w:r>
              <w:t>2333.12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1465.77</w:t>
            </w:r>
          </w:p>
        </w:tc>
        <w:tc>
          <w:tcPr>
            <w:tcW w:w="1134" w:type="dxa"/>
            <w:vAlign w:val="center"/>
          </w:tcPr>
          <w:p>
            <w:pPr>
              <w:pStyle w:val="12"/>
            </w:pPr>
            <w:r>
              <w:t>1465.77</w:t>
            </w:r>
          </w:p>
        </w:tc>
        <w:tc>
          <w:tcPr>
            <w:tcW w:w="1134" w:type="dxa"/>
            <w:vAlign w:val="center"/>
          </w:tcPr>
          <w:p>
            <w:pPr>
              <w:pStyle w:val="12"/>
            </w:pPr>
            <w:r>
              <w:t>1465.77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627.15</w:t>
            </w:r>
          </w:p>
        </w:tc>
        <w:tc>
          <w:tcPr>
            <w:tcW w:w="1134" w:type="dxa"/>
            <w:vAlign w:val="center"/>
          </w:tcPr>
          <w:p>
            <w:pPr>
              <w:pStyle w:val="12"/>
            </w:pPr>
            <w:r>
              <w:t>627.15</w:t>
            </w:r>
          </w:p>
        </w:tc>
        <w:tc>
          <w:tcPr>
            <w:tcW w:w="1134" w:type="dxa"/>
            <w:vAlign w:val="center"/>
          </w:tcPr>
          <w:p>
            <w:pPr>
              <w:pStyle w:val="12"/>
            </w:pPr>
            <w:r>
              <w:t>627.15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2011106</w:t>
            </w:r>
          </w:p>
        </w:tc>
        <w:tc>
          <w:tcPr>
            <w:tcW w:w="1559" w:type="dxa"/>
            <w:vAlign w:val="center"/>
          </w:tcPr>
          <w:p>
            <w:pPr>
              <w:pStyle w:val="13"/>
            </w:pPr>
            <w:r>
              <w:t>巡视工作</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140.20</w:t>
            </w:r>
          </w:p>
        </w:tc>
        <w:tc>
          <w:tcPr>
            <w:tcW w:w="1134" w:type="dxa"/>
            <w:vAlign w:val="center"/>
          </w:tcPr>
          <w:p>
            <w:pPr>
              <w:pStyle w:val="12"/>
            </w:pPr>
            <w:r>
              <w:t>140.20</w:t>
            </w:r>
          </w:p>
        </w:tc>
        <w:tc>
          <w:tcPr>
            <w:tcW w:w="1134" w:type="dxa"/>
            <w:vAlign w:val="center"/>
          </w:tcPr>
          <w:p>
            <w:pPr>
              <w:pStyle w:val="12"/>
            </w:pPr>
            <w:r>
              <w:t>140.20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2333.12</w:t>
            </w:r>
          </w:p>
        </w:tc>
        <w:tc>
          <w:tcPr>
            <w:tcW w:w="1361" w:type="dxa"/>
            <w:vAlign w:val="center"/>
          </w:tcPr>
          <w:p>
            <w:pPr>
              <w:pStyle w:val="16"/>
            </w:pPr>
            <w:r>
              <w:t>1465.77</w:t>
            </w:r>
          </w:p>
        </w:tc>
        <w:tc>
          <w:tcPr>
            <w:tcW w:w="1361" w:type="dxa"/>
            <w:vAlign w:val="center"/>
          </w:tcPr>
          <w:p>
            <w:pPr>
              <w:pStyle w:val="16"/>
            </w:pPr>
            <w:r>
              <w:t>867.35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2333.12</w:t>
            </w:r>
          </w:p>
        </w:tc>
        <w:tc>
          <w:tcPr>
            <w:tcW w:w="1361" w:type="dxa"/>
            <w:vAlign w:val="center"/>
          </w:tcPr>
          <w:p>
            <w:pPr>
              <w:pStyle w:val="12"/>
            </w:pPr>
            <w:r>
              <w:t>1465.77</w:t>
            </w:r>
          </w:p>
        </w:tc>
        <w:tc>
          <w:tcPr>
            <w:tcW w:w="1361" w:type="dxa"/>
            <w:vAlign w:val="center"/>
          </w:tcPr>
          <w:p>
            <w:pPr>
              <w:pStyle w:val="12"/>
            </w:pPr>
            <w:r>
              <w:t>867.35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2333.12</w:t>
            </w:r>
          </w:p>
        </w:tc>
        <w:tc>
          <w:tcPr>
            <w:tcW w:w="1361" w:type="dxa"/>
            <w:vAlign w:val="center"/>
          </w:tcPr>
          <w:p>
            <w:pPr>
              <w:pStyle w:val="12"/>
            </w:pPr>
            <w:r>
              <w:t>1465.77</w:t>
            </w:r>
          </w:p>
        </w:tc>
        <w:tc>
          <w:tcPr>
            <w:tcW w:w="1361" w:type="dxa"/>
            <w:vAlign w:val="center"/>
          </w:tcPr>
          <w:p>
            <w:pPr>
              <w:pStyle w:val="12"/>
            </w:pPr>
            <w:r>
              <w:t>867.35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1465.77</w:t>
            </w:r>
          </w:p>
        </w:tc>
        <w:tc>
          <w:tcPr>
            <w:tcW w:w="1361" w:type="dxa"/>
            <w:vAlign w:val="center"/>
          </w:tcPr>
          <w:p>
            <w:pPr>
              <w:pStyle w:val="12"/>
            </w:pPr>
            <w:r>
              <w:t>1465.77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627.15</w:t>
            </w:r>
          </w:p>
        </w:tc>
        <w:tc>
          <w:tcPr>
            <w:tcW w:w="1361" w:type="dxa"/>
            <w:vAlign w:val="center"/>
          </w:tcPr>
          <w:p>
            <w:pPr>
              <w:pStyle w:val="12"/>
            </w:pPr>
          </w:p>
        </w:tc>
        <w:tc>
          <w:tcPr>
            <w:tcW w:w="1361" w:type="dxa"/>
            <w:vAlign w:val="center"/>
          </w:tcPr>
          <w:p>
            <w:pPr>
              <w:pStyle w:val="12"/>
            </w:pPr>
            <w:r>
              <w:t>627.15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2011106</w:t>
            </w:r>
          </w:p>
        </w:tc>
        <w:tc>
          <w:tcPr>
            <w:tcW w:w="4535" w:type="dxa"/>
            <w:vAlign w:val="center"/>
          </w:tcPr>
          <w:p>
            <w:pPr>
              <w:pStyle w:val="13"/>
            </w:pPr>
            <w:r>
              <w:t>巡视工作</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140.20</w:t>
            </w:r>
          </w:p>
        </w:tc>
        <w:tc>
          <w:tcPr>
            <w:tcW w:w="1361" w:type="dxa"/>
            <w:vAlign w:val="center"/>
          </w:tcPr>
          <w:p>
            <w:pPr>
              <w:pStyle w:val="12"/>
            </w:pPr>
          </w:p>
        </w:tc>
        <w:tc>
          <w:tcPr>
            <w:tcW w:w="1361" w:type="dxa"/>
            <w:vAlign w:val="center"/>
          </w:tcPr>
          <w:p>
            <w:pPr>
              <w:pStyle w:val="12"/>
            </w:pPr>
            <w:r>
              <w:t>140.20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2333.12</w:t>
            </w:r>
          </w:p>
        </w:tc>
        <w:tc>
          <w:tcPr>
            <w:tcW w:w="3402" w:type="dxa"/>
            <w:vAlign w:val="center"/>
          </w:tcPr>
          <w:p>
            <w:pPr>
              <w:pStyle w:val="13"/>
            </w:pPr>
            <w:r>
              <w:t>一、一般公共服务支出</w:t>
            </w:r>
          </w:p>
        </w:tc>
        <w:tc>
          <w:tcPr>
            <w:tcW w:w="1474" w:type="dxa"/>
            <w:vAlign w:val="center"/>
          </w:tcPr>
          <w:p>
            <w:pPr>
              <w:pStyle w:val="12"/>
            </w:pPr>
            <w:r>
              <w:t>2333.12</w:t>
            </w:r>
          </w:p>
        </w:tc>
        <w:tc>
          <w:tcPr>
            <w:tcW w:w="1474" w:type="dxa"/>
            <w:vAlign w:val="center"/>
          </w:tcPr>
          <w:p>
            <w:pPr>
              <w:pStyle w:val="12"/>
            </w:pPr>
            <w:r>
              <w:t>2333.12</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2333.12</w:t>
            </w:r>
          </w:p>
        </w:tc>
        <w:tc>
          <w:tcPr>
            <w:tcW w:w="3402" w:type="dxa"/>
            <w:vAlign w:val="center"/>
          </w:tcPr>
          <w:p>
            <w:pPr>
              <w:pStyle w:val="15"/>
            </w:pPr>
            <w:r>
              <w:t>本年支出合计</w:t>
            </w:r>
          </w:p>
        </w:tc>
        <w:tc>
          <w:tcPr>
            <w:tcW w:w="1474" w:type="dxa"/>
            <w:vAlign w:val="center"/>
          </w:tcPr>
          <w:p>
            <w:pPr>
              <w:pStyle w:val="16"/>
            </w:pPr>
            <w:r>
              <w:t>2333.12</w:t>
            </w:r>
          </w:p>
        </w:tc>
        <w:tc>
          <w:tcPr>
            <w:tcW w:w="1474" w:type="dxa"/>
            <w:vAlign w:val="center"/>
          </w:tcPr>
          <w:p>
            <w:pPr>
              <w:pStyle w:val="16"/>
            </w:pPr>
            <w:r>
              <w:t>2333.12</w:t>
            </w: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2333.12</w:t>
            </w:r>
          </w:p>
        </w:tc>
        <w:tc>
          <w:tcPr>
            <w:tcW w:w="3402" w:type="dxa"/>
            <w:vAlign w:val="center"/>
          </w:tcPr>
          <w:p>
            <w:pPr>
              <w:pStyle w:val="15"/>
            </w:pPr>
            <w:r>
              <w:t>支出总计</w:t>
            </w:r>
          </w:p>
        </w:tc>
        <w:tc>
          <w:tcPr>
            <w:tcW w:w="1474" w:type="dxa"/>
            <w:vAlign w:val="center"/>
          </w:tcPr>
          <w:p>
            <w:pPr>
              <w:pStyle w:val="16"/>
            </w:pPr>
            <w:r>
              <w:t>2333.12</w:t>
            </w:r>
          </w:p>
        </w:tc>
        <w:tc>
          <w:tcPr>
            <w:tcW w:w="1474" w:type="dxa"/>
            <w:vAlign w:val="center"/>
          </w:tcPr>
          <w:p>
            <w:pPr>
              <w:pStyle w:val="16"/>
            </w:pPr>
            <w:r>
              <w:t>2333.12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2333.12</w:t>
            </w:r>
          </w:p>
        </w:tc>
        <w:tc>
          <w:tcPr>
            <w:tcW w:w="2551" w:type="dxa"/>
            <w:vAlign w:val="center"/>
          </w:tcPr>
          <w:p>
            <w:pPr>
              <w:pStyle w:val="16"/>
            </w:pPr>
            <w:r>
              <w:t>1465.77</w:t>
            </w:r>
          </w:p>
        </w:tc>
        <w:tc>
          <w:tcPr>
            <w:tcW w:w="2551" w:type="dxa"/>
            <w:vAlign w:val="center"/>
          </w:tcPr>
          <w:p>
            <w:pPr>
              <w:pStyle w:val="16"/>
            </w:pPr>
            <w:r>
              <w:t>867.35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2333.12</w:t>
            </w:r>
          </w:p>
        </w:tc>
        <w:tc>
          <w:tcPr>
            <w:tcW w:w="2551" w:type="dxa"/>
            <w:vAlign w:val="center"/>
          </w:tcPr>
          <w:p>
            <w:pPr>
              <w:pStyle w:val="12"/>
            </w:pPr>
            <w:r>
              <w:t>1465.77</w:t>
            </w:r>
          </w:p>
        </w:tc>
        <w:tc>
          <w:tcPr>
            <w:tcW w:w="2551" w:type="dxa"/>
            <w:vAlign w:val="center"/>
          </w:tcPr>
          <w:p>
            <w:pPr>
              <w:pStyle w:val="12"/>
            </w:pPr>
            <w:r>
              <w:t>867.35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2333.12</w:t>
            </w:r>
          </w:p>
        </w:tc>
        <w:tc>
          <w:tcPr>
            <w:tcW w:w="2551" w:type="dxa"/>
            <w:vAlign w:val="center"/>
          </w:tcPr>
          <w:p>
            <w:pPr>
              <w:pStyle w:val="12"/>
            </w:pPr>
            <w:r>
              <w:t>1465.77</w:t>
            </w:r>
          </w:p>
        </w:tc>
        <w:tc>
          <w:tcPr>
            <w:tcW w:w="2551" w:type="dxa"/>
            <w:vAlign w:val="center"/>
          </w:tcPr>
          <w:p>
            <w:pPr>
              <w:pStyle w:val="12"/>
            </w:pPr>
            <w:r>
              <w:t>867.35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1465.77</w:t>
            </w:r>
          </w:p>
        </w:tc>
        <w:tc>
          <w:tcPr>
            <w:tcW w:w="2551" w:type="dxa"/>
            <w:vAlign w:val="center"/>
          </w:tcPr>
          <w:p>
            <w:pPr>
              <w:pStyle w:val="12"/>
            </w:pPr>
            <w:r>
              <w:t>1465.77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627.15</w:t>
            </w:r>
          </w:p>
        </w:tc>
        <w:tc>
          <w:tcPr>
            <w:tcW w:w="2551" w:type="dxa"/>
            <w:vAlign w:val="center"/>
          </w:tcPr>
          <w:p>
            <w:pPr>
              <w:pStyle w:val="12"/>
            </w:pPr>
          </w:p>
        </w:tc>
        <w:tc>
          <w:tcPr>
            <w:tcW w:w="2551" w:type="dxa"/>
            <w:vAlign w:val="center"/>
          </w:tcPr>
          <w:p>
            <w:pPr>
              <w:pStyle w:val="12"/>
            </w:pPr>
            <w:r>
              <w:t>627.15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2011106</w:t>
            </w:r>
          </w:p>
        </w:tc>
        <w:tc>
          <w:tcPr>
            <w:tcW w:w="4535" w:type="dxa"/>
            <w:vAlign w:val="center"/>
          </w:tcPr>
          <w:p>
            <w:pPr>
              <w:pStyle w:val="13"/>
            </w:pPr>
            <w:r>
              <w:t>巡视工作</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140.20</w:t>
            </w:r>
          </w:p>
        </w:tc>
        <w:tc>
          <w:tcPr>
            <w:tcW w:w="2551" w:type="dxa"/>
            <w:vAlign w:val="center"/>
          </w:tcPr>
          <w:p>
            <w:pPr>
              <w:pStyle w:val="12"/>
            </w:pPr>
          </w:p>
        </w:tc>
        <w:tc>
          <w:tcPr>
            <w:tcW w:w="2551" w:type="dxa"/>
            <w:vAlign w:val="center"/>
          </w:tcPr>
          <w:p>
            <w:pPr>
              <w:pStyle w:val="12"/>
            </w:pPr>
            <w:r>
              <w:t>140.20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1465.77</w:t>
            </w:r>
          </w:p>
        </w:tc>
        <w:tc>
          <w:tcPr>
            <w:tcW w:w="2551" w:type="dxa"/>
            <w:vAlign w:val="center"/>
          </w:tcPr>
          <w:p>
            <w:pPr>
              <w:pStyle w:val="16"/>
            </w:pPr>
            <w:r>
              <w:t>1267.86</w:t>
            </w:r>
          </w:p>
        </w:tc>
        <w:tc>
          <w:tcPr>
            <w:tcW w:w="2551" w:type="dxa"/>
            <w:vAlign w:val="center"/>
          </w:tcPr>
          <w:p>
            <w:pPr>
              <w:pStyle w:val="16"/>
            </w:pPr>
            <w:r>
              <w:t>197.91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1199.36</w:t>
            </w:r>
          </w:p>
        </w:tc>
        <w:tc>
          <w:tcPr>
            <w:tcW w:w="2551" w:type="dxa"/>
            <w:vAlign w:val="center"/>
          </w:tcPr>
          <w:p>
            <w:pPr>
              <w:pStyle w:val="12"/>
            </w:pPr>
            <w:r>
              <w:t>1199.36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455.19</w:t>
            </w:r>
          </w:p>
        </w:tc>
        <w:tc>
          <w:tcPr>
            <w:tcW w:w="2551" w:type="dxa"/>
            <w:vAlign w:val="center"/>
          </w:tcPr>
          <w:p>
            <w:pPr>
              <w:pStyle w:val="12"/>
            </w:pPr>
            <w:r>
              <w:t>455.19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211.96</w:t>
            </w:r>
          </w:p>
        </w:tc>
        <w:tc>
          <w:tcPr>
            <w:tcW w:w="2551" w:type="dxa"/>
            <w:vAlign w:val="center"/>
          </w:tcPr>
          <w:p>
            <w:pPr>
              <w:pStyle w:val="12"/>
            </w:pPr>
            <w:r>
              <w:t>211.96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173.67</w:t>
            </w:r>
          </w:p>
        </w:tc>
        <w:tc>
          <w:tcPr>
            <w:tcW w:w="2551" w:type="dxa"/>
            <w:vAlign w:val="center"/>
          </w:tcPr>
          <w:p>
            <w:pPr>
              <w:pStyle w:val="12"/>
            </w:pPr>
            <w:r>
              <w:t>173.67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52.63</w:t>
            </w:r>
          </w:p>
        </w:tc>
        <w:tc>
          <w:tcPr>
            <w:tcW w:w="2551" w:type="dxa"/>
            <w:vAlign w:val="center"/>
          </w:tcPr>
          <w:p>
            <w:pPr>
              <w:pStyle w:val="12"/>
            </w:pPr>
            <w:r>
              <w:t>52.63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123.06</w:t>
            </w:r>
          </w:p>
        </w:tc>
        <w:tc>
          <w:tcPr>
            <w:tcW w:w="2551" w:type="dxa"/>
            <w:vAlign w:val="center"/>
          </w:tcPr>
          <w:p>
            <w:pPr>
              <w:pStyle w:val="12"/>
            </w:pPr>
            <w:r>
              <w:t>123.06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49.75</w:t>
            </w:r>
          </w:p>
        </w:tc>
        <w:tc>
          <w:tcPr>
            <w:tcW w:w="2551" w:type="dxa"/>
            <w:vAlign w:val="center"/>
          </w:tcPr>
          <w:p>
            <w:pPr>
              <w:pStyle w:val="12"/>
            </w:pPr>
            <w:r>
              <w:t>49.75</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25.28</w:t>
            </w:r>
          </w:p>
        </w:tc>
        <w:tc>
          <w:tcPr>
            <w:tcW w:w="2551" w:type="dxa"/>
            <w:vAlign w:val="center"/>
          </w:tcPr>
          <w:p>
            <w:pPr>
              <w:pStyle w:val="12"/>
            </w:pPr>
            <w:r>
              <w:t>25.28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100.74</w:t>
            </w:r>
          </w:p>
        </w:tc>
        <w:tc>
          <w:tcPr>
            <w:tcW w:w="2551" w:type="dxa"/>
            <w:vAlign w:val="center"/>
          </w:tcPr>
          <w:p>
            <w:pPr>
              <w:pStyle w:val="12"/>
            </w:pPr>
            <w:r>
              <w:t>100.74</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197.91</w:t>
            </w:r>
          </w:p>
        </w:tc>
        <w:tc>
          <w:tcPr>
            <w:tcW w:w="2551" w:type="dxa"/>
            <w:vAlign w:val="center"/>
          </w:tcPr>
          <w:p>
            <w:pPr>
              <w:pStyle w:val="12"/>
            </w:pPr>
          </w:p>
        </w:tc>
        <w:tc>
          <w:tcPr>
            <w:tcW w:w="2551" w:type="dxa"/>
            <w:vAlign w:val="center"/>
          </w:tcPr>
          <w:p>
            <w:pPr>
              <w:pStyle w:val="12"/>
            </w:pPr>
            <w:r>
              <w:t>197.91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22.91</w:t>
            </w:r>
          </w:p>
        </w:tc>
        <w:tc>
          <w:tcPr>
            <w:tcW w:w="2551" w:type="dxa"/>
            <w:vAlign w:val="center"/>
          </w:tcPr>
          <w:p>
            <w:pPr>
              <w:pStyle w:val="12"/>
            </w:pPr>
          </w:p>
        </w:tc>
        <w:tc>
          <w:tcPr>
            <w:tcW w:w="2551" w:type="dxa"/>
            <w:vAlign w:val="center"/>
          </w:tcPr>
          <w:p>
            <w:pPr>
              <w:pStyle w:val="12"/>
            </w:pPr>
            <w:r>
              <w:t>22.91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1.97</w:t>
            </w:r>
          </w:p>
        </w:tc>
        <w:tc>
          <w:tcPr>
            <w:tcW w:w="2551" w:type="dxa"/>
            <w:vAlign w:val="center"/>
          </w:tcPr>
          <w:p>
            <w:pPr>
              <w:pStyle w:val="12"/>
            </w:pPr>
          </w:p>
        </w:tc>
        <w:tc>
          <w:tcPr>
            <w:tcW w:w="2551" w:type="dxa"/>
            <w:vAlign w:val="center"/>
          </w:tcPr>
          <w:p>
            <w:pPr>
              <w:pStyle w:val="12"/>
            </w:pPr>
            <w:r>
              <w:t>1.97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42.07</w:t>
            </w:r>
          </w:p>
        </w:tc>
        <w:tc>
          <w:tcPr>
            <w:tcW w:w="2551" w:type="dxa"/>
            <w:vAlign w:val="center"/>
          </w:tcPr>
          <w:p>
            <w:pPr>
              <w:pStyle w:val="12"/>
            </w:pPr>
          </w:p>
        </w:tc>
        <w:tc>
          <w:tcPr>
            <w:tcW w:w="2551" w:type="dxa"/>
            <w:vAlign w:val="center"/>
          </w:tcPr>
          <w:p>
            <w:pPr>
              <w:pStyle w:val="12"/>
            </w:pPr>
            <w:r>
              <w:t>42.07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5.55</w:t>
            </w:r>
          </w:p>
        </w:tc>
        <w:tc>
          <w:tcPr>
            <w:tcW w:w="2551" w:type="dxa"/>
            <w:vAlign w:val="center"/>
          </w:tcPr>
          <w:p>
            <w:pPr>
              <w:pStyle w:val="12"/>
            </w:pPr>
          </w:p>
        </w:tc>
        <w:tc>
          <w:tcPr>
            <w:tcW w:w="2551" w:type="dxa"/>
            <w:vAlign w:val="center"/>
          </w:tcPr>
          <w:p>
            <w:pPr>
              <w:pStyle w:val="12"/>
            </w:pPr>
            <w:r>
              <w:t>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9.45</w:t>
            </w:r>
          </w:p>
        </w:tc>
        <w:tc>
          <w:tcPr>
            <w:tcW w:w="2551" w:type="dxa"/>
            <w:vAlign w:val="center"/>
          </w:tcPr>
          <w:p>
            <w:pPr>
              <w:pStyle w:val="12"/>
            </w:pPr>
          </w:p>
        </w:tc>
        <w:tc>
          <w:tcPr>
            <w:tcW w:w="2551" w:type="dxa"/>
            <w:vAlign w:val="center"/>
          </w:tcPr>
          <w:p>
            <w:pPr>
              <w:pStyle w:val="12"/>
            </w:pPr>
            <w:r>
              <w:t>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34.92</w:t>
            </w:r>
          </w:p>
        </w:tc>
        <w:tc>
          <w:tcPr>
            <w:tcW w:w="2551" w:type="dxa"/>
            <w:vAlign w:val="center"/>
          </w:tcPr>
          <w:p>
            <w:pPr>
              <w:pStyle w:val="12"/>
            </w:pPr>
          </w:p>
        </w:tc>
        <w:tc>
          <w:tcPr>
            <w:tcW w:w="2551" w:type="dxa"/>
            <w:vAlign w:val="center"/>
          </w:tcPr>
          <w:p>
            <w:pPr>
              <w:pStyle w:val="12"/>
            </w:pPr>
            <w:r>
              <w:t>34.92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51.30</w:t>
            </w:r>
          </w:p>
        </w:tc>
        <w:tc>
          <w:tcPr>
            <w:tcW w:w="2551" w:type="dxa"/>
            <w:vAlign w:val="center"/>
          </w:tcPr>
          <w:p>
            <w:pPr>
              <w:pStyle w:val="12"/>
            </w:pPr>
          </w:p>
        </w:tc>
        <w:tc>
          <w:tcPr>
            <w:tcW w:w="2551" w:type="dxa"/>
            <w:vAlign w:val="center"/>
          </w:tcPr>
          <w:p>
            <w:pPr>
              <w:pStyle w:val="12"/>
            </w:pPr>
            <w:r>
              <w:t>51.30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22.74</w:t>
            </w:r>
          </w:p>
        </w:tc>
        <w:tc>
          <w:tcPr>
            <w:tcW w:w="2551" w:type="dxa"/>
            <w:vAlign w:val="center"/>
          </w:tcPr>
          <w:p>
            <w:pPr>
              <w:pStyle w:val="12"/>
            </w:pPr>
          </w:p>
        </w:tc>
        <w:tc>
          <w:tcPr>
            <w:tcW w:w="2551" w:type="dxa"/>
            <w:vAlign w:val="center"/>
          </w:tcPr>
          <w:p>
            <w:pPr>
              <w:pStyle w:val="12"/>
            </w:pPr>
            <w:r>
              <w:t>22.74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68.50</w:t>
            </w:r>
          </w:p>
        </w:tc>
        <w:tc>
          <w:tcPr>
            <w:tcW w:w="2551" w:type="dxa"/>
            <w:vAlign w:val="center"/>
          </w:tcPr>
          <w:p>
            <w:pPr>
              <w:pStyle w:val="12"/>
            </w:pPr>
            <w:r>
              <w:t>68.50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64.06</w:t>
            </w:r>
          </w:p>
        </w:tc>
        <w:tc>
          <w:tcPr>
            <w:tcW w:w="2551" w:type="dxa"/>
            <w:vAlign w:val="center"/>
          </w:tcPr>
          <w:p>
            <w:pPr>
              <w:pStyle w:val="12"/>
            </w:pPr>
            <w:r>
              <w:t>64.06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4.44</w:t>
            </w:r>
          </w:p>
        </w:tc>
        <w:tc>
          <w:tcPr>
            <w:tcW w:w="2551" w:type="dxa"/>
            <w:vAlign w:val="center"/>
          </w:tcPr>
          <w:p>
            <w:pPr>
              <w:pStyle w:val="12"/>
            </w:pPr>
            <w:r>
              <w:t>4.44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34.92</w:t>
            </w:r>
          </w:p>
        </w:tc>
        <w:tc>
          <w:tcPr>
            <w:tcW w:w="2381" w:type="dxa"/>
            <w:vAlign w:val="center"/>
          </w:tcPr>
          <w:p>
            <w:pPr>
              <w:pStyle w:val="16"/>
            </w:pPr>
            <w:r>
              <w:t>34.92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34.92</w:t>
            </w:r>
          </w:p>
        </w:tc>
        <w:tc>
          <w:tcPr>
            <w:tcW w:w="2381" w:type="dxa"/>
            <w:vAlign w:val="center"/>
          </w:tcPr>
          <w:p>
            <w:pPr>
              <w:pStyle w:val="12"/>
            </w:pPr>
            <w:r>
              <w:t>34.92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34.92</w:t>
            </w:r>
          </w:p>
        </w:tc>
        <w:tc>
          <w:tcPr>
            <w:tcW w:w="2381" w:type="dxa"/>
            <w:vAlign w:val="center"/>
          </w:tcPr>
          <w:p>
            <w:pPr>
              <w:pStyle w:val="12"/>
            </w:pPr>
            <w:r>
              <w:t>34.92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中国共产党晋州市纪律检查委员会2026年部门预算信息公开情况说明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中国共产党晋州市纪律检查委员会2026年部门预算信息公开情况说明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按照《中华人民共和国预算法》、《地方预决算公开操作规程》和《关于进一步推进预算公开工作的实施意见》规定，现将中国共产党晋州市纪律检查委员会2026年部门预算公开如下：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（一）负责全市党的纪律检查工作。</w:t>
      </w:r>
    </w:p>
    <w:p>
      <w:pPr>
        <w:pStyle w:val="18"/>
      </w:pPr>
      <w:r>
        <w:t>（二）依照党的章程和其他党内法规履行监督、执纪、问责职责。</w:t>
      </w:r>
    </w:p>
    <w:p>
      <w:pPr>
        <w:pStyle w:val="18"/>
      </w:pPr>
      <w:r>
        <w:t>（三）支持配合巡视、巡察工作。 </w:t>
      </w:r>
    </w:p>
    <w:p>
      <w:pPr>
        <w:pStyle w:val="18"/>
      </w:pPr>
      <w:r>
        <w:t>（四）负责全市监察工作。</w:t>
      </w:r>
    </w:p>
    <w:p>
      <w:pPr>
        <w:pStyle w:val="18"/>
      </w:pPr>
      <w:r>
        <w:t>（五）依照法律规定履行监督、调查、处置职责。</w:t>
      </w:r>
    </w:p>
    <w:p>
      <w:pPr>
        <w:pStyle w:val="18"/>
      </w:pPr>
      <w:r>
        <w:t>（六）负责组织协调全面从严治党、党风廉政建设和反腐败宣传教育工作。</w:t>
      </w:r>
    </w:p>
    <w:p>
      <w:pPr>
        <w:pStyle w:val="18"/>
      </w:pPr>
      <w:r>
        <w:t>（七）负责综合分析全面从严治党、党风廉政建设和反腐败工作情况，对纪检监察工作重要理论及实践问题进行调查研究；制定或者修改全市纪检监察法规制度，参与起草有关法规和规范性文件。</w:t>
      </w:r>
    </w:p>
    <w:p>
      <w:pPr>
        <w:pStyle w:val="18"/>
      </w:pPr>
      <w:r>
        <w:t>（八）负责组织协调全市反腐败追逃追赃和防逃工作，督促有关单位做好相关工作。</w:t>
      </w:r>
    </w:p>
    <w:p>
      <w:pPr>
        <w:pStyle w:val="18"/>
      </w:pPr>
      <w:r>
        <w:t>（九）根据干部管理权限，负责全市纪检监察系统领导班子建设、干部队伍建设和组织建设的综合规划、政策研究、制度建设和业务指导；会同市委组织部负责市委巡察办的科级干部提名、考察，报市委任免；根据干部管理权限负责市委巡察办股级及以下干部人事工作。</w:t>
      </w:r>
    </w:p>
    <w:p>
      <w:pPr>
        <w:pStyle w:val="18"/>
      </w:pPr>
      <w:r>
        <w:t>（十）完成上级纪委监委、市委交办的其他任务。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中国共产党晋州市纪律检查委员会本级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中共晋州市委巡察工作领导小组办公室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按照预算管理有关规定，目前部门预算的编制实行综合预算管理，即全部收入和支出都反映在预算中。中国共产党晋州市纪律检查委员会机关及所属事业单位的收支包含在部门预算中。</w:t>
      </w:r>
    </w:p>
    <w:p>
      <w:pPr>
        <w:pStyle w:val="19"/>
      </w:pPr>
      <w:r>
        <w:t>1、收入说明</w:t>
      </w:r>
    </w:p>
    <w:p>
      <w:pPr>
        <w:pStyle w:val="19"/>
      </w:pPr>
      <w:r>
        <w:t>反映本部门当年全部收入。2026年预算收入2333.12万元，其中：一般公共预算收入2333.12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纪律检查委员会年度部门预算中支出预算的总体情况。2026年支出预算2333.12万元，其中基本支出1465.77万元，包括人员经费1267.86万元和日常公用经费197.91万元；项目支出867.35万元，主要为办案费170万元，报刊费14.78万元，党教经费3万元，其他劳务派遣人员49.37万元，谈话室专项经费100万元，廉洁文化建设50万元，（办案费）340万元，巡察经费100万元等；预计下年使用的单位资金结余0.00万元。委托业务费共计安排49.37万元，主要用于因技术原因确需对外委托的辅助性工作和确有必要对外委托开展咨询、评审、规划等工作。</w:t>
      </w:r>
    </w:p>
    <w:p>
      <w:pPr>
        <w:pStyle w:val="19"/>
      </w:pPr>
      <w:r>
        <w:t>3、比上年增减情况</w:t>
      </w:r>
    </w:p>
    <w:p>
      <w:pPr>
        <w:pStyle w:val="19"/>
      </w:pPr>
      <w:r>
        <w:t>2026年预算收支安排2333.12万元，较2025年预算增加101.15万元，其中：基本支出增加60.68万元，主要为我单位人员增加，人员经费相应增加。项目支出增加40.47万元，主要为新增加上级转移支付项目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2026年，我部门机关运行经费共计安排197.91万元，主要用于日常维修、办公用房水电费、办公用房取暖费、办公用房物业管理费等日常运行支出。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34.92万元，其中因公出国（境）费0.00万元；公务用车购置及运维费34.92万元（其中：公务用车购置费为0.00万元，公务用车运维费34.92万元)；公务接待费0.00万元。与2025年相比减少1.08万元，增减变化的主要原因是严格落实《党政机关厉行节约反对浪费条例》，坚持从严从简，严禁铺张浪费，努力降低行政运行成本，减少公务用车运行维护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负责全市的纪律检查工作；依照党的章程和其他党内法规履行监督、执纪、问责职责；支持配合巡视、巡察工作；负责全市监察工作；依照法律规定履行监督、调查、处置职责；负责组织协调全面从严治党、党风廉政建设和反腐败宣传教育工作；负责综合分析全面从严治党、党风廉政建设和反腐败工作情况，对纪检监察工作重要理论及实践问题进行调查研究；制定或者修改全市纪检监察法规制度，参与起草有关法规和规范性文件；负责组织协调全市反腐败追逃追赃和防逃工作，督促有关单位做好相关工作；根据干部管理权限，负责全市纪检监察系统领导班子建设、干部队伍建设和组织建设的综合规划、政策研究、制度建设和业务指导；同市委组织部负责市委巡察办的科级干部提名、考察，报市委任免；根据干部管理权限负责市委巡察办股级及以下干部人事工作；完成上级纪委监委、市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1、加大纪律检查工作力度，促进党风廉政建设。</w:t>
      </w:r>
    </w:p>
    <w:p>
      <w:pPr>
        <w:pStyle w:val="23"/>
      </w:pPr>
      <w:r>
        <w:t>绩效目标：负责全市党的纪律检查工作。</w:t>
      </w:r>
    </w:p>
    <w:p>
      <w:pPr>
        <w:pStyle w:val="23"/>
      </w:pPr>
      <w:r>
        <w:t>绩效指标：增加纪律检查次数，每月不少于2次。</w:t>
      </w:r>
    </w:p>
    <w:p>
      <w:pPr>
        <w:pStyle w:val="23"/>
      </w:pPr>
      <w:r>
        <w:t>2、加大对违法违纪案件查处力度，做好反腐败工作。</w:t>
      </w:r>
    </w:p>
    <w:p>
      <w:pPr>
        <w:pStyle w:val="23"/>
      </w:pPr>
      <w:r>
        <w:t>绩效目标：依照党的章程和其他党内法规履行监督、执纪、问责职责。</w:t>
      </w:r>
    </w:p>
    <w:p>
      <w:pPr>
        <w:pStyle w:val="23"/>
      </w:pPr>
      <w:r>
        <w:t>绩效指标：违法违纪案件办结率≥98%。</w:t>
      </w:r>
    </w:p>
    <w:p>
      <w:pPr>
        <w:pStyle w:val="23"/>
      </w:pPr>
      <w:r>
        <w:t>3、支持配合巡视、巡察工作。</w:t>
      </w:r>
    </w:p>
    <w:p>
      <w:pPr>
        <w:pStyle w:val="23"/>
      </w:pPr>
      <w:r>
        <w:t>绩效目标：承担巡视、巡察整改日常监督责任，做好巡视、巡察整改督察督办工作，依规依纪依法处置巡视、巡察移交的反映领导干部问题线索。</w:t>
      </w:r>
    </w:p>
    <w:p>
      <w:pPr>
        <w:pStyle w:val="23"/>
      </w:pPr>
      <w:r>
        <w:t>绩效指标：巡察巡视次数≥2次。</w:t>
      </w:r>
    </w:p>
    <w:p>
      <w:pPr>
        <w:pStyle w:val="23"/>
      </w:pPr>
      <w:r>
        <w:t>4、加大监察力度，开展廉政建设和反腐败工作。</w:t>
      </w:r>
    </w:p>
    <w:p>
      <w:pPr>
        <w:pStyle w:val="23"/>
      </w:pPr>
      <w:r>
        <w:t>绩效目标：负责全市监察工作。</w:t>
      </w:r>
    </w:p>
    <w:p>
      <w:pPr>
        <w:pStyle w:val="23"/>
      </w:pPr>
      <w:r>
        <w:t>绩效指标：职务违法和职务犯罪案件办结率≥98%。</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完善制度建设。制定了完善的预算绩效管理制度。制定了合理规范的工作方案，制定了严密的资金管理办法，严格按照预算执行，严把审核关，为全年预算绩效目标的实现奠定制度基础。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13018326P00032810487P</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340.00</w:t>
            </w:r>
          </w:p>
        </w:tc>
        <w:tc>
          <w:tcPr>
            <w:tcW w:w="2835" w:type="dxa"/>
            <w:vAlign w:val="center"/>
          </w:tcPr>
          <w:p>
            <w:pPr>
              <w:pStyle w:val="11"/>
            </w:pPr>
            <w:r>
              <w:t>其中：财政    资金</w:t>
            </w:r>
          </w:p>
        </w:tc>
        <w:tc>
          <w:tcPr>
            <w:tcW w:w="2551" w:type="dxa"/>
            <w:vAlign w:val="center"/>
          </w:tcPr>
          <w:p>
            <w:pPr>
              <w:pStyle w:val="13"/>
            </w:pPr>
            <w:r>
              <w:t>340.00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用于补充经费的不足，为案件查办、监督检查、机关事务开展提供良好的保障。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1.为案件查办、监督检查、机关事务开展提供良好的保障，纵深推进正风肃纪反腐，扎实推动新时代纪检监察工作高质量发展。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项目办结率</w:t>
            </w:r>
          </w:p>
        </w:tc>
        <w:tc>
          <w:tcPr>
            <w:tcW w:w="5386" w:type="dxa"/>
            <w:vAlign w:val="center"/>
          </w:tcPr>
          <w:p>
            <w:pPr>
              <w:pStyle w:val="13"/>
            </w:pPr>
            <w:r>
              <w:t>项目办结数与实际办结数的比率，用以反映和考核项目办结数量目标的实现程度。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项目办结达标数与实际办结数的比率，用以反映和考核项目办结质量目标的实现程度。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项目办理及时率</w:t>
            </w:r>
          </w:p>
        </w:tc>
        <w:tc>
          <w:tcPr>
            <w:tcW w:w="5386" w:type="dxa"/>
            <w:vAlign w:val="center"/>
          </w:tcPr>
          <w:p>
            <w:pPr>
              <w:pStyle w:val="13"/>
            </w:pPr>
            <w:r>
              <w:t>项目及时办结数与实际办结数的比率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实际支出控制在预算内</w:t>
            </w:r>
          </w:p>
        </w:tc>
        <w:tc>
          <w:tcPr>
            <w:tcW w:w="2268" w:type="dxa"/>
            <w:vAlign w:val="center"/>
          </w:tcPr>
          <w:p>
            <w:pPr>
              <w:pStyle w:val="13"/>
            </w:pPr>
            <w:r>
              <w:t>实际支出控制在预算内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项目依据的政策能持续运行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通过问卷调查，调查社会公众或服务对象对项目实施效果的满意程度。</w:t>
            </w:r>
          </w:p>
        </w:tc>
        <w:tc>
          <w:tcPr>
            <w:tcW w:w="2268" w:type="dxa"/>
            <w:vAlign w:val="center"/>
          </w:tcPr>
          <w:p>
            <w:pPr>
              <w:pStyle w:val="13"/>
            </w:pPr>
            <w:r>
              <w: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2、办案费绩效目标表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13018326P000328104741</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保障办案、日常监督检查等工作需求</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党风政风监督专项检查，查处各类违纪违法问题，加大问责力度，促进全面从严治党责任有效落实,加强对中央八项规定及实施细则精神执行情况的监督检查坚决整治群众身边腐败问题，让人民群众的获得感幸福感 安全感更加充实、更有保障、更可持续。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案件办结率</w:t>
            </w:r>
          </w:p>
        </w:tc>
        <w:tc>
          <w:tcPr>
            <w:tcW w:w="5386" w:type="dxa"/>
            <w:vAlign w:val="center"/>
          </w:tcPr>
          <w:p>
            <w:pPr>
              <w:pStyle w:val="13"/>
            </w:pPr>
            <w:r>
              <w:t>项目实施的实际案件办结数与案件数的比率，用以反映和考核案件办结数量目标的实现程度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案件办结达标数与实际办结数的比率，用以反映和考核案件办结质量目标的实现程度。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办结及时率</w:t>
            </w:r>
          </w:p>
        </w:tc>
        <w:tc>
          <w:tcPr>
            <w:tcW w:w="5386" w:type="dxa"/>
            <w:vAlign w:val="center"/>
          </w:tcPr>
          <w:p>
            <w:pPr>
              <w:pStyle w:val="13"/>
            </w:pPr>
            <w:r>
              <w:t>案件按规定时间办结数与实际办结数的比率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实际支出控制在预算内</w:t>
            </w:r>
          </w:p>
        </w:tc>
        <w:tc>
          <w:tcPr>
            <w:tcW w:w="2268" w:type="dxa"/>
            <w:vAlign w:val="center"/>
          </w:tcPr>
          <w:p>
            <w:pPr>
              <w:pStyle w:val="13"/>
            </w:pPr>
            <w:r>
              <w:t>实际支出控制在预算内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项目依据的政策能持续运行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社会公众和服务对象满意度</w:t>
            </w:r>
          </w:p>
        </w:tc>
        <w:tc>
          <w:tcPr>
            <w:tcW w:w="5386" w:type="dxa"/>
            <w:vAlign w:val="center"/>
          </w:tcPr>
          <w:p>
            <w:pPr>
              <w:pStyle w:val="13"/>
            </w:pPr>
            <w:r>
              <w:t>社会公众和服务对象满意度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3、报刊征订费绩效目标表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13018326P00032810475L</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14.78</w:t>
            </w:r>
          </w:p>
        </w:tc>
        <w:tc>
          <w:tcPr>
            <w:tcW w:w="2835" w:type="dxa"/>
            <w:vAlign w:val="center"/>
          </w:tcPr>
          <w:p>
            <w:pPr>
              <w:pStyle w:val="11"/>
            </w:pPr>
            <w:r>
              <w:t>其中：财政    资金</w:t>
            </w:r>
          </w:p>
        </w:tc>
        <w:tc>
          <w:tcPr>
            <w:tcW w:w="2551" w:type="dxa"/>
            <w:vAlign w:val="center"/>
          </w:tcPr>
          <w:p>
            <w:pPr>
              <w:pStyle w:val="13"/>
            </w:pPr>
            <w:r>
              <w:t>14.78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征订《党风廉政建设》报刊及其他报刊书籍等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常态化学习报刊内容，推动干部及时掌握政策法规、典型案例和工作动态，提升履职能力；形成“学报、用报、践报”的长效机制，将报刊内容转化为指导实际工作的思路和方法；助力打造政治坚定、业务精通的纪检监察队伍，夯实党风廉政建设和反腐败工作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征订总套数</w:t>
            </w:r>
          </w:p>
        </w:tc>
        <w:tc>
          <w:tcPr>
            <w:tcW w:w="5386" w:type="dxa"/>
            <w:vAlign w:val="center"/>
          </w:tcPr>
          <w:p>
            <w:pPr>
              <w:pStyle w:val="13"/>
            </w:pPr>
            <w:r>
              <w:t>《党风廉政建设》全市各单位实现全覆盖</w:t>
            </w:r>
          </w:p>
        </w:tc>
        <w:tc>
          <w:tcPr>
            <w:tcW w:w="2268" w:type="dxa"/>
            <w:vAlign w:val="center"/>
          </w:tcPr>
          <w:p>
            <w:pPr>
              <w:pStyle w:val="13"/>
            </w:pPr>
            <w:r>
              <w:t>800套</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报刊质量达标率</w:t>
            </w:r>
          </w:p>
        </w:tc>
        <w:tc>
          <w:tcPr>
            <w:tcW w:w="5386" w:type="dxa"/>
            <w:vAlign w:val="center"/>
          </w:tcPr>
          <w:p>
            <w:pPr>
              <w:pStyle w:val="13"/>
            </w:pPr>
            <w:r>
              <w:t>报刊质量达标数与实际收到数的比率，用以反映和考核报刊质量目标的实现程度。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报刊征订完成率</w:t>
            </w:r>
          </w:p>
        </w:tc>
        <w:tc>
          <w:tcPr>
            <w:tcW w:w="5386" w:type="dxa"/>
            <w:vAlign w:val="center"/>
          </w:tcPr>
          <w:p>
            <w:pPr>
              <w:pStyle w:val="13"/>
            </w:pPr>
            <w:r>
              <w:t>报刊征订完成情况</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项目支出控制在预算内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项目依据的政策能持续运行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通过问卷调查，调查社会公众或服务对象对项目实施效果的满意程度。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4、党教经费绩效目标表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13018326P000328104793</w:t>
            </w:r>
          </w:p>
        </w:tc>
        <w:tc>
          <w:tcPr>
            <w:tcW w:w="2835" w:type="dxa"/>
            <w:vAlign w:val="center"/>
          </w:tcPr>
          <w:p>
            <w:pPr>
              <w:pStyle w:val="11"/>
            </w:pPr>
            <w:r>
              <w:t>项目名称</w:t>
            </w:r>
          </w:p>
        </w:tc>
        <w:tc>
          <w:tcPr>
            <w:tcW w:w="6095" w:type="dxa"/>
            <w:gridSpan w:val="3"/>
            <w:vAlign w:val="center"/>
          </w:tcPr>
          <w:p>
            <w:pPr>
              <w:pStyle w:val="13"/>
            </w:pPr>
            <w:r>
              <w:t>党教经费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保障党员学习宣传教育培训等活动的正常运行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1.组织党员开展学习，学习党员先进理论和政策，提高党员政治觉悟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实际接受教育培训率</w:t>
            </w:r>
          </w:p>
        </w:tc>
        <w:tc>
          <w:tcPr>
            <w:tcW w:w="5386" w:type="dxa"/>
            <w:vAlign w:val="center"/>
          </w:tcPr>
          <w:p>
            <w:pPr>
              <w:pStyle w:val="13"/>
            </w:pPr>
            <w:r>
              <w:t>项目实施的接受教育培训的党员与实有党员数的比率，用以反映和考核项目产出数量目标的实现程度。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培训质量达标率</w:t>
            </w:r>
          </w:p>
        </w:tc>
        <w:tc>
          <w:tcPr>
            <w:tcW w:w="5386" w:type="dxa"/>
            <w:vAlign w:val="center"/>
          </w:tcPr>
          <w:p>
            <w:pPr>
              <w:pStyle w:val="13"/>
            </w:pPr>
            <w:r>
              <w:t>项目完成的质量达标产出数与实际接受教育培训的党员的比率，用以反映和考核项目产出质量目标的实现程度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教育培训的及时性</w:t>
            </w:r>
          </w:p>
        </w:tc>
        <w:tc>
          <w:tcPr>
            <w:tcW w:w="5386" w:type="dxa"/>
            <w:vAlign w:val="center"/>
          </w:tcPr>
          <w:p>
            <w:pPr>
              <w:pStyle w:val="13"/>
            </w:pPr>
            <w:r>
              <w:t>严格按照要求进行党员教育培训</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实际支出控制在预算内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项目依据的政策能持续运行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通过问卷调查，调查社会公众或服务对象对项目实施效果的满意程度。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、廉洁文化建设绩效目标表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13018326P00032810484W</w:t>
            </w:r>
          </w:p>
        </w:tc>
        <w:tc>
          <w:tcPr>
            <w:tcW w:w="2835" w:type="dxa"/>
            <w:vAlign w:val="center"/>
          </w:tcPr>
          <w:p>
            <w:pPr>
              <w:pStyle w:val="11"/>
            </w:pPr>
            <w:r>
              <w:t>项目名称</w:t>
            </w:r>
          </w:p>
        </w:tc>
        <w:tc>
          <w:tcPr>
            <w:tcW w:w="6095" w:type="dxa"/>
            <w:gridSpan w:val="3"/>
            <w:vAlign w:val="center"/>
          </w:tcPr>
          <w:p>
            <w:pPr>
              <w:pStyle w:val="13"/>
            </w:pPr>
            <w:r>
              <w:t>廉洁文化建设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1、开展廉洁文化阵地建设；2、开展廉洁文化建设宣传教育，营造良好的政治环境；3、开展廉洁文化活动。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1.深入推进我市新时代廉洁文化建设，强化全市廉洁教育阵地建设，打造本市特色的廉洁文化品牌，为长期推进党风廉政建设提供文化支撑。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廉洁文化宣传教育活动完成率</w:t>
            </w:r>
          </w:p>
        </w:tc>
        <w:tc>
          <w:tcPr>
            <w:tcW w:w="5386" w:type="dxa"/>
            <w:vAlign w:val="center"/>
          </w:tcPr>
          <w:p>
            <w:pPr>
              <w:pStyle w:val="13"/>
            </w:pPr>
            <w:r>
              <w:t>廉洁文化宣传教育活动完成率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廉洁文化宣传教育活动质量达标率</w:t>
            </w:r>
          </w:p>
        </w:tc>
        <w:tc>
          <w:tcPr>
            <w:tcW w:w="5386" w:type="dxa"/>
            <w:vAlign w:val="center"/>
          </w:tcPr>
          <w:p>
            <w:pPr>
              <w:pStyle w:val="13"/>
            </w:pPr>
            <w:r>
              <w:t>廉洁文化宣传教育活动质量达标率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廉洁文化宣传教育活动完成及时率</w:t>
            </w:r>
          </w:p>
        </w:tc>
        <w:tc>
          <w:tcPr>
            <w:tcW w:w="5386" w:type="dxa"/>
            <w:vAlign w:val="center"/>
          </w:tcPr>
          <w:p>
            <w:pPr>
              <w:pStyle w:val="13"/>
            </w:pPr>
            <w:r>
              <w:t>廉洁文化宣传教育活动完成及时率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廉洁文化建设总成本</w:t>
            </w:r>
          </w:p>
        </w:tc>
        <w:tc>
          <w:tcPr>
            <w:tcW w:w="5386" w:type="dxa"/>
            <w:vAlign w:val="center"/>
          </w:tcPr>
          <w:p>
            <w:pPr>
              <w:pStyle w:val="13"/>
            </w:pPr>
            <w:r>
              <w:t>项目支出控制在预算内</w:t>
            </w:r>
          </w:p>
        </w:tc>
        <w:tc>
          <w:tcPr>
            <w:tcW w:w="2268" w:type="dxa"/>
            <w:vAlign w:val="center"/>
          </w:tcPr>
          <w:p>
            <w:pPr>
              <w:pStyle w:val="13"/>
            </w:pPr>
            <w:r>
              <w:t>项目支出控制在预算内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、其他劳务派遣人员绩效目标表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13018326P000328104812</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49.37</w:t>
            </w:r>
          </w:p>
        </w:tc>
        <w:tc>
          <w:tcPr>
            <w:tcW w:w="2835" w:type="dxa"/>
            <w:vAlign w:val="center"/>
          </w:tcPr>
          <w:p>
            <w:pPr>
              <w:pStyle w:val="11"/>
            </w:pPr>
            <w:r>
              <w:t>其中：财政    资金</w:t>
            </w:r>
          </w:p>
        </w:tc>
        <w:tc>
          <w:tcPr>
            <w:tcW w:w="2551" w:type="dxa"/>
            <w:vAlign w:val="center"/>
          </w:tcPr>
          <w:p>
            <w:pPr>
              <w:pStyle w:val="13"/>
            </w:pPr>
            <w:r>
              <w:t>49.37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主要用于为本单位11名劳务派遣人员发放工资、缴纳保险及服务费；大大缓解了单位职责增加，编制紧缺，人员不足等矛盾。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1.通过及时发放劳务派遣人员工资及保险，保障单位劳务派遣人员工资及合法权益，确保人员稳定。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实际发放工资人数</w:t>
            </w:r>
          </w:p>
        </w:tc>
        <w:tc>
          <w:tcPr>
            <w:tcW w:w="5386" w:type="dxa"/>
            <w:vAlign w:val="center"/>
          </w:tcPr>
          <w:p>
            <w:pPr>
              <w:pStyle w:val="13"/>
            </w:pPr>
            <w:r>
              <w:t>实际发放工资人数</w:t>
            </w:r>
          </w:p>
        </w:tc>
        <w:tc>
          <w:tcPr>
            <w:tcW w:w="2268" w:type="dxa"/>
            <w:vAlign w:val="center"/>
          </w:tcPr>
          <w:p>
            <w:pPr>
              <w:pStyle w:val="13"/>
            </w:pPr>
            <w:r>
              <w:t>11人</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工作质量达标率</w:t>
            </w:r>
          </w:p>
        </w:tc>
        <w:tc>
          <w:tcPr>
            <w:tcW w:w="5386" w:type="dxa"/>
            <w:vAlign w:val="center"/>
          </w:tcPr>
          <w:p>
            <w:pPr>
              <w:pStyle w:val="13"/>
            </w:pPr>
            <w:r>
              <w:t>质量达标率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工作开展及时性</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实际支出控制在预算内</w:t>
            </w:r>
          </w:p>
        </w:tc>
        <w:tc>
          <w:tcPr>
            <w:tcW w:w="2268" w:type="dxa"/>
            <w:vAlign w:val="center"/>
          </w:tcPr>
          <w:p>
            <w:pPr>
              <w:pStyle w:val="13"/>
            </w:pPr>
            <w:r>
              <w:t>实际支出控制在预算内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通过问卷调查，调查社会公众或服务对象对项目实施效果的满意程度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、谈话室专项经费绩效目标表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13018326P000328104864</w:t>
            </w:r>
          </w:p>
        </w:tc>
        <w:tc>
          <w:tcPr>
            <w:tcW w:w="2835" w:type="dxa"/>
            <w:vAlign w:val="center"/>
          </w:tcPr>
          <w:p>
            <w:pPr>
              <w:pStyle w:val="11"/>
            </w:pPr>
            <w:r>
              <w:t>项目名称</w:t>
            </w:r>
          </w:p>
        </w:tc>
        <w:tc>
          <w:tcPr>
            <w:tcW w:w="6095" w:type="dxa"/>
            <w:gridSpan w:val="3"/>
            <w:vAlign w:val="center"/>
          </w:tcPr>
          <w:p>
            <w:pPr>
              <w:pStyle w:val="13"/>
            </w:pPr>
            <w:r>
              <w:t>谈话室专项经费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1、保障对标准化的谈话室的日常维护；2、支付劳务人员劳务费；3、保障谈话室正常运转。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1.通过开展各项运维服务，保障谈话室正常运转，为精准开展审查调查工作提供硬件支撑，推动纪检监察工作规范化、法治化、正规化水平持续提升。</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谈话室日常维护完成率</w:t>
            </w:r>
          </w:p>
        </w:tc>
        <w:tc>
          <w:tcPr>
            <w:tcW w:w="5386" w:type="dxa"/>
            <w:vAlign w:val="center"/>
          </w:tcPr>
          <w:p>
            <w:pPr>
              <w:pStyle w:val="13"/>
            </w:pPr>
            <w:r>
              <w:t>谈话室日常维护完成率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谈话室日常维护达标率</w:t>
            </w:r>
          </w:p>
        </w:tc>
        <w:tc>
          <w:tcPr>
            <w:tcW w:w="5386" w:type="dxa"/>
            <w:vAlign w:val="center"/>
          </w:tcPr>
          <w:p>
            <w:pPr>
              <w:pStyle w:val="13"/>
            </w:pPr>
            <w:r>
              <w:t>谈话室日常维护达标率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谈话室日常维护及时率</w:t>
            </w:r>
          </w:p>
        </w:tc>
        <w:tc>
          <w:tcPr>
            <w:tcW w:w="5386" w:type="dxa"/>
            <w:vAlign w:val="center"/>
          </w:tcPr>
          <w:p>
            <w:pPr>
              <w:pStyle w:val="13"/>
            </w:pPr>
            <w:r>
              <w:t>谈话室日常维护及时率</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项目支出控制在预算内</w:t>
            </w:r>
          </w:p>
        </w:tc>
        <w:tc>
          <w:tcPr>
            <w:tcW w:w="2268" w:type="dxa"/>
            <w:vAlign w:val="center"/>
          </w:tcPr>
          <w:p>
            <w:pPr>
              <w:pStyle w:val="13"/>
            </w:pPr>
            <w:r>
              <w:t>项目支出控制在预算内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项目能持续运行</w:t>
            </w:r>
          </w:p>
        </w:tc>
        <w:tc>
          <w:tcPr>
            <w:tcW w:w="5386" w:type="dxa"/>
            <w:vAlign w:val="center"/>
          </w:tcPr>
          <w:p>
            <w:pPr>
              <w:pStyle w:val="13"/>
            </w:pPr>
            <w:r>
              <w:t>项目依据政策能持续运行</w:t>
            </w:r>
          </w:p>
        </w:tc>
        <w:tc>
          <w:tcPr>
            <w:tcW w:w="2268" w:type="dxa"/>
            <w:vAlign w:val="center"/>
          </w:tcPr>
          <w:p>
            <w:pPr>
              <w:pStyle w:val="13"/>
            </w:pPr>
            <w:r>
              <w:t>可持续</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通过问卷调查，调查公众或服务对象对项目实施效果的满意程度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bookmarkStart w:id="20" w:name="_GoBack"/>
      <w:bookmarkEnd w:id="20"/>
      <w:r>
        <w:rPr>
          <w:rFonts w:ascii="方正仿宋_GBK" w:hAnsi="方正仿宋_GBK" w:eastAsia="方正仿宋_GBK" w:cs="方正仿宋_GBK"/>
          <w:color w:val="000000"/>
          <w:sz w:val="28"/>
        </w:rPr>
        <w:t>、巡察经费绩效目标表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13018326P000328105195</w:t>
            </w:r>
          </w:p>
        </w:tc>
        <w:tc>
          <w:tcPr>
            <w:tcW w:w="2835" w:type="dxa"/>
            <w:vAlign w:val="center"/>
          </w:tcPr>
          <w:p>
            <w:pPr>
              <w:pStyle w:val="11"/>
            </w:pPr>
            <w:r>
              <w:t>项目名称</w:t>
            </w:r>
          </w:p>
        </w:tc>
        <w:tc>
          <w:tcPr>
            <w:tcW w:w="6095" w:type="dxa"/>
            <w:gridSpan w:val="3"/>
            <w:vAlign w:val="center"/>
          </w:tcPr>
          <w:p>
            <w:pPr>
              <w:pStyle w:val="13"/>
            </w:pPr>
            <w:r>
              <w:t>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主要用于统筹、协调指导开展巡察工作；承担政策研究、制度建设等工作；对市委、市委巡察工作领导小组决定的事项进行督办，会同市委巡察组队巡察整改工作进行专项检查；配合有关部门对巡察工作人员进行培训、考核、监督和管理。2、保障巡察工作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1.保障年度巡察工作（常规、专项、机动巡察等）规范高效开展，确保巡察监督精准落地，充分发挥巡察监督保障执行、促进完善发展的作用，推动被巡察单位整改落实、规范管理，经费使用合规率100%。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项目实施的巡察整改问题数与巡察问题数的比率，用以反映和考核项目产出数量目标的实现程度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项目完成的巡察办整改问题质量达标产出数与实际巡察整改问题的比率，用以反映和考核项目产出质量目标的实现程度。</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巡察完成及时性</w:t>
            </w:r>
          </w:p>
        </w:tc>
        <w:tc>
          <w:tcPr>
            <w:tcW w:w="2268" w:type="dxa"/>
            <w:vAlign w:val="center"/>
          </w:tcPr>
          <w:p>
            <w:pPr>
              <w:pStyle w:val="13"/>
            </w:pPr>
            <w:r>
              <w:t>≥98%</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实际支出控制在预算内</w:t>
            </w:r>
          </w:p>
        </w:tc>
        <w:tc>
          <w:tcPr>
            <w:tcW w:w="2268" w:type="dxa"/>
            <w:vAlign w:val="center"/>
          </w:tcPr>
          <w:p>
            <w:pPr>
              <w:pStyle w:val="13"/>
            </w:pPr>
            <w:r>
              <w:t>实际支出控制在预算内</w:t>
            </w:r>
          </w:p>
          <w:p>
            <w:pPr>
              <w:pStyle w:val="13"/>
            </w:pP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可持续</w:t>
            </w:r>
          </w:p>
          <w:p>
            <w:pPr>
              <w:pStyle w:val="13"/>
            </w:pP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9.79</w:t>
            </w:r>
          </w:p>
        </w:tc>
        <w:tc>
          <w:tcPr>
            <w:tcW w:w="964" w:type="dxa"/>
            <w:vAlign w:val="center"/>
          </w:tcPr>
          <w:p>
            <w:pPr>
              <w:pStyle w:val="16"/>
            </w:pPr>
            <w:r>
              <w:t>9.79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中国共产党晋州市纪律检查委员会本级小计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9.27</w:t>
            </w:r>
          </w:p>
        </w:tc>
        <w:tc>
          <w:tcPr>
            <w:tcW w:w="964" w:type="dxa"/>
            <w:vAlign w:val="center"/>
          </w:tcPr>
          <w:p>
            <w:pPr>
              <w:pStyle w:val="16"/>
            </w:pPr>
            <w:r>
              <w:t>9.27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30.05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1.03</w:t>
            </w:r>
          </w:p>
        </w:tc>
        <w:tc>
          <w:tcPr>
            <w:tcW w:w="964" w:type="dxa"/>
            <w:vAlign w:val="center"/>
          </w:tcPr>
          <w:p>
            <w:pPr>
              <w:pStyle w:val="12"/>
            </w:pPr>
            <w:r>
              <w:t>1.03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170.00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3500</w:t>
            </w:r>
          </w:p>
        </w:tc>
        <w:tc>
          <w:tcPr>
            <w:tcW w:w="850" w:type="dxa"/>
            <w:vAlign w:val="center"/>
          </w:tcPr>
          <w:p>
            <w:pPr>
              <w:pStyle w:val="12"/>
            </w:pPr>
            <w:r>
              <w:t>0.00</w:t>
            </w:r>
          </w:p>
        </w:tc>
        <w:tc>
          <w:tcPr>
            <w:tcW w:w="964" w:type="dxa"/>
            <w:vAlign w:val="center"/>
          </w:tcPr>
          <w:p>
            <w:pPr>
              <w:pStyle w:val="12"/>
            </w:pPr>
            <w:r>
              <w:t>7.21</w:t>
            </w:r>
          </w:p>
        </w:tc>
        <w:tc>
          <w:tcPr>
            <w:tcW w:w="964" w:type="dxa"/>
            <w:vAlign w:val="center"/>
          </w:tcPr>
          <w:p>
            <w:pPr>
              <w:pStyle w:val="12"/>
            </w:pPr>
            <w:r>
              <w:t>7.21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谈话室专项经费</w:t>
            </w:r>
          </w:p>
        </w:tc>
        <w:tc>
          <w:tcPr>
            <w:tcW w:w="964" w:type="dxa"/>
            <w:vAlign w:val="center"/>
          </w:tcPr>
          <w:p>
            <w:pPr>
              <w:pStyle w:val="12"/>
            </w:pPr>
            <w:r>
              <w:t>100.00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1.03</w:t>
            </w:r>
          </w:p>
        </w:tc>
        <w:tc>
          <w:tcPr>
            <w:tcW w:w="964" w:type="dxa"/>
            <w:vAlign w:val="center"/>
          </w:tcPr>
          <w:p>
            <w:pPr>
              <w:pStyle w:val="12"/>
            </w:pPr>
            <w:r>
              <w:t>1.03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中共晋州市委巡察工作领导小组办公室小计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0.52</w:t>
            </w:r>
          </w:p>
        </w:tc>
        <w:tc>
          <w:tcPr>
            <w:tcW w:w="964" w:type="dxa"/>
            <w:vAlign w:val="center"/>
          </w:tcPr>
          <w:p>
            <w:pPr>
              <w:pStyle w:val="16"/>
            </w:pPr>
            <w:r>
              <w:t>0.52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6.17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0.00</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巡察经费</w:t>
            </w:r>
          </w:p>
        </w:tc>
        <w:tc>
          <w:tcPr>
            <w:tcW w:w="964" w:type="dxa"/>
            <w:vAlign w:val="center"/>
          </w:tcPr>
          <w:p>
            <w:pPr>
              <w:pStyle w:val="12"/>
            </w:pPr>
            <w:r>
              <w:t>100.00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160</w:t>
            </w:r>
          </w:p>
        </w:tc>
        <w:tc>
          <w:tcPr>
            <w:tcW w:w="850" w:type="dxa"/>
            <w:vAlign w:val="center"/>
          </w:tcPr>
          <w:p>
            <w:pPr>
              <w:pStyle w:val="12"/>
            </w:pPr>
            <w:r>
              <w:t>0.00</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中国共产党晋州市纪律检查委员会（含所属单位）上年末固定资产金额为862.81万元（详见下表）。本年度拟购置固定资产总额为0.00万元，已按要求列入政府采购预算，详见政府采购预算表。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222中国共产党晋州市纪律检查委员会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862.81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2631.22</w:t>
            </w:r>
          </w:p>
        </w:tc>
        <w:tc>
          <w:tcPr>
            <w:tcW w:w="2835" w:type="dxa"/>
            <w:vAlign w:val="center"/>
          </w:tcPr>
          <w:p>
            <w:pPr>
              <w:pStyle w:val="12"/>
            </w:pPr>
            <w:r>
              <w:t>60.29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2561.22</w:t>
            </w:r>
          </w:p>
        </w:tc>
        <w:tc>
          <w:tcPr>
            <w:tcW w:w="2835" w:type="dxa"/>
            <w:vAlign w:val="center"/>
          </w:tcPr>
          <w:p>
            <w:pPr>
              <w:pStyle w:val="12"/>
            </w:pPr>
            <w:r>
              <w:t>58.61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12</w:t>
            </w:r>
          </w:p>
        </w:tc>
        <w:tc>
          <w:tcPr>
            <w:tcW w:w="2835" w:type="dxa"/>
            <w:vAlign w:val="center"/>
          </w:tcPr>
          <w:p>
            <w:pPr>
              <w:pStyle w:val="12"/>
            </w:pPr>
            <w:r>
              <w:t>202.24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1994</w:t>
            </w:r>
          </w:p>
        </w:tc>
        <w:tc>
          <w:tcPr>
            <w:tcW w:w="2835" w:type="dxa"/>
            <w:vAlign w:val="center"/>
          </w:tcPr>
          <w:p>
            <w:pPr>
              <w:pStyle w:val="12"/>
            </w:pPr>
            <w:r>
              <w:t>600.28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75F263"/>
    <w:multiLevelType w:val="singleLevel"/>
    <w:tmpl w:val="A575F26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712B33"/>
    <w:rsid w:val="68B20F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2026-03-10T01:18:03Z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