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317.38</w:t>
            </w:r>
          </w:p>
        </w:tc>
        <w:tc>
          <w:tcPr>
            <w:tcW w:w="4535" w:type="dxa"/>
            <w:vAlign w:val="center"/>
          </w:tcPr>
          <w:p>
            <w:pPr>
              <w:pStyle w:val="13"/>
            </w:pPr>
            <w:r>
              <w:t>一、一般公共服务支出</w:t>
            </w:r>
          </w:p>
        </w:tc>
        <w:tc>
          <w:tcPr>
            <w:tcW w:w="2126" w:type="dxa"/>
            <w:vAlign w:val="center"/>
          </w:tcPr>
          <w:p>
            <w:pPr>
              <w:pStyle w:val="12"/>
            </w:pPr>
            <w:r>
              <w:t>317.38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317.38</w:t>
            </w:r>
          </w:p>
        </w:tc>
        <w:tc>
          <w:tcPr>
            <w:tcW w:w="4535" w:type="dxa"/>
            <w:vAlign w:val="center"/>
          </w:tcPr>
          <w:p>
            <w:pPr>
              <w:pStyle w:val="15"/>
            </w:pPr>
            <w:r>
              <w:t>本年支出合计</w:t>
            </w:r>
          </w:p>
        </w:tc>
        <w:tc>
          <w:tcPr>
            <w:tcW w:w="2126" w:type="dxa"/>
            <w:vAlign w:val="center"/>
          </w:tcPr>
          <w:p>
            <w:pPr>
              <w:pStyle w:val="16"/>
            </w:pPr>
            <w:r>
              <w:t>317.38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317.38</w:t>
            </w:r>
          </w:p>
        </w:tc>
        <w:tc>
          <w:tcPr>
            <w:tcW w:w="4535" w:type="dxa"/>
            <w:vAlign w:val="center"/>
          </w:tcPr>
          <w:p>
            <w:pPr>
              <w:pStyle w:val="15"/>
            </w:pPr>
            <w:r>
              <w:t>支出总计</w:t>
            </w:r>
          </w:p>
        </w:tc>
        <w:tc>
          <w:tcPr>
            <w:tcW w:w="2126" w:type="dxa"/>
            <w:vAlign w:val="center"/>
          </w:tcPr>
          <w:p>
            <w:pPr>
              <w:pStyle w:val="16"/>
            </w:pPr>
            <w:r>
              <w:t>317.38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317.38</w:t>
            </w:r>
          </w:p>
        </w:tc>
        <w:tc>
          <w:tcPr>
            <w:tcW w:w="1134" w:type="dxa"/>
            <w:vAlign w:val="center"/>
          </w:tcPr>
          <w:p>
            <w:pPr>
              <w:pStyle w:val="16"/>
            </w:pPr>
            <w:r>
              <w:t>317.38</w:t>
            </w:r>
          </w:p>
        </w:tc>
        <w:tc>
          <w:tcPr>
            <w:tcW w:w="1134" w:type="dxa"/>
            <w:vAlign w:val="center"/>
          </w:tcPr>
          <w:p>
            <w:pPr>
              <w:pStyle w:val="16"/>
            </w:pPr>
            <w:r>
              <w:t>317.38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317.38</w:t>
            </w:r>
          </w:p>
        </w:tc>
        <w:tc>
          <w:tcPr>
            <w:tcW w:w="1134" w:type="dxa"/>
            <w:vAlign w:val="center"/>
          </w:tcPr>
          <w:p>
            <w:pPr>
              <w:pStyle w:val="12"/>
            </w:pPr>
            <w:r>
              <w:t>317.38</w:t>
            </w:r>
          </w:p>
        </w:tc>
        <w:tc>
          <w:tcPr>
            <w:tcW w:w="1134" w:type="dxa"/>
            <w:vAlign w:val="center"/>
          </w:tcPr>
          <w:p>
            <w:pPr>
              <w:pStyle w:val="12"/>
            </w:pPr>
            <w:r>
              <w:t>317.38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20137</w:t>
            </w:r>
          </w:p>
        </w:tc>
        <w:tc>
          <w:tcPr>
            <w:tcW w:w="1559" w:type="dxa"/>
            <w:vAlign w:val="center"/>
          </w:tcPr>
          <w:p>
            <w:pPr>
              <w:pStyle w:val="13"/>
            </w:pPr>
            <w:r>
              <w:t>网信事务</w:t>
            </w:r>
          </w:p>
        </w:tc>
        <w:tc>
          <w:tcPr>
            <w:tcW w:w="1134" w:type="dxa"/>
            <w:vAlign w:val="center"/>
          </w:tcPr>
          <w:p>
            <w:pPr>
              <w:pStyle w:val="12"/>
            </w:pPr>
            <w:r>
              <w:t>317.38</w:t>
            </w:r>
          </w:p>
        </w:tc>
        <w:tc>
          <w:tcPr>
            <w:tcW w:w="1134" w:type="dxa"/>
            <w:vAlign w:val="center"/>
          </w:tcPr>
          <w:p>
            <w:pPr>
              <w:pStyle w:val="12"/>
            </w:pPr>
            <w:r>
              <w:t>317.38</w:t>
            </w:r>
          </w:p>
        </w:tc>
        <w:tc>
          <w:tcPr>
            <w:tcW w:w="1134" w:type="dxa"/>
            <w:vAlign w:val="center"/>
          </w:tcPr>
          <w:p>
            <w:pPr>
              <w:pStyle w:val="12"/>
            </w:pPr>
            <w:r>
              <w:t>317.38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2013701</w:t>
            </w:r>
          </w:p>
        </w:tc>
        <w:tc>
          <w:tcPr>
            <w:tcW w:w="1559" w:type="dxa"/>
            <w:vAlign w:val="center"/>
          </w:tcPr>
          <w:p>
            <w:pPr>
              <w:pStyle w:val="13"/>
            </w:pPr>
            <w:r>
              <w:t>行政运行</w:t>
            </w:r>
          </w:p>
        </w:tc>
        <w:tc>
          <w:tcPr>
            <w:tcW w:w="1134" w:type="dxa"/>
            <w:vAlign w:val="center"/>
          </w:tcPr>
          <w:p>
            <w:pPr>
              <w:pStyle w:val="12"/>
            </w:pPr>
            <w:r>
              <w:t>252.38</w:t>
            </w:r>
          </w:p>
        </w:tc>
        <w:tc>
          <w:tcPr>
            <w:tcW w:w="1134" w:type="dxa"/>
            <w:vAlign w:val="center"/>
          </w:tcPr>
          <w:p>
            <w:pPr>
              <w:pStyle w:val="12"/>
            </w:pPr>
            <w:r>
              <w:t>252.38</w:t>
            </w:r>
          </w:p>
        </w:tc>
        <w:tc>
          <w:tcPr>
            <w:tcW w:w="1134" w:type="dxa"/>
            <w:vAlign w:val="center"/>
          </w:tcPr>
          <w:p>
            <w:pPr>
              <w:pStyle w:val="12"/>
            </w:pPr>
            <w:r>
              <w:t>252.38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2013702</w:t>
            </w:r>
          </w:p>
        </w:tc>
        <w:tc>
          <w:tcPr>
            <w:tcW w:w="1559" w:type="dxa"/>
            <w:vAlign w:val="center"/>
          </w:tcPr>
          <w:p>
            <w:pPr>
              <w:pStyle w:val="13"/>
            </w:pPr>
            <w:r>
              <w:t>一般行政管理事务</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2013704</w:t>
            </w:r>
          </w:p>
        </w:tc>
        <w:tc>
          <w:tcPr>
            <w:tcW w:w="1559" w:type="dxa"/>
            <w:vAlign w:val="center"/>
          </w:tcPr>
          <w:p>
            <w:pPr>
              <w:pStyle w:val="13"/>
            </w:pPr>
            <w:r>
              <w:t>信息安全事务</w:t>
            </w:r>
          </w:p>
        </w:tc>
        <w:tc>
          <w:tcPr>
            <w:tcW w:w="1134" w:type="dxa"/>
            <w:vAlign w:val="center"/>
          </w:tcPr>
          <w:p>
            <w:pPr>
              <w:pStyle w:val="12"/>
            </w:pPr>
            <w:r>
              <w:t>29.50</w:t>
            </w:r>
          </w:p>
        </w:tc>
        <w:tc>
          <w:tcPr>
            <w:tcW w:w="1134" w:type="dxa"/>
            <w:vAlign w:val="center"/>
          </w:tcPr>
          <w:p>
            <w:pPr>
              <w:pStyle w:val="12"/>
            </w:pPr>
            <w:r>
              <w:t>29.50</w:t>
            </w:r>
          </w:p>
        </w:tc>
        <w:tc>
          <w:tcPr>
            <w:tcW w:w="1134" w:type="dxa"/>
            <w:vAlign w:val="center"/>
          </w:tcPr>
          <w:p>
            <w:pPr>
              <w:pStyle w:val="12"/>
            </w:pPr>
            <w:r>
              <w:t>29.50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2013799</w:t>
            </w:r>
          </w:p>
        </w:tc>
        <w:tc>
          <w:tcPr>
            <w:tcW w:w="1559" w:type="dxa"/>
            <w:vAlign w:val="center"/>
          </w:tcPr>
          <w:p>
            <w:pPr>
              <w:pStyle w:val="13"/>
            </w:pPr>
            <w:r>
              <w:t>其他网信事务支出</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r>
              <w:t>16.50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317.38</w:t>
            </w:r>
          </w:p>
        </w:tc>
        <w:tc>
          <w:tcPr>
            <w:tcW w:w="1361" w:type="dxa"/>
            <w:vAlign w:val="center"/>
          </w:tcPr>
          <w:p>
            <w:pPr>
              <w:pStyle w:val="16"/>
            </w:pPr>
            <w:r>
              <w:t>252.38</w:t>
            </w:r>
          </w:p>
        </w:tc>
        <w:tc>
          <w:tcPr>
            <w:tcW w:w="1361" w:type="dxa"/>
            <w:vAlign w:val="center"/>
          </w:tcPr>
          <w:p>
            <w:pPr>
              <w:pStyle w:val="16"/>
            </w:pPr>
            <w:r>
              <w:t>65.00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317.38</w:t>
            </w:r>
          </w:p>
        </w:tc>
        <w:tc>
          <w:tcPr>
            <w:tcW w:w="1361" w:type="dxa"/>
            <w:vAlign w:val="center"/>
          </w:tcPr>
          <w:p>
            <w:pPr>
              <w:pStyle w:val="12"/>
            </w:pPr>
            <w:r>
              <w:t>252.38</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20137</w:t>
            </w:r>
          </w:p>
        </w:tc>
        <w:tc>
          <w:tcPr>
            <w:tcW w:w="4535" w:type="dxa"/>
            <w:vAlign w:val="center"/>
          </w:tcPr>
          <w:p>
            <w:pPr>
              <w:pStyle w:val="13"/>
            </w:pPr>
            <w:r>
              <w:t>网信事务</w:t>
            </w:r>
          </w:p>
        </w:tc>
        <w:tc>
          <w:tcPr>
            <w:tcW w:w="1361" w:type="dxa"/>
            <w:vAlign w:val="center"/>
          </w:tcPr>
          <w:p>
            <w:pPr>
              <w:pStyle w:val="12"/>
            </w:pPr>
            <w:r>
              <w:t>317.38</w:t>
            </w:r>
          </w:p>
        </w:tc>
        <w:tc>
          <w:tcPr>
            <w:tcW w:w="1361" w:type="dxa"/>
            <w:vAlign w:val="center"/>
          </w:tcPr>
          <w:p>
            <w:pPr>
              <w:pStyle w:val="12"/>
            </w:pPr>
            <w:r>
              <w:t>252.38</w:t>
            </w:r>
          </w:p>
        </w:tc>
        <w:tc>
          <w:tcPr>
            <w:tcW w:w="1361" w:type="dxa"/>
            <w:vAlign w:val="center"/>
          </w:tcPr>
          <w:p>
            <w:pPr>
              <w:pStyle w:val="12"/>
            </w:pPr>
            <w:r>
              <w:t>65.00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2013701</w:t>
            </w:r>
          </w:p>
        </w:tc>
        <w:tc>
          <w:tcPr>
            <w:tcW w:w="4535" w:type="dxa"/>
            <w:vAlign w:val="center"/>
          </w:tcPr>
          <w:p>
            <w:pPr>
              <w:pStyle w:val="13"/>
            </w:pPr>
            <w:r>
              <w:t>行政运行</w:t>
            </w:r>
          </w:p>
        </w:tc>
        <w:tc>
          <w:tcPr>
            <w:tcW w:w="1361" w:type="dxa"/>
            <w:vAlign w:val="center"/>
          </w:tcPr>
          <w:p>
            <w:pPr>
              <w:pStyle w:val="12"/>
            </w:pPr>
            <w:r>
              <w:t>252.38</w:t>
            </w:r>
          </w:p>
        </w:tc>
        <w:tc>
          <w:tcPr>
            <w:tcW w:w="1361" w:type="dxa"/>
            <w:vAlign w:val="center"/>
          </w:tcPr>
          <w:p>
            <w:pPr>
              <w:pStyle w:val="12"/>
            </w:pPr>
            <w:r>
              <w:t>252.38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2013702</w:t>
            </w:r>
          </w:p>
        </w:tc>
        <w:tc>
          <w:tcPr>
            <w:tcW w:w="4535" w:type="dxa"/>
            <w:vAlign w:val="center"/>
          </w:tcPr>
          <w:p>
            <w:pPr>
              <w:pStyle w:val="13"/>
            </w:pPr>
            <w:r>
              <w:t>一般行政管理事务</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2013704</w:t>
            </w:r>
          </w:p>
        </w:tc>
        <w:tc>
          <w:tcPr>
            <w:tcW w:w="4535" w:type="dxa"/>
            <w:vAlign w:val="center"/>
          </w:tcPr>
          <w:p>
            <w:pPr>
              <w:pStyle w:val="13"/>
            </w:pPr>
            <w:r>
              <w:t>信息安全事务</w:t>
            </w:r>
          </w:p>
        </w:tc>
        <w:tc>
          <w:tcPr>
            <w:tcW w:w="1361" w:type="dxa"/>
            <w:vAlign w:val="center"/>
          </w:tcPr>
          <w:p>
            <w:pPr>
              <w:pStyle w:val="12"/>
            </w:pPr>
            <w:r>
              <w:t>29.50</w:t>
            </w:r>
          </w:p>
        </w:tc>
        <w:tc>
          <w:tcPr>
            <w:tcW w:w="1361" w:type="dxa"/>
            <w:vAlign w:val="center"/>
          </w:tcPr>
          <w:p>
            <w:pPr>
              <w:pStyle w:val="12"/>
            </w:pPr>
          </w:p>
        </w:tc>
        <w:tc>
          <w:tcPr>
            <w:tcW w:w="1361" w:type="dxa"/>
            <w:vAlign w:val="center"/>
          </w:tcPr>
          <w:p>
            <w:pPr>
              <w:pStyle w:val="12"/>
            </w:pPr>
            <w:r>
              <w:t>29.50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2013799</w:t>
            </w:r>
          </w:p>
        </w:tc>
        <w:tc>
          <w:tcPr>
            <w:tcW w:w="4535" w:type="dxa"/>
            <w:vAlign w:val="center"/>
          </w:tcPr>
          <w:p>
            <w:pPr>
              <w:pStyle w:val="13"/>
            </w:pPr>
            <w:r>
              <w:t>其他网信事务支出</w:t>
            </w: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r>
              <w:t>16.50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317.38</w:t>
            </w:r>
          </w:p>
        </w:tc>
        <w:tc>
          <w:tcPr>
            <w:tcW w:w="3402" w:type="dxa"/>
            <w:vAlign w:val="center"/>
          </w:tcPr>
          <w:p>
            <w:pPr>
              <w:pStyle w:val="13"/>
            </w:pPr>
            <w:r>
              <w:t>一、一般公共服务支出</w:t>
            </w:r>
          </w:p>
        </w:tc>
        <w:tc>
          <w:tcPr>
            <w:tcW w:w="1474" w:type="dxa"/>
            <w:vAlign w:val="center"/>
          </w:tcPr>
          <w:p>
            <w:pPr>
              <w:pStyle w:val="12"/>
            </w:pPr>
            <w:r>
              <w:t>317.38</w:t>
            </w:r>
          </w:p>
        </w:tc>
        <w:tc>
          <w:tcPr>
            <w:tcW w:w="1474" w:type="dxa"/>
            <w:vAlign w:val="center"/>
          </w:tcPr>
          <w:p>
            <w:pPr>
              <w:pStyle w:val="12"/>
            </w:pPr>
            <w:r>
              <w:t>317.38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317.38</w:t>
            </w:r>
          </w:p>
        </w:tc>
        <w:tc>
          <w:tcPr>
            <w:tcW w:w="3402" w:type="dxa"/>
            <w:vAlign w:val="center"/>
          </w:tcPr>
          <w:p>
            <w:pPr>
              <w:pStyle w:val="15"/>
            </w:pPr>
            <w:r>
              <w:t>本年支出合计</w:t>
            </w:r>
          </w:p>
        </w:tc>
        <w:tc>
          <w:tcPr>
            <w:tcW w:w="1474" w:type="dxa"/>
            <w:vAlign w:val="center"/>
          </w:tcPr>
          <w:p>
            <w:pPr>
              <w:pStyle w:val="16"/>
            </w:pPr>
            <w:r>
              <w:t>317.38</w:t>
            </w:r>
          </w:p>
        </w:tc>
        <w:tc>
          <w:tcPr>
            <w:tcW w:w="1474" w:type="dxa"/>
            <w:vAlign w:val="center"/>
          </w:tcPr>
          <w:p>
            <w:pPr>
              <w:pStyle w:val="16"/>
            </w:pPr>
            <w:r>
              <w:t>317.38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317.38</w:t>
            </w:r>
          </w:p>
        </w:tc>
        <w:tc>
          <w:tcPr>
            <w:tcW w:w="3402" w:type="dxa"/>
            <w:vAlign w:val="center"/>
          </w:tcPr>
          <w:p>
            <w:pPr>
              <w:pStyle w:val="15"/>
            </w:pPr>
            <w:r>
              <w:t>支出总计</w:t>
            </w:r>
          </w:p>
        </w:tc>
        <w:tc>
          <w:tcPr>
            <w:tcW w:w="1474" w:type="dxa"/>
            <w:vAlign w:val="center"/>
          </w:tcPr>
          <w:p>
            <w:pPr>
              <w:pStyle w:val="16"/>
            </w:pPr>
            <w:r>
              <w:t>317.38</w:t>
            </w:r>
          </w:p>
        </w:tc>
        <w:tc>
          <w:tcPr>
            <w:tcW w:w="1474" w:type="dxa"/>
            <w:vAlign w:val="center"/>
          </w:tcPr>
          <w:p>
            <w:pPr>
              <w:pStyle w:val="16"/>
            </w:pPr>
            <w:r>
              <w:t>317.38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317.38</w:t>
            </w:r>
          </w:p>
        </w:tc>
        <w:tc>
          <w:tcPr>
            <w:tcW w:w="2551" w:type="dxa"/>
            <w:vAlign w:val="center"/>
          </w:tcPr>
          <w:p>
            <w:pPr>
              <w:pStyle w:val="16"/>
            </w:pPr>
            <w:r>
              <w:t>252.38</w:t>
            </w:r>
          </w:p>
        </w:tc>
        <w:tc>
          <w:tcPr>
            <w:tcW w:w="2551" w:type="dxa"/>
            <w:vAlign w:val="center"/>
          </w:tcPr>
          <w:p>
            <w:pPr>
              <w:pStyle w:val="16"/>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317.38</w:t>
            </w:r>
          </w:p>
        </w:tc>
        <w:tc>
          <w:tcPr>
            <w:tcW w:w="2551" w:type="dxa"/>
            <w:vAlign w:val="center"/>
          </w:tcPr>
          <w:p>
            <w:pPr>
              <w:pStyle w:val="12"/>
            </w:pPr>
            <w:r>
              <w:t>252.38</w:t>
            </w:r>
          </w:p>
        </w:tc>
        <w:tc>
          <w:tcPr>
            <w:tcW w:w="2551"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20137</w:t>
            </w:r>
          </w:p>
        </w:tc>
        <w:tc>
          <w:tcPr>
            <w:tcW w:w="4535" w:type="dxa"/>
            <w:vAlign w:val="center"/>
          </w:tcPr>
          <w:p>
            <w:pPr>
              <w:pStyle w:val="13"/>
            </w:pPr>
            <w:r>
              <w:t>网信事务</w:t>
            </w:r>
          </w:p>
        </w:tc>
        <w:tc>
          <w:tcPr>
            <w:tcW w:w="2551" w:type="dxa"/>
            <w:vAlign w:val="center"/>
          </w:tcPr>
          <w:p>
            <w:pPr>
              <w:pStyle w:val="12"/>
            </w:pPr>
            <w:r>
              <w:t>317.38</w:t>
            </w:r>
          </w:p>
        </w:tc>
        <w:tc>
          <w:tcPr>
            <w:tcW w:w="2551" w:type="dxa"/>
            <w:vAlign w:val="center"/>
          </w:tcPr>
          <w:p>
            <w:pPr>
              <w:pStyle w:val="12"/>
            </w:pPr>
            <w:r>
              <w:t>252.38</w:t>
            </w:r>
          </w:p>
        </w:tc>
        <w:tc>
          <w:tcPr>
            <w:tcW w:w="2551" w:type="dxa"/>
            <w:vAlign w:val="center"/>
          </w:tcPr>
          <w:p>
            <w:pPr>
              <w:pStyle w:val="12"/>
            </w:pPr>
            <w:r>
              <w:t>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2013701</w:t>
            </w:r>
          </w:p>
        </w:tc>
        <w:tc>
          <w:tcPr>
            <w:tcW w:w="4535" w:type="dxa"/>
            <w:vAlign w:val="center"/>
          </w:tcPr>
          <w:p>
            <w:pPr>
              <w:pStyle w:val="13"/>
            </w:pPr>
            <w:r>
              <w:t>行政运行</w:t>
            </w:r>
          </w:p>
        </w:tc>
        <w:tc>
          <w:tcPr>
            <w:tcW w:w="2551" w:type="dxa"/>
            <w:vAlign w:val="center"/>
          </w:tcPr>
          <w:p>
            <w:pPr>
              <w:pStyle w:val="12"/>
            </w:pPr>
            <w:r>
              <w:t>252.38</w:t>
            </w:r>
          </w:p>
        </w:tc>
        <w:tc>
          <w:tcPr>
            <w:tcW w:w="2551" w:type="dxa"/>
            <w:vAlign w:val="center"/>
          </w:tcPr>
          <w:p>
            <w:pPr>
              <w:pStyle w:val="12"/>
            </w:pPr>
            <w:r>
              <w:t>252.38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2013702</w:t>
            </w:r>
          </w:p>
        </w:tc>
        <w:tc>
          <w:tcPr>
            <w:tcW w:w="4535" w:type="dxa"/>
            <w:vAlign w:val="center"/>
          </w:tcPr>
          <w:p>
            <w:pPr>
              <w:pStyle w:val="13"/>
            </w:pPr>
            <w:r>
              <w:t>一般行政管理事务</w:t>
            </w:r>
          </w:p>
        </w:tc>
        <w:tc>
          <w:tcPr>
            <w:tcW w:w="2551" w:type="dxa"/>
            <w:vAlign w:val="center"/>
          </w:tcPr>
          <w:p>
            <w:pPr>
              <w:pStyle w:val="12"/>
            </w:pPr>
            <w:r>
              <w:t>19.00</w:t>
            </w:r>
          </w:p>
        </w:tc>
        <w:tc>
          <w:tcPr>
            <w:tcW w:w="2551" w:type="dxa"/>
            <w:vAlign w:val="center"/>
          </w:tcPr>
          <w:p>
            <w:pPr>
              <w:pStyle w:val="12"/>
            </w:pPr>
          </w:p>
        </w:tc>
        <w:tc>
          <w:tcPr>
            <w:tcW w:w="2551"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2013704</w:t>
            </w:r>
          </w:p>
        </w:tc>
        <w:tc>
          <w:tcPr>
            <w:tcW w:w="4535" w:type="dxa"/>
            <w:vAlign w:val="center"/>
          </w:tcPr>
          <w:p>
            <w:pPr>
              <w:pStyle w:val="13"/>
            </w:pPr>
            <w:r>
              <w:t>信息安全事务</w:t>
            </w:r>
          </w:p>
        </w:tc>
        <w:tc>
          <w:tcPr>
            <w:tcW w:w="2551" w:type="dxa"/>
            <w:vAlign w:val="center"/>
          </w:tcPr>
          <w:p>
            <w:pPr>
              <w:pStyle w:val="12"/>
            </w:pPr>
            <w:r>
              <w:t>29.50</w:t>
            </w:r>
          </w:p>
        </w:tc>
        <w:tc>
          <w:tcPr>
            <w:tcW w:w="2551" w:type="dxa"/>
            <w:vAlign w:val="center"/>
          </w:tcPr>
          <w:p>
            <w:pPr>
              <w:pStyle w:val="12"/>
            </w:pPr>
          </w:p>
        </w:tc>
        <w:tc>
          <w:tcPr>
            <w:tcW w:w="2551" w:type="dxa"/>
            <w:vAlign w:val="center"/>
          </w:tcPr>
          <w:p>
            <w:pPr>
              <w:pStyle w:val="12"/>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2013799</w:t>
            </w:r>
          </w:p>
        </w:tc>
        <w:tc>
          <w:tcPr>
            <w:tcW w:w="4535" w:type="dxa"/>
            <w:vAlign w:val="center"/>
          </w:tcPr>
          <w:p>
            <w:pPr>
              <w:pStyle w:val="13"/>
            </w:pPr>
            <w:r>
              <w:t>其他网信事务支出</w:t>
            </w:r>
          </w:p>
        </w:tc>
        <w:tc>
          <w:tcPr>
            <w:tcW w:w="2551" w:type="dxa"/>
            <w:vAlign w:val="center"/>
          </w:tcPr>
          <w:p>
            <w:pPr>
              <w:pStyle w:val="12"/>
            </w:pPr>
            <w:r>
              <w:t>16.50</w:t>
            </w:r>
          </w:p>
        </w:tc>
        <w:tc>
          <w:tcPr>
            <w:tcW w:w="2551" w:type="dxa"/>
            <w:vAlign w:val="center"/>
          </w:tcPr>
          <w:p>
            <w:pPr>
              <w:pStyle w:val="12"/>
            </w:pPr>
          </w:p>
        </w:tc>
        <w:tc>
          <w:tcPr>
            <w:tcW w:w="2551" w:type="dxa"/>
            <w:vAlign w:val="center"/>
          </w:tcPr>
          <w:p>
            <w:pPr>
              <w:pStyle w:val="12"/>
            </w:pPr>
            <w:r>
              <w:t>16.50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252.38</w:t>
            </w:r>
          </w:p>
        </w:tc>
        <w:tc>
          <w:tcPr>
            <w:tcW w:w="2551" w:type="dxa"/>
            <w:vAlign w:val="center"/>
          </w:tcPr>
          <w:p>
            <w:pPr>
              <w:pStyle w:val="16"/>
            </w:pPr>
            <w:r>
              <w:t>228.85</w:t>
            </w:r>
          </w:p>
        </w:tc>
        <w:tc>
          <w:tcPr>
            <w:tcW w:w="2551" w:type="dxa"/>
            <w:vAlign w:val="center"/>
          </w:tcPr>
          <w:p>
            <w:pPr>
              <w:pStyle w:val="16"/>
            </w:pPr>
            <w:r>
              <w:t>23.53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228.85</w:t>
            </w:r>
          </w:p>
        </w:tc>
        <w:tc>
          <w:tcPr>
            <w:tcW w:w="2551" w:type="dxa"/>
            <w:vAlign w:val="center"/>
          </w:tcPr>
          <w:p>
            <w:pPr>
              <w:pStyle w:val="12"/>
            </w:pPr>
            <w:r>
              <w:t>228.85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85.21</w:t>
            </w:r>
          </w:p>
        </w:tc>
        <w:tc>
          <w:tcPr>
            <w:tcW w:w="2551" w:type="dxa"/>
            <w:vAlign w:val="center"/>
          </w:tcPr>
          <w:p>
            <w:pPr>
              <w:pStyle w:val="12"/>
            </w:pPr>
            <w:r>
              <w:t>85.21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22.76</w:t>
            </w:r>
          </w:p>
        </w:tc>
        <w:tc>
          <w:tcPr>
            <w:tcW w:w="2551" w:type="dxa"/>
            <w:vAlign w:val="center"/>
          </w:tcPr>
          <w:p>
            <w:pPr>
              <w:pStyle w:val="12"/>
            </w:pPr>
            <w:r>
              <w:t>22.76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14.98</w:t>
            </w:r>
          </w:p>
        </w:tc>
        <w:tc>
          <w:tcPr>
            <w:tcW w:w="2551" w:type="dxa"/>
            <w:vAlign w:val="center"/>
          </w:tcPr>
          <w:p>
            <w:pPr>
              <w:pStyle w:val="12"/>
            </w:pPr>
            <w:r>
              <w:t>14.98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46.05</w:t>
            </w:r>
          </w:p>
        </w:tc>
        <w:tc>
          <w:tcPr>
            <w:tcW w:w="2551" w:type="dxa"/>
            <w:vAlign w:val="center"/>
          </w:tcPr>
          <w:p>
            <w:pPr>
              <w:pStyle w:val="12"/>
            </w:pPr>
            <w:r>
              <w:t>46.05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23.65</w:t>
            </w:r>
          </w:p>
        </w:tc>
        <w:tc>
          <w:tcPr>
            <w:tcW w:w="2551" w:type="dxa"/>
            <w:vAlign w:val="center"/>
          </w:tcPr>
          <w:p>
            <w:pPr>
              <w:pStyle w:val="12"/>
            </w:pPr>
            <w:r>
              <w:t>23.65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9.66</w:t>
            </w:r>
          </w:p>
        </w:tc>
        <w:tc>
          <w:tcPr>
            <w:tcW w:w="2551" w:type="dxa"/>
            <w:vAlign w:val="center"/>
          </w:tcPr>
          <w:p>
            <w:pPr>
              <w:pStyle w:val="12"/>
            </w:pPr>
            <w:r>
              <w:t>9.66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4.91</w:t>
            </w:r>
          </w:p>
        </w:tc>
        <w:tc>
          <w:tcPr>
            <w:tcW w:w="2551" w:type="dxa"/>
            <w:vAlign w:val="center"/>
          </w:tcPr>
          <w:p>
            <w:pPr>
              <w:pStyle w:val="12"/>
            </w:pPr>
            <w:r>
              <w:t>4.91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1.41</w:t>
            </w:r>
          </w:p>
        </w:tc>
        <w:tc>
          <w:tcPr>
            <w:tcW w:w="2551" w:type="dxa"/>
            <w:vAlign w:val="center"/>
          </w:tcPr>
          <w:p>
            <w:pPr>
              <w:pStyle w:val="12"/>
            </w:pPr>
            <w:r>
              <w:t>1.41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19.02</w:t>
            </w:r>
          </w:p>
        </w:tc>
        <w:tc>
          <w:tcPr>
            <w:tcW w:w="2551" w:type="dxa"/>
            <w:vAlign w:val="center"/>
          </w:tcPr>
          <w:p>
            <w:pPr>
              <w:pStyle w:val="12"/>
            </w:pPr>
            <w:r>
              <w:t>19.02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23.53</w:t>
            </w:r>
          </w:p>
        </w:tc>
        <w:tc>
          <w:tcPr>
            <w:tcW w:w="2551" w:type="dxa"/>
            <w:vAlign w:val="center"/>
          </w:tcPr>
          <w:p>
            <w:pPr>
              <w:pStyle w:val="12"/>
            </w:pPr>
          </w:p>
        </w:tc>
        <w:tc>
          <w:tcPr>
            <w:tcW w:w="2551" w:type="dxa"/>
            <w:vAlign w:val="center"/>
          </w:tcPr>
          <w:p>
            <w:pPr>
              <w:pStyle w:val="12"/>
            </w:pPr>
            <w:r>
              <w:t>23.53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5.75</w:t>
            </w:r>
          </w:p>
        </w:tc>
        <w:tc>
          <w:tcPr>
            <w:tcW w:w="2551" w:type="dxa"/>
            <w:vAlign w:val="center"/>
          </w:tcPr>
          <w:p>
            <w:pPr>
              <w:pStyle w:val="12"/>
            </w:pPr>
          </w:p>
        </w:tc>
        <w:tc>
          <w:tcPr>
            <w:tcW w:w="2551" w:type="dxa"/>
            <w:vAlign w:val="center"/>
          </w:tcPr>
          <w:p>
            <w:pPr>
              <w:pStyle w:val="12"/>
            </w:pPr>
            <w:r>
              <w:t>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4.09</w:t>
            </w:r>
          </w:p>
        </w:tc>
        <w:tc>
          <w:tcPr>
            <w:tcW w:w="2551" w:type="dxa"/>
            <w:vAlign w:val="center"/>
          </w:tcPr>
          <w:p>
            <w:pPr>
              <w:pStyle w:val="12"/>
            </w:pPr>
          </w:p>
        </w:tc>
        <w:tc>
          <w:tcPr>
            <w:tcW w:w="2551" w:type="dxa"/>
            <w:vAlign w:val="center"/>
          </w:tcPr>
          <w:p>
            <w:pPr>
              <w:pStyle w:val="12"/>
            </w:pPr>
            <w:r>
              <w:t>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1.77</w:t>
            </w:r>
          </w:p>
        </w:tc>
        <w:tc>
          <w:tcPr>
            <w:tcW w:w="2551" w:type="dxa"/>
            <w:vAlign w:val="center"/>
          </w:tcPr>
          <w:p>
            <w:pPr>
              <w:pStyle w:val="12"/>
            </w:pPr>
          </w:p>
        </w:tc>
        <w:tc>
          <w:tcPr>
            <w:tcW w:w="2551" w:type="dxa"/>
            <w:vAlign w:val="center"/>
          </w:tcPr>
          <w:p>
            <w:pPr>
              <w:pStyle w:val="12"/>
            </w:pPr>
            <w:r>
              <w:t>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4.32</w:t>
            </w:r>
          </w:p>
        </w:tc>
        <w:tc>
          <w:tcPr>
            <w:tcW w:w="2551" w:type="dxa"/>
            <w:vAlign w:val="center"/>
          </w:tcPr>
          <w:p>
            <w:pPr>
              <w:pStyle w:val="12"/>
            </w:pPr>
          </w:p>
        </w:tc>
        <w:tc>
          <w:tcPr>
            <w:tcW w:w="2551" w:type="dxa"/>
            <w:vAlign w:val="center"/>
          </w:tcPr>
          <w:p>
            <w:pPr>
              <w:pStyle w:val="12"/>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3.69</w:t>
            </w:r>
          </w:p>
        </w:tc>
        <w:tc>
          <w:tcPr>
            <w:tcW w:w="2551" w:type="dxa"/>
            <w:vAlign w:val="center"/>
          </w:tcPr>
          <w:p>
            <w:pPr>
              <w:pStyle w:val="12"/>
            </w:pPr>
          </w:p>
        </w:tc>
        <w:tc>
          <w:tcPr>
            <w:tcW w:w="2551" w:type="dxa"/>
            <w:vAlign w:val="center"/>
          </w:tcPr>
          <w:p>
            <w:pPr>
              <w:pStyle w:val="12"/>
            </w:pPr>
            <w:r>
              <w:t>3.69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中共晋州市委网络安全和信息化委员会办公室2026年部门预算信息公开情况说明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中共晋州市委网络安全和信息化委员会办公室2026年部门预算信息公开情况说明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按照《中华人民共和国预算法》、《地方预决算公开操作规程》和《关于进一步推进预算公开工作的实施意见》规定，现将中共晋州市委网络安全和信息化委员会办公室2026年部门预算公开如下：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处理市委网络安全和信息化委员会日常事务工作。协调督促有关方面落实委员会的决定事项以及部署和要求；组织开展对涉及政治、经济、文化、社会、生态及军事等各个领域的网络安全和信息化重大问题研究，向委员会提出工作建议。</w:t>
      </w:r>
    </w:p>
    <w:p>
      <w:pPr>
        <w:pStyle w:val="18"/>
      </w:pPr>
      <w:r>
        <w:t>（二）贯彻落实网络安全和信息化发展战略，宏观规划和重大政策。统筹推进网络安全和信息化法治标准建设，根据职责权限负责相关规章、法规、监督检查的实施；根据职责权限推动落实网络安全和信息化领域监督实施，依法完善与信息化相关的统计调查制度。</w:t>
      </w:r>
    </w:p>
    <w:p>
      <w:pPr>
        <w:pStyle w:val="18"/>
      </w:pPr>
      <w:r>
        <w:t>（三）统筹协调全市网络安全保障体系和可信体系建设。牵头协调有关部门制定相关行业网络安全规划及保障评价指标体系，协调信息安全保护工作；指导推进党政军部门、重点行业网络安全保障和信息化工作；统筹推进网络安全和信息化军民融合深度发展；负责全市网络安全信息共享和通报工作。</w:t>
      </w:r>
    </w:p>
    <w:p>
      <w:pPr>
        <w:pStyle w:val="18"/>
      </w:pPr>
      <w:r>
        <w:t>（四）督促落实涉及政治、经济、文化、社会、生态及军事等各个领域的网络安全和信息化重大事项；负责协调处理网络安全和信息化重大突发事件与有关应急工作。</w:t>
      </w:r>
    </w:p>
    <w:p>
      <w:pPr>
        <w:pStyle w:val="18"/>
      </w:pPr>
      <w:r>
        <w:t>（五）负责互联网信息内容管理。统筹协调组织互联网宣传管理和舆论引导工作，组织开展网上评论，推动网络评论队伍建设，维护互联网意识形态安全；落实互联网新闻信息传播相关政策，负责互联网信息内容监督管理执法，组织开展网络舆论生态治理，依法指导和管理落地网站及新媒体新应用；会同有关部门处置和封堵网上有害信息，依照相关法律和规定查处违法违规行为和网站。</w:t>
      </w:r>
    </w:p>
    <w:p>
      <w:pPr>
        <w:pStyle w:val="18"/>
      </w:pPr>
      <w:r>
        <w:t>（六）负责指导协调全市网络舆情信息工作。收集、分析、研判、报送和处置网络舆情信息，依法规范舆情服务市场。</w:t>
      </w:r>
    </w:p>
    <w:p>
      <w:pPr>
        <w:pStyle w:val="18"/>
      </w:pPr>
      <w:r>
        <w:t>（七）推动全市网络阵地建设和重点新闻网站规划建设。指导协调网络游戏、网络视听、网络出版等相关业务；推动移动互联网发展，会同有关部门推动传统媒体与新兴媒体融合发展；负责全市网站转载新闻稿源的管理。</w:t>
      </w:r>
    </w:p>
    <w:p>
      <w:pPr>
        <w:pStyle w:val="18"/>
      </w:pPr>
      <w:r>
        <w:t>（八）协调推动全市网络社会工作和网络文化、网络文明建设；发展、联系、服务网络社会组织，指导互联网行业自律。</w:t>
      </w:r>
    </w:p>
    <w:p>
      <w:pPr>
        <w:pStyle w:val="18"/>
      </w:pPr>
      <w:r>
        <w:t>（九）落实国家互联网信息服务资本准入和信息网络行业安全审查的有关政策。依法负责网络新闻业务和论坛、博客、搜索引擎等具有新闻舆论及社会动员功能业务的日常监管；指导协调有关部门推进新技术新应用的安全评估，统筹协调全市移动互联网管理。</w:t>
      </w:r>
    </w:p>
    <w:p>
      <w:pPr>
        <w:pStyle w:val="18"/>
      </w:pPr>
      <w:r>
        <w:t>（十）指导网络金融信息服务业务，负责网络金融信息服务市场监管，协调金融监管部门建立全市网络金融信息发布、传播监管制度及工作机制。</w:t>
      </w:r>
    </w:p>
    <w:p>
      <w:pPr>
        <w:pStyle w:val="18"/>
      </w:pPr>
      <w:r>
        <w:t>（十一）拟订网络安全和信息化干部人才队伍发展规划，负责网信系统干部教育培训和人才队伍建设，指导全市互联网新闻信息服务从业人员教育培训和考评工作，组织开展网络媒介素养教育。</w:t>
      </w:r>
    </w:p>
    <w:p>
      <w:pPr>
        <w:pStyle w:val="18"/>
      </w:pPr>
      <w:r>
        <w:t>（十二）组织开展相关领域对外交流与合作。</w:t>
      </w:r>
    </w:p>
    <w:p>
      <w:pPr>
        <w:pStyle w:val="18"/>
      </w:pPr>
      <w:r>
        <w:t>（十三）指导有关部门网络安全和信息化工作。</w:t>
      </w:r>
    </w:p>
    <w:p>
      <w:pPr>
        <w:pStyle w:val="18"/>
      </w:pPr>
      <w:r>
        <w:t>（十四）完成石家庄市委网络安全和信息化委员会办公室（市互联网信息办公室）和晋州市委、市政府及市委网络安全和信息化委员会交办的其他事项。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中共晋州市委网络安全和信息化委员会办公室本级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按照预算管理有关规定，目前部门预算的编制实行综合预算管理，即全部收入和支出都反映在预算中。中共晋州市委网络安全和信息化委员会办公室机关及所属事业单位的收支包含在部门预算中。</w:t>
      </w:r>
    </w:p>
    <w:p>
      <w:pPr>
        <w:pStyle w:val="19"/>
      </w:pPr>
      <w:r>
        <w:t>1、收入说明</w:t>
      </w:r>
    </w:p>
    <w:p>
      <w:pPr>
        <w:pStyle w:val="19"/>
      </w:pPr>
      <w:r>
        <w:t>反映本部门当年全部收入。2026年预算收入317.38万元，其中：一般公共预算收入317.38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晋州市委网络安全和信息化委员会办公室年度部门预算中支出预算的总体情况。2026年支出预算317.38万元，其中基本支出252.38万元，包括人员经费228.85万元和日常公用经费23.53万元；项目支出65.00万元，主要为1、网络宣传经费5万元，2、网络安全保障经费29.5万元，3、网络综合治理平台系统每年14万元，4、舆情监测技术服务费16.5万元；预计下年使用的单位资金结余0.00万元。委托业务费共计安排52.00万元，主要用于因技术原因确需对外委托的辅助性工作和确有必要对外委托开展咨询、评审、规划等工作。</w:t>
      </w:r>
    </w:p>
    <w:p>
      <w:pPr>
        <w:pStyle w:val="19"/>
      </w:pPr>
      <w:r>
        <w:t>3、比上年增减情况</w:t>
      </w:r>
    </w:p>
    <w:p>
      <w:pPr>
        <w:pStyle w:val="19"/>
      </w:pPr>
      <w:r>
        <w:t>2026年预算收支安排317.38万元，较2025年预算增加49.98万元，其中：基本支出增加49.98万元，主要为人员工资调整，人员经费增加。项目支出增加0.00万元，主要为2026年预算安排项目与上年持平，未发生变化。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2026年，我部门机关运行经费共计安排23.53万元，主要用于日常维修、办公用房水电费、办公用房取暖费、办公用房物业管理费等日常运行支出。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压减非必要支出，提高资金使用效益。</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晋州市委网信办以习近平新时代中国特色社会主义思想为统领，认真学习贯彻习近平总书记关于建设网络强国的重要论述，深入贯彻落实党的二十大和全国、省、石家庄市网络安全和信息化工作会议精神，守正创新，开拓进取，以加快建设网络强市为目标，强力推进网络内容建设和管理、网络安全和信息化工作，为新时代建设“幸福梨乡、魅力晋州”提供强大的网络舆论支持、可靠的网络安全保障和有力的信息化支撑。</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（一）网络宣传报道</w:t>
      </w:r>
    </w:p>
    <w:p>
      <w:pPr>
        <w:pStyle w:val="23"/>
      </w:pPr>
      <w:r>
        <w:t>绩效目标：不断创新宣传手段和方式，提升网络宣传影响力和传播力，宣传晋州推介晋州，引导正面舆论宣传，树立晋州对外美好形象，为各项事业发展营造良好舆论环境。</w:t>
      </w:r>
    </w:p>
    <w:p>
      <w:pPr>
        <w:pStyle w:val="23"/>
      </w:pPr>
      <w:r>
        <w:t>绩效指标：年内开展特色主题宣传活动3次以上，与多家网络媒体达成合作协议，尽可能多次组织典型经验宣传报道。</w:t>
      </w:r>
    </w:p>
    <w:p>
      <w:pPr>
        <w:pStyle w:val="23"/>
      </w:pPr>
      <w:r>
        <w:t>（二）舆情监测及分析</w:t>
      </w:r>
    </w:p>
    <w:p>
      <w:pPr>
        <w:pStyle w:val="23"/>
      </w:pPr>
      <w:r>
        <w:t>绩效目标：监测并收集舆情信息，引导正面舆论宣传，控制负面舆情，消除负面影响。对重点网络舆情事件进行分析研判，把握正确导向，为全市经济社会发展提供有力舆论支持。</w:t>
      </w:r>
    </w:p>
    <w:p>
      <w:pPr>
        <w:pStyle w:val="23"/>
      </w:pPr>
      <w:r>
        <w:t>绩效指标：实时进行舆情监测，收集分析舆情信息，重大舆情事件监测率达到100%，反馈及时率达到100%。</w:t>
      </w:r>
    </w:p>
    <w:p>
      <w:pPr>
        <w:pStyle w:val="23"/>
      </w:pPr>
      <w:r>
        <w:t>（三）网络安全保障工作</w:t>
      </w:r>
    </w:p>
    <w:p>
      <w:pPr>
        <w:pStyle w:val="23"/>
      </w:pPr>
      <w:r>
        <w:t>绩效目标：通过开展网络安全责任制督导、互联网网站安全整治等一系列网络安全防护专项行动，切实加强重点领域网络安全防护，加强网络安全监测预警和通报处置，做好应急响应准备，保障全市网络和信息系统安全稳定运行。</w:t>
      </w:r>
    </w:p>
    <w:p>
      <w:pPr>
        <w:pStyle w:val="23"/>
      </w:pPr>
      <w:r>
        <w:t>绩效指标：公共区域LED屏幕风险排查和整治3次以上，检查检测我市重点网站、关键信息基础设施60家以上，国家网络安全周发放多种宣传材料。</w:t>
      </w:r>
    </w:p>
    <w:p>
      <w:pPr>
        <w:pStyle w:val="23"/>
      </w:pPr>
      <w:r>
        <w:t>（四）全市网信系统干部教育培训和人才队伍建设</w:t>
      </w:r>
    </w:p>
    <w:p>
      <w:pPr>
        <w:pStyle w:val="23"/>
      </w:pPr>
      <w:r>
        <w:t>绩效目标：指导全市互联网新闻信息服务从业人员教育培训和考评工作，开展网络媒介素养教育，提高网信干部队伍业务水平。</w:t>
      </w:r>
    </w:p>
    <w:p>
      <w:pPr>
        <w:pStyle w:val="23"/>
      </w:pPr>
      <w:r>
        <w:t>绩效指标：每年度组织开展主题培训活动，普及关于网评、网络安全、舆情应对、网络执法等方面的知识。</w:t>
      </w:r>
    </w:p>
    <w:p>
      <w:pPr>
        <w:pStyle w:val="23"/>
      </w:pPr>
      <w:r>
        <w:t>（五）全市网络社会工作和网络文化网络文明建设</w:t>
      </w:r>
    </w:p>
    <w:p>
      <w:pPr>
        <w:pStyle w:val="23"/>
      </w:pPr>
      <w:r>
        <w:t>绩效目标：积极扶持健康网络文化创作，实施网络文化精品创作工程，组织指导互联网行业自律，引导我市互联网传播产品滋养网络、滋养人心、滋养社会。 绩效指标：引导创作生产互联网传播产品，重点支持互联网传播精品，繁荣发展具有晋州特色的正能量网络文化。</w:t>
      </w:r>
    </w:p>
    <w:p>
      <w:pPr>
        <w:pStyle w:val="23"/>
      </w:pPr>
      <w:r>
        <w:t>（六）市委网信办综合事务管理</w:t>
      </w:r>
    </w:p>
    <w:p>
      <w:pPr>
        <w:pStyle w:val="23"/>
      </w:pPr>
      <w:r>
        <w:t>绩效目标：逐步实现网信体系作战指挥视频化应用，实现技术管网，提高网信系统应急指挥作战能力。做好机关人员及资产管理工作，为充分发挥职能作用提供有效保障。</w:t>
      </w:r>
    </w:p>
    <w:p>
      <w:pPr>
        <w:pStyle w:val="23"/>
      </w:pPr>
      <w:r>
        <w:t>绩效指标：按时完成上级部门安排的各项工作任务。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1、网络综合治理平台系统绩效目标表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13018326P000328104136</w:t>
            </w:r>
          </w:p>
        </w:tc>
        <w:tc>
          <w:tcPr>
            <w:tcW w:w="2835" w:type="dxa"/>
            <w:vAlign w:val="center"/>
          </w:tcPr>
          <w:p>
            <w:pPr>
              <w:pStyle w:val="11"/>
            </w:pPr>
            <w:r>
              <w:t>项目名称</w:t>
            </w:r>
          </w:p>
        </w:tc>
        <w:tc>
          <w:tcPr>
            <w:tcW w:w="6095" w:type="dxa"/>
            <w:gridSpan w:val="3"/>
            <w:vAlign w:val="center"/>
          </w:tcPr>
          <w:p>
            <w:pPr>
              <w:pStyle w:val="13"/>
            </w:pPr>
            <w:r>
              <w:t>网络综合治理平台系统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用于建立全市网络社会综合治理管理平台，平台包括属地网站及内容监管系统、属地微博及内容监管系统、属地微信公众号及内容监管系统，以及大数据综合分析展示系统。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1.通过大数据分析及图形处理等技术手段研发的实时数据分析展示平台，将网络管理工作情况综合展示、统一指挥，进一步提升对本地网络资源管理水平。</w:t>
            </w:r>
            <w:r>
              <w:tab/>
            </w:r>
            <w:r>
              <w:tab/>
            </w:r>
            <w:r>
              <w:tab/>
            </w:r>
            <w:r>
              <w:tab/>
            </w:r>
            <w:r>
              <w:tab/>
            </w:r>
            <w:r>
              <w:tab/>
            </w:r>
            <w:r>
              <w:tab/>
            </w:r>
            <w:r>
              <w:tab/>
            </w:r>
            <w:r>
              <w:tab/>
            </w:r>
            <w:r>
              <w:tab/>
            </w:r>
            <w:r>
              <w:tab/>
            </w:r>
            <w:r>
              <w:tab/>
            </w:r>
            <w:r>
              <w:tab/>
            </w:r>
            <w:r>
              <w:tab/>
            </w:r>
            <w:r>
              <w:tab/>
            </w:r>
          </w:p>
          <w:p>
            <w:pPr>
              <w:pStyle w:val="13"/>
            </w:pPr>
          </w:p>
          <w:p>
            <w:pPr>
              <w:pStyle w:val="13"/>
            </w:pPr>
            <w:r>
              <w:t>2.通过采集属地网络资源及发布内容，摸清属地网络资源数量及发布内容本底，实现对本属地网络资源的全面监控，管理无忧，专项排查，实时预警。</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监测范围类别</w:t>
            </w:r>
          </w:p>
        </w:tc>
        <w:tc>
          <w:tcPr>
            <w:tcW w:w="5386" w:type="dxa"/>
            <w:vAlign w:val="center"/>
          </w:tcPr>
          <w:p>
            <w:pPr>
              <w:pStyle w:val="13"/>
            </w:pPr>
            <w:r>
              <w:t>监测排查的网络覆盖范围类别</w:t>
            </w:r>
          </w:p>
        </w:tc>
        <w:tc>
          <w:tcPr>
            <w:tcW w:w="2268" w:type="dxa"/>
            <w:vAlign w:val="center"/>
          </w:tcPr>
          <w:p>
            <w:pPr>
              <w:pStyle w:val="13"/>
            </w:pPr>
            <w:r>
              <w:t>≥3类</w:t>
            </w:r>
          </w:p>
        </w:tc>
        <w:tc>
          <w:tcPr>
            <w:tcW w:w="1276" w:type="dxa"/>
            <w:vAlign w:val="center"/>
          </w:tcPr>
          <w:p>
            <w:pPr>
              <w:pStyle w:val="13"/>
            </w:pPr>
            <w:r>
              <w:t>市领导关于网络综合治理平台系统的批示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监测排查准确率</w:t>
            </w:r>
          </w:p>
        </w:tc>
        <w:tc>
          <w:tcPr>
            <w:tcW w:w="5386" w:type="dxa"/>
            <w:vAlign w:val="center"/>
          </w:tcPr>
          <w:p>
            <w:pPr>
              <w:pStyle w:val="13"/>
            </w:pPr>
            <w:r>
              <w:t>监测排查准确率</w:t>
            </w:r>
          </w:p>
        </w:tc>
        <w:tc>
          <w:tcPr>
            <w:tcW w:w="2268" w:type="dxa"/>
            <w:vAlign w:val="center"/>
          </w:tcPr>
          <w:p>
            <w:pPr>
              <w:pStyle w:val="13"/>
            </w:pPr>
            <w:r>
              <w:t>100%</w:t>
            </w:r>
          </w:p>
        </w:tc>
        <w:tc>
          <w:tcPr>
            <w:tcW w:w="1276" w:type="dxa"/>
            <w:vAlign w:val="center"/>
          </w:tcPr>
          <w:p>
            <w:pPr>
              <w:pStyle w:val="13"/>
            </w:pPr>
            <w:r>
              <w:t>市领导关于网络综合治理平台系统的批示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业务处理及时率</w:t>
            </w:r>
          </w:p>
        </w:tc>
        <w:tc>
          <w:tcPr>
            <w:tcW w:w="5386" w:type="dxa"/>
            <w:vAlign w:val="center"/>
          </w:tcPr>
          <w:p>
            <w:pPr>
              <w:pStyle w:val="13"/>
            </w:pPr>
            <w:r>
              <w:t>及时处理的业务占总业务量的比率</w:t>
            </w:r>
          </w:p>
        </w:tc>
        <w:tc>
          <w:tcPr>
            <w:tcW w:w="2268" w:type="dxa"/>
            <w:vAlign w:val="center"/>
          </w:tcPr>
          <w:p>
            <w:pPr>
              <w:pStyle w:val="13"/>
            </w:pPr>
            <w:r>
              <w:t>100%</w:t>
            </w:r>
          </w:p>
        </w:tc>
        <w:tc>
          <w:tcPr>
            <w:tcW w:w="1276" w:type="dxa"/>
            <w:vAlign w:val="center"/>
          </w:tcPr>
          <w:p>
            <w:pPr>
              <w:pStyle w:val="13"/>
            </w:pPr>
            <w:r>
              <w:t>市领导关于网络综合治理平台系统的批示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项目资金预算控制数</w:t>
            </w:r>
          </w:p>
        </w:tc>
        <w:tc>
          <w:tcPr>
            <w:tcW w:w="2268" w:type="dxa"/>
            <w:vAlign w:val="center"/>
          </w:tcPr>
          <w:p>
            <w:pPr>
              <w:pStyle w:val="13"/>
            </w:pPr>
            <w:r>
              <w:t>≤14万元</w:t>
            </w:r>
          </w:p>
        </w:tc>
        <w:tc>
          <w:tcPr>
            <w:tcW w:w="1276" w:type="dxa"/>
            <w:vAlign w:val="center"/>
          </w:tcPr>
          <w:p>
            <w:pPr>
              <w:pStyle w:val="13"/>
            </w:pPr>
            <w:r>
              <w:t>市领导关于网络综合治理平台系统的批示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高新技术应用率</w:t>
            </w:r>
          </w:p>
        </w:tc>
        <w:tc>
          <w:tcPr>
            <w:tcW w:w="5386" w:type="dxa"/>
            <w:vAlign w:val="center"/>
          </w:tcPr>
          <w:p>
            <w:pPr>
              <w:pStyle w:val="13"/>
            </w:pPr>
            <w:r>
              <w:t>大数据分析及图形处理等技术手段应用率</w:t>
            </w:r>
          </w:p>
        </w:tc>
        <w:tc>
          <w:tcPr>
            <w:tcW w:w="2268" w:type="dxa"/>
            <w:vAlign w:val="center"/>
          </w:tcPr>
          <w:p>
            <w:pPr>
              <w:pStyle w:val="13"/>
            </w:pPr>
            <w:r>
              <w:t>100%</w:t>
            </w:r>
          </w:p>
        </w:tc>
        <w:tc>
          <w:tcPr>
            <w:tcW w:w="1276" w:type="dxa"/>
            <w:vAlign w:val="center"/>
          </w:tcPr>
          <w:p>
            <w:pPr>
              <w:pStyle w:val="13"/>
            </w:pPr>
            <w:r>
              <w:t>市领导关于网络综合治理平台系统的批示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2、网信办网络安全保障经费绩效目标表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13018326P00032810417L</w:t>
            </w:r>
          </w:p>
        </w:tc>
        <w:tc>
          <w:tcPr>
            <w:tcW w:w="2835" w:type="dxa"/>
            <w:vAlign w:val="center"/>
          </w:tcPr>
          <w:p>
            <w:pPr>
              <w:pStyle w:val="11"/>
            </w:pPr>
            <w:r>
              <w:t>项目名称</w:t>
            </w:r>
          </w:p>
        </w:tc>
        <w:tc>
          <w:tcPr>
            <w:tcW w:w="6095" w:type="dxa"/>
            <w:gridSpan w:val="3"/>
            <w:vAlign w:val="center"/>
          </w:tcPr>
          <w:p>
            <w:pPr>
              <w:pStyle w:val="13"/>
            </w:pPr>
            <w:r>
              <w:t>网信办网络安全保障经费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29.50</w:t>
            </w:r>
          </w:p>
        </w:tc>
        <w:tc>
          <w:tcPr>
            <w:tcW w:w="2835" w:type="dxa"/>
            <w:vAlign w:val="center"/>
          </w:tcPr>
          <w:p>
            <w:pPr>
              <w:pStyle w:val="11"/>
            </w:pPr>
            <w:r>
              <w:t>其中：财政    资金</w:t>
            </w:r>
          </w:p>
        </w:tc>
        <w:tc>
          <w:tcPr>
            <w:tcW w:w="2551" w:type="dxa"/>
            <w:vAlign w:val="center"/>
          </w:tcPr>
          <w:p>
            <w:pPr>
              <w:pStyle w:val="13"/>
            </w:pPr>
            <w:r>
              <w:t>29.50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全市网络和信息系统进行全面安全检查检测，开展网络安全责任制督导、互联网网站安全整治、重要数据安全隐患排查整改、公共区域LED屏幕整治、国家网络安全周宣传教育等一系列网络安全防护专项行动，以及云视频接入服务费、政务外网专线接入费等网信体系指挥系统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1.开展网络安全责任制督导、互联网网站安全整治等一系列网络安全防护专项行动，切实加强重点领域网络安全防护</w:t>
            </w:r>
          </w:p>
          <w:p>
            <w:pPr>
              <w:pStyle w:val="13"/>
            </w:pPr>
            <w:r>
              <w:t>2.开展网络安全应急能力提升行动：加强监测预警和通报处置，做好应急响应准备，保障网络和信息系统安全稳定运行</w:t>
            </w:r>
          </w:p>
          <w:p>
            <w:pPr>
              <w:pStyle w:val="13"/>
            </w:pPr>
            <w:r>
              <w:t>3.对我市重点网站、关键信息基础设施等进行全面检查检测，形成网络安全风险评估报告和问题隐患总结报告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检查检测设施数量</w:t>
            </w:r>
          </w:p>
        </w:tc>
        <w:tc>
          <w:tcPr>
            <w:tcW w:w="5386" w:type="dxa"/>
            <w:vAlign w:val="center"/>
          </w:tcPr>
          <w:p>
            <w:pPr>
              <w:pStyle w:val="13"/>
            </w:pPr>
            <w:r>
              <w:t>检查检测我市重点网站、关键信息基础设施数量</w:t>
            </w:r>
          </w:p>
        </w:tc>
        <w:tc>
          <w:tcPr>
            <w:tcW w:w="2268" w:type="dxa"/>
            <w:vAlign w:val="center"/>
          </w:tcPr>
          <w:p>
            <w:pPr>
              <w:pStyle w:val="13"/>
            </w:pPr>
            <w:r>
              <w:t>≥20家</w:t>
            </w:r>
          </w:p>
        </w:tc>
        <w:tc>
          <w:tcPr>
            <w:tcW w:w="1276" w:type="dxa"/>
            <w:vAlign w:val="center"/>
          </w:tcPr>
          <w:p>
            <w:pPr>
              <w:pStyle w:val="13"/>
            </w:pPr>
            <w:r>
              <w:t>市领导关于网络安全保障经费的批示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检测问题回查率</w:t>
            </w:r>
          </w:p>
        </w:tc>
        <w:tc>
          <w:tcPr>
            <w:tcW w:w="5386" w:type="dxa"/>
            <w:vAlign w:val="center"/>
          </w:tcPr>
          <w:p>
            <w:pPr>
              <w:pStyle w:val="13"/>
            </w:pPr>
            <w:r>
              <w:t xml:space="preserve"> 问题回查数量占发现问题数量之比 </w:t>
            </w:r>
          </w:p>
        </w:tc>
        <w:tc>
          <w:tcPr>
            <w:tcW w:w="2268" w:type="dxa"/>
            <w:vAlign w:val="center"/>
          </w:tcPr>
          <w:p>
            <w:pPr>
              <w:pStyle w:val="13"/>
            </w:pPr>
            <w:r>
              <w:t>≤10%</w:t>
            </w:r>
          </w:p>
        </w:tc>
        <w:tc>
          <w:tcPr>
            <w:tcW w:w="1276" w:type="dxa"/>
            <w:vAlign w:val="center"/>
          </w:tcPr>
          <w:p>
            <w:pPr>
              <w:pStyle w:val="13"/>
            </w:pPr>
            <w:r>
              <w:t>市领导关于网络安全保障经费的批示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业务处理及时率</w:t>
            </w:r>
          </w:p>
        </w:tc>
        <w:tc>
          <w:tcPr>
            <w:tcW w:w="5386" w:type="dxa"/>
            <w:vAlign w:val="center"/>
          </w:tcPr>
          <w:p>
            <w:pPr>
              <w:pStyle w:val="13"/>
            </w:pPr>
            <w:r>
              <w:t>及时处理的业务占总业务量的比率</w:t>
            </w:r>
          </w:p>
        </w:tc>
        <w:tc>
          <w:tcPr>
            <w:tcW w:w="2268" w:type="dxa"/>
            <w:vAlign w:val="center"/>
          </w:tcPr>
          <w:p>
            <w:pPr>
              <w:pStyle w:val="13"/>
            </w:pPr>
            <w:r>
              <w:t>100%</w:t>
            </w:r>
          </w:p>
        </w:tc>
        <w:tc>
          <w:tcPr>
            <w:tcW w:w="1276" w:type="dxa"/>
            <w:vAlign w:val="center"/>
          </w:tcPr>
          <w:p>
            <w:pPr>
              <w:pStyle w:val="13"/>
            </w:pPr>
            <w:r>
              <w:t>市领导关于网络安全保障经费的批示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≤29.5万元</w:t>
            </w:r>
          </w:p>
        </w:tc>
        <w:tc>
          <w:tcPr>
            <w:tcW w:w="1276" w:type="dxa"/>
            <w:vAlign w:val="center"/>
          </w:tcPr>
          <w:p>
            <w:pPr>
              <w:pStyle w:val="13"/>
            </w:pPr>
            <w:r>
              <w:t>市领导关于网络安全保障经费的批示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视频化应用率</w:t>
            </w:r>
          </w:p>
        </w:tc>
        <w:tc>
          <w:tcPr>
            <w:tcW w:w="5386" w:type="dxa"/>
            <w:vAlign w:val="center"/>
          </w:tcPr>
          <w:p>
            <w:pPr>
              <w:pStyle w:val="13"/>
            </w:pPr>
            <w:r>
              <w:t>作战指挥体系视频化应用率</w:t>
            </w:r>
          </w:p>
        </w:tc>
        <w:tc>
          <w:tcPr>
            <w:tcW w:w="2268" w:type="dxa"/>
            <w:vAlign w:val="center"/>
          </w:tcPr>
          <w:p>
            <w:pPr>
              <w:pStyle w:val="13"/>
            </w:pPr>
            <w:r>
              <w:t>100%</w:t>
            </w:r>
          </w:p>
        </w:tc>
        <w:tc>
          <w:tcPr>
            <w:tcW w:w="1276" w:type="dxa"/>
            <w:vAlign w:val="center"/>
          </w:tcPr>
          <w:p>
            <w:pPr>
              <w:pStyle w:val="13"/>
            </w:pPr>
            <w:r>
              <w:t>市领导关于网络安全保障经费的批示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3、网信办网络宣传经费绩效目标表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13018326P000328104188</w:t>
            </w:r>
          </w:p>
        </w:tc>
        <w:tc>
          <w:tcPr>
            <w:tcW w:w="2835" w:type="dxa"/>
            <w:vAlign w:val="center"/>
          </w:tcPr>
          <w:p>
            <w:pPr>
              <w:pStyle w:val="11"/>
            </w:pPr>
            <w:r>
              <w:t>项目名称</w:t>
            </w:r>
          </w:p>
        </w:tc>
        <w:tc>
          <w:tcPr>
            <w:tcW w:w="6095" w:type="dxa"/>
            <w:gridSpan w:val="3"/>
            <w:vAlign w:val="center"/>
          </w:tcPr>
          <w:p>
            <w:pPr>
              <w:pStyle w:val="13"/>
            </w:pPr>
            <w:r>
              <w:t>网信办网络宣传经费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与中国网、网易、中青网、澎湃、一点资讯等多家网络媒体的合作，宣传晋州推介晋州，拓展网络宣传渠道，引导正面舆论宣传，营造积极健康的网络舆论环境，以及用于拍摄短视频、微电影，制作H5，组织网络征文活动等，引导创作生产互联网传播产品，并对互联网传播精品给予重点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1.组织指导互联网行业自律，引导我市互联网传播产品滋养网络、滋养人心、滋养社会，树立晋州对外美好形象，进一步提升晋州美誉度</w:t>
            </w:r>
          </w:p>
          <w:p>
            <w:pPr>
              <w:pStyle w:val="13"/>
            </w:pPr>
            <w:r>
              <w:t>2.宣传推介晋州各条战线取得的成就，宣传推介好经验好做法，引导正面舆论宣传，为各项事业发展营造良好舆论环境</w:t>
            </w:r>
          </w:p>
          <w:p>
            <w:pPr>
              <w:pStyle w:val="13"/>
            </w:pPr>
            <w:r>
              <w:t>3.协调全市网络社会工作，繁荣发展具有晋州特色的正能量网络文化，推动网络文明建设，发展联系服务网络社会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开展特色主题宣传活动次数</w:t>
            </w:r>
          </w:p>
        </w:tc>
        <w:tc>
          <w:tcPr>
            <w:tcW w:w="2268" w:type="dxa"/>
            <w:vAlign w:val="center"/>
          </w:tcPr>
          <w:p>
            <w:pPr>
              <w:pStyle w:val="13"/>
            </w:pPr>
            <w:r>
              <w:t>≥4次</w:t>
            </w:r>
          </w:p>
        </w:tc>
        <w:tc>
          <w:tcPr>
            <w:tcW w:w="1276" w:type="dxa"/>
            <w:vAlign w:val="center"/>
          </w:tcPr>
          <w:p>
            <w:pPr>
              <w:pStyle w:val="13"/>
            </w:pPr>
            <w:r>
              <w:t>市领导关于网络宣传经费的批示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宣传活动区域覆盖率</w:t>
            </w:r>
          </w:p>
        </w:tc>
        <w:tc>
          <w:tcPr>
            <w:tcW w:w="5386" w:type="dxa"/>
            <w:vAlign w:val="center"/>
          </w:tcPr>
          <w:p>
            <w:pPr>
              <w:pStyle w:val="13"/>
            </w:pPr>
            <w:r>
              <w:t>宣传活动区域覆盖率</w:t>
            </w:r>
          </w:p>
        </w:tc>
        <w:tc>
          <w:tcPr>
            <w:tcW w:w="2268" w:type="dxa"/>
            <w:vAlign w:val="center"/>
          </w:tcPr>
          <w:p>
            <w:pPr>
              <w:pStyle w:val="13"/>
            </w:pPr>
            <w:r>
              <w:t>≥95%</w:t>
            </w:r>
          </w:p>
        </w:tc>
        <w:tc>
          <w:tcPr>
            <w:tcW w:w="1276" w:type="dxa"/>
            <w:vAlign w:val="center"/>
          </w:tcPr>
          <w:p>
            <w:pPr>
              <w:pStyle w:val="13"/>
            </w:pPr>
            <w:r>
              <w:t>市领导关于网络宣传经费的批示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报道及时率</w:t>
            </w:r>
          </w:p>
        </w:tc>
        <w:tc>
          <w:tcPr>
            <w:tcW w:w="5386" w:type="dxa"/>
            <w:vAlign w:val="center"/>
          </w:tcPr>
          <w:p>
            <w:pPr>
              <w:pStyle w:val="13"/>
            </w:pPr>
            <w:r>
              <w:t>及时报道的图文稿件占报道稿件总量的百分比</w:t>
            </w:r>
          </w:p>
        </w:tc>
        <w:tc>
          <w:tcPr>
            <w:tcW w:w="2268" w:type="dxa"/>
            <w:vAlign w:val="center"/>
          </w:tcPr>
          <w:p>
            <w:pPr>
              <w:pStyle w:val="13"/>
            </w:pPr>
            <w:r>
              <w:t>100%</w:t>
            </w:r>
          </w:p>
        </w:tc>
        <w:tc>
          <w:tcPr>
            <w:tcW w:w="1276" w:type="dxa"/>
            <w:vAlign w:val="center"/>
          </w:tcPr>
          <w:p>
            <w:pPr>
              <w:pStyle w:val="13"/>
            </w:pPr>
            <w:r>
              <w:t>市领导关于网络宣传经费的批示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≤5万元</w:t>
            </w:r>
          </w:p>
        </w:tc>
        <w:tc>
          <w:tcPr>
            <w:tcW w:w="1276" w:type="dxa"/>
            <w:vAlign w:val="center"/>
          </w:tcPr>
          <w:p>
            <w:pPr>
              <w:pStyle w:val="13"/>
            </w:pPr>
            <w:r>
              <w:t>市领导关于网络宣传经费的批示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高新技术应用率</w:t>
            </w:r>
          </w:p>
        </w:tc>
        <w:tc>
          <w:tcPr>
            <w:tcW w:w="5386" w:type="dxa"/>
            <w:vAlign w:val="center"/>
          </w:tcPr>
          <w:p>
            <w:pPr>
              <w:pStyle w:val="13"/>
            </w:pPr>
            <w:r>
              <w:t>高新技术应用率</w:t>
            </w:r>
          </w:p>
        </w:tc>
        <w:tc>
          <w:tcPr>
            <w:tcW w:w="2268" w:type="dxa"/>
            <w:vAlign w:val="center"/>
          </w:tcPr>
          <w:p>
            <w:pPr>
              <w:pStyle w:val="13"/>
            </w:pPr>
            <w:r>
              <w:t>≥95%</w:t>
            </w:r>
          </w:p>
        </w:tc>
        <w:tc>
          <w:tcPr>
            <w:tcW w:w="1276" w:type="dxa"/>
            <w:vAlign w:val="center"/>
          </w:tcPr>
          <w:p>
            <w:pPr>
              <w:pStyle w:val="13"/>
            </w:pPr>
            <w:r>
              <w:t>市领导关于网络宣传经费的批示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调查中满意和较满意的人数占调查总人数的比例</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4、网信办舆情监测经费绩效目标表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13018326P000328104207</w:t>
            </w:r>
          </w:p>
        </w:tc>
        <w:tc>
          <w:tcPr>
            <w:tcW w:w="2835" w:type="dxa"/>
            <w:vAlign w:val="center"/>
          </w:tcPr>
          <w:p>
            <w:pPr>
              <w:pStyle w:val="11"/>
            </w:pPr>
            <w:r>
              <w:t>项目名称</w:t>
            </w:r>
          </w:p>
        </w:tc>
        <w:tc>
          <w:tcPr>
            <w:tcW w:w="6095" w:type="dxa"/>
            <w:gridSpan w:val="3"/>
            <w:vAlign w:val="center"/>
          </w:tcPr>
          <w:p>
            <w:pPr>
              <w:pStyle w:val="13"/>
            </w:pPr>
            <w:r>
              <w:t>网信办舆情监测经费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w:t>
            </w:r>
          </w:p>
        </w:tc>
        <w:tc>
          <w:tcPr>
            <w:tcW w:w="2835" w:type="dxa"/>
            <w:vAlign w:val="center"/>
          </w:tcPr>
          <w:p>
            <w:pPr>
              <w:pStyle w:val="11"/>
            </w:pPr>
            <w:r>
              <w:t>其中：财政    资金</w:t>
            </w:r>
          </w:p>
        </w:tc>
        <w:tc>
          <w:tcPr>
            <w:tcW w:w="2551" w:type="dxa"/>
            <w:vAlign w:val="center"/>
          </w:tcPr>
          <w:p>
            <w:pPr>
              <w:pStyle w:val="13"/>
            </w:pPr>
            <w:r>
              <w:t>16.50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用于选定购买基于网络舆情监测并推送用户的《舆情秘书服务系统V3.0》，使用接收《舆情秘书服务系统V3.0》手机端及PC端推送的信息监测舆情。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1.对重点网络舆情事件进行分析研判，把握正确导向，为全市经济社会发展提供有力舆论支持</w:t>
            </w:r>
          </w:p>
          <w:p>
            <w:pPr>
              <w:pStyle w:val="13"/>
            </w:pPr>
            <w:r>
              <w:t>2.提高舆情研判能力和信息服务水平，及时化解妥善处理负面舆情，正确引导社会心态</w:t>
            </w:r>
          </w:p>
          <w:p>
            <w:pPr>
              <w:pStyle w:val="13"/>
            </w:pPr>
            <w:r>
              <w:t>3.实时扫描全国性新闻门户网站、行业类网站和区域类重点媒体以及小火山、微博等新兴媒体，收集舆情信息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舆情监测时长</w:t>
            </w:r>
          </w:p>
        </w:tc>
        <w:tc>
          <w:tcPr>
            <w:tcW w:w="5386" w:type="dxa"/>
            <w:vAlign w:val="center"/>
          </w:tcPr>
          <w:p>
            <w:pPr>
              <w:pStyle w:val="13"/>
            </w:pPr>
            <w:r>
              <w:t>实时进行舆情监测的时长</w:t>
            </w:r>
          </w:p>
        </w:tc>
        <w:tc>
          <w:tcPr>
            <w:tcW w:w="2268" w:type="dxa"/>
            <w:vAlign w:val="center"/>
          </w:tcPr>
          <w:p>
            <w:pPr>
              <w:pStyle w:val="13"/>
            </w:pPr>
            <w:r>
              <w:t>≥16小时/天</w:t>
            </w:r>
          </w:p>
        </w:tc>
        <w:tc>
          <w:tcPr>
            <w:tcW w:w="1276" w:type="dxa"/>
            <w:vAlign w:val="center"/>
          </w:tcPr>
          <w:p>
            <w:pPr>
              <w:pStyle w:val="13"/>
            </w:pPr>
            <w:r>
              <w:t>市领导关于舆情监测经费的批示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领导批示舆情交办率</w:t>
            </w:r>
          </w:p>
        </w:tc>
        <w:tc>
          <w:tcPr>
            <w:tcW w:w="5386" w:type="dxa"/>
            <w:vAlign w:val="center"/>
          </w:tcPr>
          <w:p>
            <w:pPr>
              <w:pStyle w:val="13"/>
            </w:pPr>
            <w:r>
              <w:t>对舆情批示的转发数量占所有舆情批示数量比例</w:t>
            </w:r>
          </w:p>
        </w:tc>
        <w:tc>
          <w:tcPr>
            <w:tcW w:w="2268" w:type="dxa"/>
            <w:vAlign w:val="center"/>
          </w:tcPr>
          <w:p>
            <w:pPr>
              <w:pStyle w:val="13"/>
            </w:pPr>
            <w:r>
              <w:t>100％</w:t>
            </w:r>
          </w:p>
        </w:tc>
        <w:tc>
          <w:tcPr>
            <w:tcW w:w="1276" w:type="dxa"/>
            <w:vAlign w:val="center"/>
          </w:tcPr>
          <w:p>
            <w:pPr>
              <w:pStyle w:val="13"/>
            </w:pPr>
            <w:r>
              <w:t>市领导关于舆情监测经费的批示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100%</w:t>
            </w:r>
          </w:p>
        </w:tc>
        <w:tc>
          <w:tcPr>
            <w:tcW w:w="1276" w:type="dxa"/>
            <w:vAlign w:val="center"/>
          </w:tcPr>
          <w:p>
            <w:pPr>
              <w:pStyle w:val="13"/>
            </w:pPr>
            <w:r>
              <w:t>市领导关于舆情监测经费的批示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≤16.5万元</w:t>
            </w:r>
          </w:p>
        </w:tc>
        <w:tc>
          <w:tcPr>
            <w:tcW w:w="1276" w:type="dxa"/>
            <w:vAlign w:val="center"/>
          </w:tcPr>
          <w:p>
            <w:pPr>
              <w:pStyle w:val="13"/>
            </w:pPr>
            <w:r>
              <w:t>市领导关于舆情监测经费的批示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重大舆情事件反馈及时率</w:t>
            </w:r>
          </w:p>
        </w:tc>
        <w:tc>
          <w:tcPr>
            <w:tcW w:w="5386" w:type="dxa"/>
            <w:vAlign w:val="center"/>
          </w:tcPr>
          <w:p>
            <w:pPr>
              <w:pStyle w:val="13"/>
            </w:pPr>
            <w:r>
              <w:t>重大舆情事件反馈及时率</w:t>
            </w:r>
          </w:p>
        </w:tc>
        <w:tc>
          <w:tcPr>
            <w:tcW w:w="2268" w:type="dxa"/>
            <w:vAlign w:val="center"/>
          </w:tcPr>
          <w:p>
            <w:pPr>
              <w:pStyle w:val="13"/>
            </w:pPr>
            <w:r>
              <w:t>100%</w:t>
            </w:r>
          </w:p>
        </w:tc>
        <w:tc>
          <w:tcPr>
            <w:tcW w:w="1276" w:type="dxa"/>
            <w:vAlign w:val="center"/>
          </w:tcPr>
          <w:p>
            <w:pPr>
              <w:pStyle w:val="13"/>
            </w:pPr>
            <w:r>
              <w:t>市领导关于舆情监测经费的批示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调查中满意和较满意的人数占调查总人数的比例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0.99</w:t>
            </w:r>
          </w:p>
        </w:tc>
        <w:tc>
          <w:tcPr>
            <w:tcW w:w="964" w:type="dxa"/>
            <w:vAlign w:val="center"/>
          </w:tcPr>
          <w:p>
            <w:pPr>
              <w:pStyle w:val="16"/>
            </w:pPr>
            <w:r>
              <w:t>0.99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中共晋州市委网络安全和信息化委员会办公室本级小计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0.99</w:t>
            </w:r>
          </w:p>
        </w:tc>
        <w:tc>
          <w:tcPr>
            <w:tcW w:w="964" w:type="dxa"/>
            <w:vAlign w:val="center"/>
          </w:tcPr>
          <w:p>
            <w:pPr>
              <w:pStyle w:val="16"/>
            </w:pPr>
            <w:r>
              <w:t>0.99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7.60</w:t>
            </w:r>
          </w:p>
        </w:tc>
        <w:tc>
          <w:tcPr>
            <w:tcW w:w="1134" w:type="dxa"/>
            <w:vAlign w:val="center"/>
          </w:tcPr>
          <w:p>
            <w:pPr>
              <w:pStyle w:val="13"/>
            </w:pPr>
            <w:r>
              <w:t>终端机</w:t>
            </w:r>
          </w:p>
        </w:tc>
        <w:tc>
          <w:tcPr>
            <w:tcW w:w="1134" w:type="dxa"/>
            <w:vAlign w:val="center"/>
          </w:tcPr>
          <w:p>
            <w:pPr>
              <w:pStyle w:val="13"/>
            </w:pPr>
            <w:r>
              <w:t>A02010402</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7.60</w:t>
            </w:r>
          </w:p>
        </w:tc>
        <w:tc>
          <w:tcPr>
            <w:tcW w:w="1134" w:type="dxa"/>
            <w:vAlign w:val="center"/>
          </w:tcPr>
          <w:p>
            <w:pPr>
              <w:pStyle w:val="13"/>
            </w:pPr>
            <w:r>
              <w:t>调湿调温机</w:t>
            </w:r>
          </w:p>
        </w:tc>
        <w:tc>
          <w:tcPr>
            <w:tcW w:w="1134" w:type="dxa"/>
            <w:vAlign w:val="center"/>
          </w:tcPr>
          <w:p>
            <w:pPr>
              <w:pStyle w:val="13"/>
            </w:pPr>
            <w:r>
              <w:t>A02061809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7.60</w:t>
            </w:r>
          </w:p>
        </w:tc>
        <w:tc>
          <w:tcPr>
            <w:tcW w:w="1134" w:type="dxa"/>
            <w:vAlign w:val="center"/>
          </w:tcPr>
          <w:p>
            <w:pPr>
              <w:pStyle w:val="13"/>
            </w:pPr>
            <w:r>
              <w:t>纸及纸板</w:t>
            </w:r>
          </w:p>
        </w:tc>
        <w:tc>
          <w:tcPr>
            <w:tcW w:w="1134" w:type="dxa"/>
            <w:vAlign w:val="center"/>
          </w:tcPr>
          <w:p>
            <w:pPr>
              <w:pStyle w:val="13"/>
            </w:pPr>
            <w:r>
              <w:t>A07100200</w:t>
            </w:r>
          </w:p>
        </w:tc>
        <w:tc>
          <w:tcPr>
            <w:tcW w:w="709" w:type="dxa"/>
            <w:vAlign w:val="center"/>
          </w:tcPr>
          <w:p>
            <w:pPr>
              <w:pStyle w:val="14"/>
            </w:pPr>
            <w:r>
              <w:t>箱</w:t>
            </w:r>
          </w:p>
        </w:tc>
        <w:tc>
          <w:tcPr>
            <w:tcW w:w="850" w:type="dxa"/>
            <w:vAlign w:val="center"/>
          </w:tcPr>
          <w:p>
            <w:pPr>
              <w:pStyle w:val="12"/>
            </w:pPr>
            <w:r>
              <w:t>12</w:t>
            </w:r>
          </w:p>
        </w:tc>
        <w:tc>
          <w:tcPr>
            <w:tcW w:w="850" w:type="dxa"/>
            <w:vAlign w:val="center"/>
          </w:tcPr>
          <w:p>
            <w:pPr>
              <w:pStyle w:val="12"/>
            </w:pPr>
            <w:r>
              <w:t>0.02</w:t>
            </w:r>
          </w:p>
        </w:tc>
        <w:tc>
          <w:tcPr>
            <w:tcW w:w="964" w:type="dxa"/>
            <w:vAlign w:val="center"/>
          </w:tcPr>
          <w:p>
            <w:pPr>
              <w:pStyle w:val="12"/>
            </w:pPr>
            <w:r>
              <w:t>0.19</w:t>
            </w:r>
          </w:p>
        </w:tc>
        <w:tc>
          <w:tcPr>
            <w:tcW w:w="964" w:type="dxa"/>
            <w:vAlign w:val="center"/>
          </w:tcPr>
          <w:p>
            <w:pPr>
              <w:pStyle w:val="12"/>
            </w:pPr>
            <w:r>
              <w:t>0.19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中共晋州市委网络安全和信息化委员会办公室（含所属单位）上年末固定资产金额为57.70万元（详见下表）。本年度拟购置固定资产总额为0.00万元，已按要求列入政府采购预算，详见政府采购预算表。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224中共晋州市委网络安全和信息化委员会办公室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273</w:t>
            </w:r>
          </w:p>
        </w:tc>
        <w:tc>
          <w:tcPr>
            <w:tcW w:w="2835" w:type="dxa"/>
            <w:vAlign w:val="center"/>
          </w:tcPr>
          <w:p>
            <w:pPr>
              <w:pStyle w:val="12"/>
            </w:pPr>
            <w:r>
              <w:t>41.40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43D489"/>
    <w:multiLevelType w:val="singleLevel"/>
    <w:tmpl w:val="2243D48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49011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2026-03-02T08:37:00Z</dcterms:created>
  <dc:creator>Administrator</dc:creator>
  <cp:lastModifiedBy>Administrator</cp:lastModifiedBy>
  <dcterms:modified xsi:type="dcterms:W3CDTF">2026-03-02T03:02:00Z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