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225中共晋州市委机构编制委员会办公室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297.58</w:t>
            </w:r>
          </w:p>
        </w:tc>
        <w:tc>
          <w:tcPr>
            <w:tcW w:w="4535" w:type="dxa"/>
            <w:vAlign w:val="center"/>
          </w:tcPr>
          <w:p>
            <w:pPr>
              <w:pStyle w:val="13"/>
            </w:pPr>
            <w:r>
              <w:t>一、一般公共服务支出</w:t>
            </w:r>
          </w:p>
        </w:tc>
        <w:tc>
          <w:tcPr>
            <w:tcW w:w="2126" w:type="dxa"/>
            <w:vAlign w:val="center"/>
          </w:tcPr>
          <w:p>
            <w:pPr>
              <w:pStyle w:val="12"/>
            </w:pPr>
            <w:r>
              <w:t>297.58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297.58</w:t>
            </w:r>
          </w:p>
        </w:tc>
        <w:tc>
          <w:tcPr>
            <w:tcW w:w="4535" w:type="dxa"/>
            <w:vAlign w:val="center"/>
          </w:tcPr>
          <w:p>
            <w:pPr>
              <w:pStyle w:val="15"/>
            </w:pPr>
            <w:r>
              <w:t>本年支出合计</w:t>
            </w:r>
          </w:p>
        </w:tc>
        <w:tc>
          <w:tcPr>
            <w:tcW w:w="2126" w:type="dxa"/>
            <w:vAlign w:val="center"/>
          </w:tcPr>
          <w:p>
            <w:pPr>
              <w:pStyle w:val="16"/>
            </w:pPr>
            <w:r>
              <w:t>297.58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297.58</w:t>
            </w:r>
          </w:p>
        </w:tc>
        <w:tc>
          <w:tcPr>
            <w:tcW w:w="4535" w:type="dxa"/>
            <w:vAlign w:val="center"/>
          </w:tcPr>
          <w:p>
            <w:pPr>
              <w:pStyle w:val="15"/>
            </w:pPr>
            <w:r>
              <w:t>支出总计</w:t>
            </w:r>
          </w:p>
        </w:tc>
        <w:tc>
          <w:tcPr>
            <w:tcW w:w="2126" w:type="dxa"/>
            <w:vAlign w:val="center"/>
          </w:tcPr>
          <w:p>
            <w:pPr>
              <w:pStyle w:val="16"/>
            </w:pPr>
            <w:r>
              <w:t>297.58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225中共晋州市委机构编制委员会办公室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297.58</w:t>
            </w:r>
          </w:p>
        </w:tc>
        <w:tc>
          <w:tcPr>
            <w:tcW w:w="1134" w:type="dxa"/>
            <w:vAlign w:val="center"/>
          </w:tcPr>
          <w:p>
            <w:pPr>
              <w:pStyle w:val="16"/>
            </w:pPr>
            <w:r>
              <w:t>297.58</w:t>
            </w:r>
          </w:p>
        </w:tc>
        <w:tc>
          <w:tcPr>
            <w:tcW w:w="1134" w:type="dxa"/>
            <w:vAlign w:val="center"/>
          </w:tcPr>
          <w:p>
            <w:pPr>
              <w:pStyle w:val="16"/>
            </w:pPr>
            <w:r>
              <w:t>297.58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297.58</w:t>
            </w:r>
          </w:p>
        </w:tc>
        <w:tc>
          <w:tcPr>
            <w:tcW w:w="1134" w:type="dxa"/>
            <w:vAlign w:val="center"/>
          </w:tcPr>
          <w:p>
            <w:pPr>
              <w:pStyle w:val="12"/>
            </w:pPr>
            <w:r>
              <w:t>297.58</w:t>
            </w:r>
          </w:p>
        </w:tc>
        <w:tc>
          <w:tcPr>
            <w:tcW w:w="1134" w:type="dxa"/>
            <w:vAlign w:val="center"/>
          </w:tcPr>
          <w:p>
            <w:pPr>
              <w:pStyle w:val="12"/>
            </w:pPr>
            <w:r>
              <w:t>297.58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20136</w:t>
            </w:r>
          </w:p>
        </w:tc>
        <w:tc>
          <w:tcPr>
            <w:tcW w:w="1559" w:type="dxa"/>
            <w:vAlign w:val="center"/>
          </w:tcPr>
          <w:p>
            <w:pPr>
              <w:pStyle w:val="13"/>
            </w:pPr>
            <w:r>
              <w:t>其他共产党事务支出</w:t>
            </w:r>
          </w:p>
        </w:tc>
        <w:tc>
          <w:tcPr>
            <w:tcW w:w="1134" w:type="dxa"/>
            <w:vAlign w:val="center"/>
          </w:tcPr>
          <w:p>
            <w:pPr>
              <w:pStyle w:val="12"/>
            </w:pPr>
            <w:r>
              <w:t>297.58</w:t>
            </w:r>
          </w:p>
        </w:tc>
        <w:tc>
          <w:tcPr>
            <w:tcW w:w="1134" w:type="dxa"/>
            <w:vAlign w:val="center"/>
          </w:tcPr>
          <w:p>
            <w:pPr>
              <w:pStyle w:val="12"/>
            </w:pPr>
            <w:r>
              <w:t>297.58</w:t>
            </w:r>
          </w:p>
        </w:tc>
        <w:tc>
          <w:tcPr>
            <w:tcW w:w="1134" w:type="dxa"/>
            <w:vAlign w:val="center"/>
          </w:tcPr>
          <w:p>
            <w:pPr>
              <w:pStyle w:val="12"/>
            </w:pPr>
            <w:r>
              <w:t>297.58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2013601</w:t>
            </w:r>
          </w:p>
        </w:tc>
        <w:tc>
          <w:tcPr>
            <w:tcW w:w="1559" w:type="dxa"/>
            <w:vAlign w:val="center"/>
          </w:tcPr>
          <w:p>
            <w:pPr>
              <w:pStyle w:val="13"/>
            </w:pPr>
            <w:r>
              <w:t>行政运行</w:t>
            </w:r>
          </w:p>
        </w:tc>
        <w:tc>
          <w:tcPr>
            <w:tcW w:w="1134" w:type="dxa"/>
            <w:vAlign w:val="center"/>
          </w:tcPr>
          <w:p>
            <w:pPr>
              <w:pStyle w:val="12"/>
            </w:pPr>
            <w:r>
              <w:t>277.58</w:t>
            </w:r>
          </w:p>
        </w:tc>
        <w:tc>
          <w:tcPr>
            <w:tcW w:w="1134" w:type="dxa"/>
            <w:vAlign w:val="center"/>
          </w:tcPr>
          <w:p>
            <w:pPr>
              <w:pStyle w:val="12"/>
            </w:pPr>
            <w:r>
              <w:t>277.58</w:t>
            </w:r>
          </w:p>
        </w:tc>
        <w:tc>
          <w:tcPr>
            <w:tcW w:w="1134" w:type="dxa"/>
            <w:vAlign w:val="center"/>
          </w:tcPr>
          <w:p>
            <w:pPr>
              <w:pStyle w:val="12"/>
            </w:pPr>
            <w:r>
              <w:t>277.58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2013602</w:t>
            </w:r>
          </w:p>
        </w:tc>
        <w:tc>
          <w:tcPr>
            <w:tcW w:w="1559" w:type="dxa"/>
            <w:vAlign w:val="center"/>
          </w:tcPr>
          <w:p>
            <w:pPr>
              <w:pStyle w:val="13"/>
            </w:pPr>
            <w:r>
              <w:t>一般行政管理事务</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225中共晋州市委机构编制委员会办公室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297.58</w:t>
            </w:r>
          </w:p>
        </w:tc>
        <w:tc>
          <w:tcPr>
            <w:tcW w:w="1361" w:type="dxa"/>
            <w:vAlign w:val="center"/>
          </w:tcPr>
          <w:p>
            <w:pPr>
              <w:pStyle w:val="16"/>
            </w:pPr>
            <w:r>
              <w:t>277.58</w:t>
            </w:r>
          </w:p>
        </w:tc>
        <w:tc>
          <w:tcPr>
            <w:tcW w:w="1361" w:type="dxa"/>
            <w:vAlign w:val="center"/>
          </w:tcPr>
          <w:p>
            <w:pPr>
              <w:pStyle w:val="16"/>
            </w:pPr>
            <w:r>
              <w:t>20.00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297.58</w:t>
            </w:r>
          </w:p>
        </w:tc>
        <w:tc>
          <w:tcPr>
            <w:tcW w:w="1361" w:type="dxa"/>
            <w:vAlign w:val="center"/>
          </w:tcPr>
          <w:p>
            <w:pPr>
              <w:pStyle w:val="12"/>
            </w:pPr>
            <w:r>
              <w:t>277.58</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20136</w:t>
            </w:r>
          </w:p>
        </w:tc>
        <w:tc>
          <w:tcPr>
            <w:tcW w:w="4535" w:type="dxa"/>
            <w:vAlign w:val="center"/>
          </w:tcPr>
          <w:p>
            <w:pPr>
              <w:pStyle w:val="13"/>
            </w:pPr>
            <w:r>
              <w:t>其他共产党事务支出</w:t>
            </w:r>
          </w:p>
        </w:tc>
        <w:tc>
          <w:tcPr>
            <w:tcW w:w="1361" w:type="dxa"/>
            <w:vAlign w:val="center"/>
          </w:tcPr>
          <w:p>
            <w:pPr>
              <w:pStyle w:val="12"/>
            </w:pPr>
            <w:r>
              <w:t>297.58</w:t>
            </w:r>
          </w:p>
        </w:tc>
        <w:tc>
          <w:tcPr>
            <w:tcW w:w="1361" w:type="dxa"/>
            <w:vAlign w:val="center"/>
          </w:tcPr>
          <w:p>
            <w:pPr>
              <w:pStyle w:val="12"/>
            </w:pPr>
            <w:r>
              <w:t>277.58</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2013601</w:t>
            </w:r>
          </w:p>
        </w:tc>
        <w:tc>
          <w:tcPr>
            <w:tcW w:w="4535" w:type="dxa"/>
            <w:vAlign w:val="center"/>
          </w:tcPr>
          <w:p>
            <w:pPr>
              <w:pStyle w:val="13"/>
            </w:pPr>
            <w:r>
              <w:t>行政运行</w:t>
            </w:r>
          </w:p>
        </w:tc>
        <w:tc>
          <w:tcPr>
            <w:tcW w:w="1361" w:type="dxa"/>
            <w:vAlign w:val="center"/>
          </w:tcPr>
          <w:p>
            <w:pPr>
              <w:pStyle w:val="12"/>
            </w:pPr>
            <w:r>
              <w:t>277.58</w:t>
            </w:r>
          </w:p>
        </w:tc>
        <w:tc>
          <w:tcPr>
            <w:tcW w:w="1361" w:type="dxa"/>
            <w:vAlign w:val="center"/>
          </w:tcPr>
          <w:p>
            <w:pPr>
              <w:pStyle w:val="12"/>
            </w:pPr>
            <w:r>
              <w:t>277.58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2013602</w:t>
            </w:r>
          </w:p>
        </w:tc>
        <w:tc>
          <w:tcPr>
            <w:tcW w:w="4535" w:type="dxa"/>
            <w:vAlign w:val="center"/>
          </w:tcPr>
          <w:p>
            <w:pPr>
              <w:pStyle w:val="13"/>
            </w:pPr>
            <w:r>
              <w:t>一般行政管理事务</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225中共晋州市委机构编制委员会办公室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297.58</w:t>
            </w:r>
          </w:p>
        </w:tc>
        <w:tc>
          <w:tcPr>
            <w:tcW w:w="3402" w:type="dxa"/>
            <w:vAlign w:val="center"/>
          </w:tcPr>
          <w:p>
            <w:pPr>
              <w:pStyle w:val="13"/>
            </w:pPr>
            <w:r>
              <w:t>一、一般公共服务支出</w:t>
            </w:r>
          </w:p>
        </w:tc>
        <w:tc>
          <w:tcPr>
            <w:tcW w:w="1474" w:type="dxa"/>
            <w:vAlign w:val="center"/>
          </w:tcPr>
          <w:p>
            <w:pPr>
              <w:pStyle w:val="12"/>
            </w:pPr>
            <w:r>
              <w:t>297.58</w:t>
            </w:r>
          </w:p>
        </w:tc>
        <w:tc>
          <w:tcPr>
            <w:tcW w:w="1474" w:type="dxa"/>
            <w:vAlign w:val="center"/>
          </w:tcPr>
          <w:p>
            <w:pPr>
              <w:pStyle w:val="12"/>
            </w:pPr>
            <w:r>
              <w:t>297.58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297.58</w:t>
            </w:r>
          </w:p>
        </w:tc>
        <w:tc>
          <w:tcPr>
            <w:tcW w:w="3402" w:type="dxa"/>
            <w:vAlign w:val="center"/>
          </w:tcPr>
          <w:p>
            <w:pPr>
              <w:pStyle w:val="15"/>
            </w:pPr>
            <w:r>
              <w:t>本年支出合计</w:t>
            </w:r>
          </w:p>
        </w:tc>
        <w:tc>
          <w:tcPr>
            <w:tcW w:w="1474" w:type="dxa"/>
            <w:vAlign w:val="center"/>
          </w:tcPr>
          <w:p>
            <w:pPr>
              <w:pStyle w:val="16"/>
            </w:pPr>
            <w:r>
              <w:t>297.58</w:t>
            </w:r>
          </w:p>
        </w:tc>
        <w:tc>
          <w:tcPr>
            <w:tcW w:w="1474" w:type="dxa"/>
            <w:vAlign w:val="center"/>
          </w:tcPr>
          <w:p>
            <w:pPr>
              <w:pStyle w:val="16"/>
            </w:pPr>
            <w:r>
              <w:t>297.58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297.58</w:t>
            </w:r>
          </w:p>
        </w:tc>
        <w:tc>
          <w:tcPr>
            <w:tcW w:w="3402" w:type="dxa"/>
            <w:vAlign w:val="center"/>
          </w:tcPr>
          <w:p>
            <w:pPr>
              <w:pStyle w:val="15"/>
            </w:pPr>
            <w:r>
              <w:t>支出总计</w:t>
            </w:r>
          </w:p>
        </w:tc>
        <w:tc>
          <w:tcPr>
            <w:tcW w:w="1474" w:type="dxa"/>
            <w:vAlign w:val="center"/>
          </w:tcPr>
          <w:p>
            <w:pPr>
              <w:pStyle w:val="16"/>
            </w:pPr>
            <w:r>
              <w:t>297.58</w:t>
            </w:r>
          </w:p>
        </w:tc>
        <w:tc>
          <w:tcPr>
            <w:tcW w:w="1474" w:type="dxa"/>
            <w:vAlign w:val="center"/>
          </w:tcPr>
          <w:p>
            <w:pPr>
              <w:pStyle w:val="16"/>
            </w:pPr>
            <w:r>
              <w:t>297.58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225中共晋州市委机构编制委员会办公室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297.58</w:t>
            </w:r>
          </w:p>
        </w:tc>
        <w:tc>
          <w:tcPr>
            <w:tcW w:w="2551" w:type="dxa"/>
            <w:vAlign w:val="center"/>
          </w:tcPr>
          <w:p>
            <w:pPr>
              <w:pStyle w:val="16"/>
            </w:pPr>
            <w:r>
              <w:t>277.58</w:t>
            </w:r>
          </w:p>
        </w:tc>
        <w:tc>
          <w:tcPr>
            <w:tcW w:w="2551" w:type="dxa"/>
            <w:vAlign w:val="center"/>
          </w:tcPr>
          <w:p>
            <w:pPr>
              <w:pStyle w:val="16"/>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297.58</w:t>
            </w:r>
          </w:p>
        </w:tc>
        <w:tc>
          <w:tcPr>
            <w:tcW w:w="2551" w:type="dxa"/>
            <w:vAlign w:val="center"/>
          </w:tcPr>
          <w:p>
            <w:pPr>
              <w:pStyle w:val="12"/>
            </w:pPr>
            <w:r>
              <w:t>277.58</w:t>
            </w: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20136</w:t>
            </w:r>
          </w:p>
        </w:tc>
        <w:tc>
          <w:tcPr>
            <w:tcW w:w="4535" w:type="dxa"/>
            <w:vAlign w:val="center"/>
          </w:tcPr>
          <w:p>
            <w:pPr>
              <w:pStyle w:val="13"/>
            </w:pPr>
            <w:r>
              <w:t>其他共产党事务支出</w:t>
            </w:r>
          </w:p>
        </w:tc>
        <w:tc>
          <w:tcPr>
            <w:tcW w:w="2551" w:type="dxa"/>
            <w:vAlign w:val="center"/>
          </w:tcPr>
          <w:p>
            <w:pPr>
              <w:pStyle w:val="12"/>
            </w:pPr>
            <w:r>
              <w:t>297.58</w:t>
            </w:r>
          </w:p>
        </w:tc>
        <w:tc>
          <w:tcPr>
            <w:tcW w:w="2551" w:type="dxa"/>
            <w:vAlign w:val="center"/>
          </w:tcPr>
          <w:p>
            <w:pPr>
              <w:pStyle w:val="12"/>
            </w:pPr>
            <w:r>
              <w:t>277.58</w:t>
            </w: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2013601</w:t>
            </w:r>
          </w:p>
        </w:tc>
        <w:tc>
          <w:tcPr>
            <w:tcW w:w="4535" w:type="dxa"/>
            <w:vAlign w:val="center"/>
          </w:tcPr>
          <w:p>
            <w:pPr>
              <w:pStyle w:val="13"/>
            </w:pPr>
            <w:r>
              <w:t>行政运行</w:t>
            </w:r>
          </w:p>
        </w:tc>
        <w:tc>
          <w:tcPr>
            <w:tcW w:w="2551" w:type="dxa"/>
            <w:vAlign w:val="center"/>
          </w:tcPr>
          <w:p>
            <w:pPr>
              <w:pStyle w:val="12"/>
            </w:pPr>
            <w:r>
              <w:t>277.58</w:t>
            </w:r>
          </w:p>
        </w:tc>
        <w:tc>
          <w:tcPr>
            <w:tcW w:w="2551" w:type="dxa"/>
            <w:vAlign w:val="center"/>
          </w:tcPr>
          <w:p>
            <w:pPr>
              <w:pStyle w:val="12"/>
            </w:pPr>
            <w:r>
              <w:t>277.58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2013602</w:t>
            </w:r>
          </w:p>
        </w:tc>
        <w:tc>
          <w:tcPr>
            <w:tcW w:w="4535" w:type="dxa"/>
            <w:vAlign w:val="center"/>
          </w:tcPr>
          <w:p>
            <w:pPr>
              <w:pStyle w:val="13"/>
            </w:pPr>
            <w:r>
              <w:t>一般行政管理事务</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225中共晋州市委机构编制委员会办公室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277.58</w:t>
            </w:r>
          </w:p>
        </w:tc>
        <w:tc>
          <w:tcPr>
            <w:tcW w:w="2551" w:type="dxa"/>
            <w:vAlign w:val="center"/>
          </w:tcPr>
          <w:p>
            <w:pPr>
              <w:pStyle w:val="16"/>
            </w:pPr>
            <w:r>
              <w:t>246.16</w:t>
            </w:r>
          </w:p>
        </w:tc>
        <w:tc>
          <w:tcPr>
            <w:tcW w:w="2551" w:type="dxa"/>
            <w:vAlign w:val="center"/>
          </w:tcPr>
          <w:p>
            <w:pPr>
              <w:pStyle w:val="16"/>
            </w:pPr>
            <w:r>
              <w:t>31.42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239.33</w:t>
            </w:r>
          </w:p>
        </w:tc>
        <w:tc>
          <w:tcPr>
            <w:tcW w:w="2551" w:type="dxa"/>
            <w:vAlign w:val="center"/>
          </w:tcPr>
          <w:p>
            <w:pPr>
              <w:pStyle w:val="12"/>
            </w:pPr>
            <w:r>
              <w:t>239.33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92.45</w:t>
            </w:r>
          </w:p>
        </w:tc>
        <w:tc>
          <w:tcPr>
            <w:tcW w:w="2551" w:type="dxa"/>
            <w:vAlign w:val="center"/>
          </w:tcPr>
          <w:p>
            <w:pPr>
              <w:pStyle w:val="12"/>
            </w:pPr>
            <w:r>
              <w:t>92.45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34.30</w:t>
            </w:r>
          </w:p>
        </w:tc>
        <w:tc>
          <w:tcPr>
            <w:tcW w:w="2551" w:type="dxa"/>
            <w:vAlign w:val="center"/>
          </w:tcPr>
          <w:p>
            <w:pPr>
              <w:pStyle w:val="12"/>
            </w:pPr>
            <w:r>
              <w:t>34.30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28.57</w:t>
            </w:r>
          </w:p>
        </w:tc>
        <w:tc>
          <w:tcPr>
            <w:tcW w:w="2551" w:type="dxa"/>
            <w:vAlign w:val="center"/>
          </w:tcPr>
          <w:p>
            <w:pPr>
              <w:pStyle w:val="12"/>
            </w:pPr>
            <w:r>
              <w:t>28.57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22.57</w:t>
            </w:r>
          </w:p>
        </w:tc>
        <w:tc>
          <w:tcPr>
            <w:tcW w:w="2551" w:type="dxa"/>
            <w:vAlign w:val="center"/>
          </w:tcPr>
          <w:p>
            <w:pPr>
              <w:pStyle w:val="12"/>
            </w:pPr>
            <w:r>
              <w:t>22.57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25.01</w:t>
            </w:r>
          </w:p>
        </w:tc>
        <w:tc>
          <w:tcPr>
            <w:tcW w:w="2551" w:type="dxa"/>
            <w:vAlign w:val="center"/>
          </w:tcPr>
          <w:p>
            <w:pPr>
              <w:pStyle w:val="12"/>
            </w:pPr>
            <w:r>
              <w:t>25.01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10.14</w:t>
            </w:r>
          </w:p>
        </w:tc>
        <w:tc>
          <w:tcPr>
            <w:tcW w:w="2551" w:type="dxa"/>
            <w:vAlign w:val="center"/>
          </w:tcPr>
          <w:p>
            <w:pPr>
              <w:pStyle w:val="12"/>
            </w:pPr>
            <w:r>
              <w:t>10.14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5.15</w:t>
            </w:r>
          </w:p>
        </w:tc>
        <w:tc>
          <w:tcPr>
            <w:tcW w:w="2551" w:type="dxa"/>
            <w:vAlign w:val="center"/>
          </w:tcPr>
          <w:p>
            <w:pPr>
              <w:pStyle w:val="12"/>
            </w:pPr>
            <w:r>
              <w:t>5.15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1.11</w:t>
            </w:r>
          </w:p>
        </w:tc>
        <w:tc>
          <w:tcPr>
            <w:tcW w:w="2551" w:type="dxa"/>
            <w:vAlign w:val="center"/>
          </w:tcPr>
          <w:p>
            <w:pPr>
              <w:pStyle w:val="12"/>
            </w:pPr>
            <w:r>
              <w:t>1.11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20.03</w:t>
            </w:r>
          </w:p>
        </w:tc>
        <w:tc>
          <w:tcPr>
            <w:tcW w:w="2551" w:type="dxa"/>
            <w:vAlign w:val="center"/>
          </w:tcPr>
          <w:p>
            <w:pPr>
              <w:pStyle w:val="12"/>
            </w:pPr>
            <w:r>
              <w:t>20.03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31.42</w:t>
            </w:r>
          </w:p>
        </w:tc>
        <w:tc>
          <w:tcPr>
            <w:tcW w:w="2551" w:type="dxa"/>
            <w:vAlign w:val="center"/>
          </w:tcPr>
          <w:p>
            <w:pPr>
              <w:pStyle w:val="12"/>
            </w:pPr>
          </w:p>
        </w:tc>
        <w:tc>
          <w:tcPr>
            <w:tcW w:w="2551" w:type="dxa"/>
            <w:vAlign w:val="center"/>
          </w:tcPr>
          <w:p>
            <w:pPr>
              <w:pStyle w:val="12"/>
            </w:pPr>
            <w:r>
              <w:t>31.42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6.51</w:t>
            </w:r>
          </w:p>
        </w:tc>
        <w:tc>
          <w:tcPr>
            <w:tcW w:w="2551" w:type="dxa"/>
            <w:vAlign w:val="center"/>
          </w:tcPr>
          <w:p>
            <w:pPr>
              <w:pStyle w:val="12"/>
            </w:pPr>
          </w:p>
        </w:tc>
        <w:tc>
          <w:tcPr>
            <w:tcW w:w="2551" w:type="dxa"/>
            <w:vAlign w:val="center"/>
          </w:tcPr>
          <w:p>
            <w:pPr>
              <w:pStyle w:val="12"/>
            </w:pPr>
            <w:r>
              <w:t>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6.98</w:t>
            </w:r>
          </w:p>
        </w:tc>
        <w:tc>
          <w:tcPr>
            <w:tcW w:w="2551" w:type="dxa"/>
            <w:vAlign w:val="center"/>
          </w:tcPr>
          <w:p>
            <w:pPr>
              <w:pStyle w:val="12"/>
            </w:pPr>
          </w:p>
        </w:tc>
        <w:tc>
          <w:tcPr>
            <w:tcW w:w="2551" w:type="dxa"/>
            <w:vAlign w:val="center"/>
          </w:tcPr>
          <w:p>
            <w:pPr>
              <w:pStyle w:val="12"/>
            </w:pPr>
            <w:r>
              <w:t>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1.87</w:t>
            </w:r>
          </w:p>
        </w:tc>
        <w:tc>
          <w:tcPr>
            <w:tcW w:w="2551" w:type="dxa"/>
            <w:vAlign w:val="center"/>
          </w:tcPr>
          <w:p>
            <w:pPr>
              <w:pStyle w:val="12"/>
            </w:pPr>
          </w:p>
        </w:tc>
        <w:tc>
          <w:tcPr>
            <w:tcW w:w="2551" w:type="dxa"/>
            <w:vAlign w:val="center"/>
          </w:tcPr>
          <w:p>
            <w:pPr>
              <w:pStyle w:val="12"/>
            </w:pPr>
            <w:r>
              <w:t>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8.82</w:t>
            </w:r>
          </w:p>
        </w:tc>
        <w:tc>
          <w:tcPr>
            <w:tcW w:w="2551" w:type="dxa"/>
            <w:vAlign w:val="center"/>
          </w:tcPr>
          <w:p>
            <w:pPr>
              <w:pStyle w:val="12"/>
            </w:pPr>
          </w:p>
        </w:tc>
        <w:tc>
          <w:tcPr>
            <w:tcW w:w="2551" w:type="dxa"/>
            <w:vAlign w:val="center"/>
          </w:tcPr>
          <w:p>
            <w:pPr>
              <w:pStyle w:val="12"/>
            </w:pPr>
            <w:r>
              <w:t>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4.33</w:t>
            </w:r>
          </w:p>
        </w:tc>
        <w:tc>
          <w:tcPr>
            <w:tcW w:w="2551" w:type="dxa"/>
            <w:vAlign w:val="center"/>
          </w:tcPr>
          <w:p>
            <w:pPr>
              <w:pStyle w:val="12"/>
            </w:pPr>
          </w:p>
        </w:tc>
        <w:tc>
          <w:tcPr>
            <w:tcW w:w="2551" w:type="dxa"/>
            <w:vAlign w:val="center"/>
          </w:tcPr>
          <w:p>
            <w:pPr>
              <w:pStyle w:val="12"/>
            </w:pPr>
            <w:r>
              <w:t>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6.83</w:t>
            </w:r>
          </w:p>
        </w:tc>
        <w:tc>
          <w:tcPr>
            <w:tcW w:w="2551" w:type="dxa"/>
            <w:vAlign w:val="center"/>
          </w:tcPr>
          <w:p>
            <w:pPr>
              <w:pStyle w:val="12"/>
            </w:pPr>
            <w:r>
              <w:t>6.83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6.83</w:t>
            </w:r>
          </w:p>
        </w:tc>
        <w:tc>
          <w:tcPr>
            <w:tcW w:w="2551" w:type="dxa"/>
            <w:vAlign w:val="center"/>
          </w:tcPr>
          <w:p>
            <w:pPr>
              <w:pStyle w:val="12"/>
            </w:pPr>
            <w:r>
              <w:t>6.83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225中共晋州市委机构编制委员会办公室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225中共晋州市委机构编制委员会办公室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225中共晋州市委机构编制委员会办公室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中共晋州市委机构编制委员会办公室2026年部门预算信息公开情况说明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中共晋州市委机构编制委员会办公室2026年部门预算信息公开情况说明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按照《中华人民共和国预算法》、《地方预决算公开操作规程》和《关于进一步推进预算公开工作的实施意见》规定，现将中共晋州市委机构编制委员会办公室2026年部门预算公开如下：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落实党中央和省、市委关于行政管理体制和机构改革以及机构编制管理的政策法规，组织实施相关政策规定和地方性法规、规章等规范性文件。管理市纪委监委机关及其派驻纪检监察组、市委各机关、市人大常委会机关、市政府各部门、市政协机关、人民团体机关（以下简称“党政群机关”），以及事业单位机构编制工作。组织开展行政管理体制改革、事业单位管理体制改革及机构编制工作基础性、创新性和前瞻性研究。</w:t>
      </w:r>
    </w:p>
    <w:p>
      <w:pPr>
        <w:pStyle w:val="18"/>
      </w:pPr>
    </w:p>
    <w:p>
      <w:pPr>
        <w:pStyle w:val="18"/>
      </w:pPr>
      <w:r>
        <w:t>（二）组织拟订全市行政管理体制改革和市委、市政府机构改革方案并组织实施。负责全市行政管理体制和机构改革以及机构编制管理工作；负责行政执法体制改革工作。</w:t>
      </w:r>
    </w:p>
    <w:p>
      <w:pPr>
        <w:pStyle w:val="18"/>
      </w:pPr>
    </w:p>
    <w:p>
      <w:pPr>
        <w:pStyle w:val="18"/>
      </w:pPr>
      <w:r>
        <w:t>（三）按照规定权限，负责全市党政群机关以及部门派出机构的职能配置、机构设置、人员编制和领导职数管理工作；负责协调市委、市政府各部门职能配置及其调整，协调市委、市政府各部门之间职责分工。</w:t>
      </w:r>
    </w:p>
    <w:p>
      <w:pPr>
        <w:pStyle w:val="18"/>
      </w:pPr>
    </w:p>
    <w:p>
      <w:pPr>
        <w:pStyle w:val="18"/>
      </w:pPr>
      <w:r>
        <w:t>（四）组织拟订全市事业单位管理体制改革和机构改革方案。拟订各类事业单位人员编制管理办法并组织实施。按照规定权限，负责市委、市政府直属事业单位和市直部门所属事业单位的职能配置、机构设置、人员编制和领导职数管理工作。</w:t>
      </w:r>
    </w:p>
    <w:p>
      <w:pPr>
        <w:pStyle w:val="18"/>
      </w:pPr>
    </w:p>
    <w:p>
      <w:pPr>
        <w:pStyle w:val="18"/>
      </w:pPr>
      <w:r>
        <w:t>（五）负责全市党政群机关统一社会信用代码赋码管理工作，负责全市事业单位法人登记管理和监督检查工作；承担全市机关事业单位公章管理工作。</w:t>
      </w:r>
    </w:p>
    <w:p>
      <w:pPr>
        <w:pStyle w:val="18"/>
      </w:pPr>
    </w:p>
    <w:p>
      <w:pPr>
        <w:pStyle w:val="18"/>
      </w:pPr>
      <w:r>
        <w:t>（六）负责全市开发区行政管理体制改革工作。组织拟订开发区机构编制管理办法并组织实施；负责全市省级以上开发区职能配置、机构设置、人员编制和领导职数审核及上报工作。</w:t>
      </w:r>
    </w:p>
    <w:p>
      <w:pPr>
        <w:pStyle w:val="18"/>
      </w:pPr>
    </w:p>
    <w:p>
      <w:pPr>
        <w:pStyle w:val="18"/>
      </w:pPr>
      <w:r>
        <w:t>（七）负责全市机构编制的总量控制、动态管理。组织拟订全市年度编制使用计划，审核机关事业单位招录、招聘和政策性安置等计划；负责机关事业单位编制使用核准；负责机构编制实名制管理工作；建立健全机构编制部门与有关部门的协调配合约束机制。</w:t>
      </w:r>
    </w:p>
    <w:p>
      <w:pPr>
        <w:pStyle w:val="18"/>
      </w:pPr>
    </w:p>
    <w:p>
      <w:pPr>
        <w:pStyle w:val="18"/>
      </w:pPr>
      <w:r>
        <w:t>（八）负责跟踪评估、监督检查全市各级行政、事业单位管理体制改革、机构改革及机构编制政策执行情况；负责受理违反机构编制法规、纪律的检举、控告和投诉，对违反机构编制法规、纪律问题进行调查处理。</w:t>
      </w:r>
    </w:p>
    <w:p>
      <w:pPr>
        <w:pStyle w:val="18"/>
      </w:pPr>
    </w:p>
    <w:p>
      <w:pPr>
        <w:pStyle w:val="18"/>
      </w:pPr>
      <w:r>
        <w:t>（九）负责全市机构编制电子政务和信息化工作。负责全市机构编制统计工作；负责机构编制网站的管理、使用和维护；负责党政群机关、事业单位和其他非营利性单位网上名称管理工作。</w:t>
      </w:r>
    </w:p>
    <w:p>
      <w:pPr>
        <w:pStyle w:val="18"/>
      </w:pPr>
    </w:p>
    <w:p>
      <w:pPr>
        <w:pStyle w:val="18"/>
      </w:pPr>
      <w:r>
        <w:t>（十）完成市委、市政府和市委机构编制委员会交办的其他任务。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中共晋州市委机构编制委员会办公室本级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按照预算管理有关规定，目前部门预算的编制实行综合预算管理，即全部收入和支出都反映在预算中。中共晋州市委机构编制委员会办公室机关及所属事业单位的收支包含在部门预算中。</w:t>
      </w:r>
    </w:p>
    <w:p>
      <w:pPr>
        <w:pStyle w:val="19"/>
      </w:pPr>
      <w:r>
        <w:t>1、收入说明</w:t>
      </w:r>
    </w:p>
    <w:p>
      <w:pPr>
        <w:pStyle w:val="19"/>
      </w:pPr>
      <w:r>
        <w:t>反映本部门当年全部收入。2026年预算收入297.58万元，其中：一般公共预算收入297.58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晋州市委机构编制委员会办公室年度部门预算中支出预算的总体情况。2026年支出预算297.58万元，其中基本支出277.58万元，包括人员经费246.16万元和日常公用经费31.42万元；项目支出20.00万元，主要为机构改革5万元，行政事业单位登记管理5万元，域名管理和电子政务10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297.58万元，较2025年预算减少9.32万元，其中：基本支出增加16.88万元，主要为新招聘事业单位工作人员2人。项目支出减少26.20万元，主要为减少三个部门后勤保障经费项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2026年，我部门机关运行经费共计安排31.42万元，主要用于日常维修、办公用房水电费、办公用房取暖费、办公用房物业管理费等日常运行支出。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压减公务用车运维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组织拟订全市行政部门和事业单位管理体制改革和市委、市政府机构改革方案并组织实施。按照省、石家庄市事业单位年度报告公示制度的相关要求，借鉴以往年度事业单位年度报告公示工作的做法，继续深化事业单位登记管理制度改革工作，做好上年度事业单位年度报告公示工作。严格落实机构编制实名制登记管理制度，严格控制机构和编制数量，落实财政供养人员只减不增的要求。加大对党政机关事业单位网站审核、资格复核和网站挂标工作力度，坚决落实中编办和中央网信办的要求，维护网络安全。加大机构编制动态调整力度，合理配置编制资源，向基层和一线倾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1、管理体制改革</w:t>
      </w:r>
    </w:p>
    <w:p>
      <w:pPr>
        <w:pStyle w:val="23"/>
      </w:pPr>
      <w:r>
        <w:t>绩效目标：拟订党政群机关机构改革方案；组织拟订全市事业单位管理体制改革和机构改革方案；组织拟订开发区机构编制管理办法并组织实施。</w:t>
      </w:r>
    </w:p>
    <w:p>
      <w:pPr>
        <w:pStyle w:val="23"/>
      </w:pPr>
      <w:r>
        <w:t>绩效指标：改革方案获得上级批复，工作完成率≥95％。</w:t>
      </w:r>
    </w:p>
    <w:p>
      <w:pPr>
        <w:pStyle w:val="23"/>
      </w:pPr>
      <w:r>
        <w:t>2、机构编制管理</w:t>
      </w:r>
    </w:p>
    <w:p>
      <w:pPr>
        <w:pStyle w:val="23"/>
      </w:pPr>
      <w:r>
        <w:t>绩效目标：拟定党政群机关“三定”规定；拟定事业单位“三定”规定；坚决落实财政供养人员只减不增要求；创新机构编制动态管理；进一步严格实名制管理和编制使用核准制度；加强机构编制监督检查。</w:t>
      </w:r>
    </w:p>
    <w:p>
      <w:pPr>
        <w:pStyle w:val="23"/>
      </w:pPr>
      <w:r>
        <w:t>绩效指标：按照“优化协同高效”的原则，做好机构编制管理工作，工作完成率≥95％。</w:t>
      </w:r>
    </w:p>
    <w:p>
      <w:pPr>
        <w:pStyle w:val="23"/>
      </w:pPr>
      <w:r>
        <w:t>3、行政事业单位登记管理</w:t>
      </w:r>
    </w:p>
    <w:p>
      <w:pPr>
        <w:pStyle w:val="23"/>
      </w:pPr>
      <w:r>
        <w:t>绩效目标：做好全市党政群机关统一社会信用代码赋码管理工作；组织实施事业单位法人年度报告公开和法人治理结构工作。</w:t>
      </w:r>
    </w:p>
    <w:p>
      <w:pPr>
        <w:pStyle w:val="23"/>
      </w:pPr>
      <w:r>
        <w:t>绩效指标：3月底前完成上一年度事业单位法人年度报告工作，并及时进行公示；按照上级文件要求和赋码规则完成全部赋码任务，工作完成率≥95％。</w:t>
      </w:r>
    </w:p>
    <w:p>
      <w:pPr>
        <w:pStyle w:val="23"/>
      </w:pPr>
      <w:r>
        <w:t>4、党政机关、事业单位网上名称管理</w:t>
      </w:r>
    </w:p>
    <w:p>
      <w:pPr>
        <w:pStyle w:val="23"/>
      </w:pPr>
      <w:r>
        <w:t>绩效目标：完成全市党政群机关、事业单位和其他非营利性单位网上名称管理工作。</w:t>
      </w:r>
    </w:p>
    <w:p>
      <w:pPr>
        <w:pStyle w:val="23"/>
      </w:pPr>
      <w:r>
        <w:t>绩效指标：做好当年网上名称管理工作，工作完成率≥95％。</w:t>
      </w:r>
    </w:p>
    <w:p>
      <w:pPr>
        <w:pStyle w:val="23"/>
      </w:pPr>
      <w:r>
        <w:t>5、编办综合事务管理</w:t>
      </w:r>
    </w:p>
    <w:p>
      <w:pPr>
        <w:pStyle w:val="23"/>
      </w:pPr>
      <w:r>
        <w:t>绩效目标：做好机关人员管理及保障工作，为充分发挥职能作用提供有效保障。</w:t>
      </w:r>
    </w:p>
    <w:p>
      <w:pPr>
        <w:pStyle w:val="23"/>
      </w:pPr>
      <w:r>
        <w:t>绩效指标：完成各项工作任务，工作完成率≥95％。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1、机构改革绩效目标表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13018326P000328104549</w:t>
            </w:r>
          </w:p>
        </w:tc>
        <w:tc>
          <w:tcPr>
            <w:tcW w:w="2835" w:type="dxa"/>
            <w:vAlign w:val="center"/>
          </w:tcPr>
          <w:p>
            <w:pPr>
              <w:pStyle w:val="11"/>
            </w:pPr>
            <w:r>
              <w:t>项目名称</w:t>
            </w:r>
          </w:p>
        </w:tc>
        <w:tc>
          <w:tcPr>
            <w:tcW w:w="6095" w:type="dxa"/>
            <w:gridSpan w:val="3"/>
            <w:vAlign w:val="center"/>
          </w:tcPr>
          <w:p>
            <w:pPr>
              <w:pStyle w:val="13"/>
            </w:pPr>
            <w:r>
              <w:t>机构改革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主要用于全市党政群机关和事业单位管理体制和机构改革工作，以及深化事业单位改革准备工作。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1.主要用于全市党政群机关和事业单位管理体制和机构改革工作，以及深化事业单位改革准备工作。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按照上级要求，依据政策规定和时限要求，完成改革方案的制定和印发工作。</w:t>
            </w:r>
          </w:p>
        </w:tc>
        <w:tc>
          <w:tcPr>
            <w:tcW w:w="2268" w:type="dxa"/>
            <w:vAlign w:val="center"/>
          </w:tcPr>
          <w:p>
            <w:pPr>
              <w:pStyle w:val="13"/>
            </w:pPr>
            <w:r>
              <w:t>100%</w:t>
            </w:r>
          </w:p>
        </w:tc>
        <w:tc>
          <w:tcPr>
            <w:tcW w:w="1276" w:type="dxa"/>
            <w:vAlign w:val="center"/>
          </w:tcPr>
          <w:p>
            <w:pPr>
              <w:pStyle w:val="13"/>
            </w:pPr>
            <w:r>
              <w:t>晋办字[2019]12号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提交成果报告质量</w:t>
            </w:r>
          </w:p>
          <w:p>
            <w:pPr>
              <w:pStyle w:val="13"/>
            </w:pPr>
          </w:p>
        </w:tc>
        <w:tc>
          <w:tcPr>
            <w:tcW w:w="5386" w:type="dxa"/>
            <w:vAlign w:val="center"/>
          </w:tcPr>
          <w:p>
            <w:pPr>
              <w:pStyle w:val="13"/>
            </w:pPr>
            <w:r>
              <w:t>依据改革方案，及时落实各项改革事项</w:t>
            </w:r>
          </w:p>
        </w:tc>
        <w:tc>
          <w:tcPr>
            <w:tcW w:w="2268" w:type="dxa"/>
            <w:vAlign w:val="center"/>
          </w:tcPr>
          <w:p>
            <w:pPr>
              <w:pStyle w:val="13"/>
            </w:pPr>
            <w:r>
              <w:t>100%</w:t>
            </w:r>
          </w:p>
        </w:tc>
        <w:tc>
          <w:tcPr>
            <w:tcW w:w="1276" w:type="dxa"/>
            <w:vAlign w:val="center"/>
          </w:tcPr>
          <w:p>
            <w:pPr>
              <w:pStyle w:val="13"/>
            </w:pPr>
            <w:r>
              <w:t>晋办字[2019]12号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依照改革方案制定的步骤，按时完成改革任务</w:t>
            </w:r>
          </w:p>
        </w:tc>
        <w:tc>
          <w:tcPr>
            <w:tcW w:w="2268" w:type="dxa"/>
            <w:vAlign w:val="center"/>
          </w:tcPr>
          <w:p>
            <w:pPr>
              <w:pStyle w:val="13"/>
            </w:pPr>
            <w:r>
              <w:t>及时完成各项改革任务</w:t>
            </w:r>
          </w:p>
        </w:tc>
        <w:tc>
          <w:tcPr>
            <w:tcW w:w="1276" w:type="dxa"/>
            <w:vAlign w:val="center"/>
          </w:tcPr>
          <w:p>
            <w:pPr>
              <w:pStyle w:val="13"/>
            </w:pPr>
            <w:r>
              <w:t>晋办字[2019]12号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5万元</w:t>
            </w:r>
          </w:p>
        </w:tc>
        <w:tc>
          <w:tcPr>
            <w:tcW w:w="1276" w:type="dxa"/>
            <w:vAlign w:val="center"/>
          </w:tcPr>
          <w:p>
            <w:pPr>
              <w:pStyle w:val="13"/>
            </w:pPr>
            <w:r>
              <w:t>晋办字[2019]12号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推动工作开展</w:t>
            </w:r>
          </w:p>
        </w:tc>
        <w:tc>
          <w:tcPr>
            <w:tcW w:w="5386" w:type="dxa"/>
            <w:vAlign w:val="center"/>
          </w:tcPr>
          <w:p>
            <w:pPr>
              <w:pStyle w:val="13"/>
            </w:pPr>
            <w:r>
              <w:t>推动工作开展</w:t>
            </w:r>
          </w:p>
        </w:tc>
        <w:tc>
          <w:tcPr>
            <w:tcW w:w="2268" w:type="dxa"/>
            <w:vAlign w:val="center"/>
          </w:tcPr>
          <w:p>
            <w:pPr>
              <w:pStyle w:val="13"/>
            </w:pPr>
            <w:r>
              <w:t>100%</w:t>
            </w:r>
          </w:p>
        </w:tc>
        <w:tc>
          <w:tcPr>
            <w:tcW w:w="1276" w:type="dxa"/>
            <w:vAlign w:val="center"/>
          </w:tcPr>
          <w:p>
            <w:pPr>
              <w:pStyle w:val="13"/>
            </w:pPr>
            <w:r>
              <w:t>晋办字[2019]12号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2、行政事业单位登记管理绩效目标表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13018326P00032810453M</w:t>
            </w:r>
          </w:p>
        </w:tc>
        <w:tc>
          <w:tcPr>
            <w:tcW w:w="2835" w:type="dxa"/>
            <w:vAlign w:val="center"/>
          </w:tcPr>
          <w:p>
            <w:pPr>
              <w:pStyle w:val="11"/>
            </w:pPr>
            <w:r>
              <w:t>项目名称</w:t>
            </w:r>
          </w:p>
        </w:tc>
        <w:tc>
          <w:tcPr>
            <w:tcW w:w="6095" w:type="dxa"/>
            <w:gridSpan w:val="3"/>
            <w:vAlign w:val="center"/>
          </w:tcPr>
          <w:p>
            <w:pPr>
              <w:pStyle w:val="13"/>
            </w:pPr>
            <w:r>
              <w:t>行政事业单位登记管理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主要用于全市党政群机关统一社会信用代码赋码和事业单位法人登记工作；组织实施事业单位法人年度报告公开和法人治理结构工作；全市事业单位法人登记管理和监督检查工作。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1.主要用于全市党政群机关统一社会信用代码赋码和事业单位法人登记工作；组织实施事业单位法人年度报告公开和法人治理结构工作；全市事业单位法人登记管理和监督检查工作。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任务完成率</w:t>
            </w:r>
          </w:p>
        </w:tc>
        <w:tc>
          <w:tcPr>
            <w:tcW w:w="5386" w:type="dxa"/>
            <w:vAlign w:val="center"/>
          </w:tcPr>
          <w:p>
            <w:pPr>
              <w:pStyle w:val="13"/>
            </w:pPr>
            <w:r>
              <w:t>做好事业单位法人年度报告及公示工作</w:t>
            </w:r>
          </w:p>
        </w:tc>
        <w:tc>
          <w:tcPr>
            <w:tcW w:w="2268" w:type="dxa"/>
            <w:vAlign w:val="center"/>
          </w:tcPr>
          <w:p>
            <w:pPr>
              <w:pStyle w:val="13"/>
            </w:pPr>
            <w:r>
              <w:t>100%</w:t>
            </w:r>
          </w:p>
        </w:tc>
        <w:tc>
          <w:tcPr>
            <w:tcW w:w="1276" w:type="dxa"/>
            <w:vAlign w:val="center"/>
          </w:tcPr>
          <w:p>
            <w:pPr>
              <w:pStyle w:val="13"/>
            </w:pPr>
            <w:r>
              <w:t>晋办字[2019]12号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完成率质量</w:t>
            </w:r>
          </w:p>
        </w:tc>
        <w:tc>
          <w:tcPr>
            <w:tcW w:w="5386" w:type="dxa"/>
            <w:vAlign w:val="center"/>
          </w:tcPr>
          <w:p>
            <w:pPr>
              <w:pStyle w:val="13"/>
            </w:pPr>
            <w:r>
              <w:t>做好全市党政群机关统一社会信用代码赋码工作</w:t>
            </w:r>
          </w:p>
        </w:tc>
        <w:tc>
          <w:tcPr>
            <w:tcW w:w="2268" w:type="dxa"/>
            <w:vAlign w:val="center"/>
          </w:tcPr>
          <w:p>
            <w:pPr>
              <w:pStyle w:val="13"/>
            </w:pPr>
            <w:r>
              <w:t>100%</w:t>
            </w:r>
          </w:p>
        </w:tc>
        <w:tc>
          <w:tcPr>
            <w:tcW w:w="1276" w:type="dxa"/>
            <w:vAlign w:val="center"/>
          </w:tcPr>
          <w:p>
            <w:pPr>
              <w:pStyle w:val="13"/>
            </w:pPr>
            <w:r>
              <w:t>晋办字[2019]12号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依据单位申请，认真审核有关材料，及时办理赋码工作</w:t>
            </w:r>
          </w:p>
        </w:tc>
        <w:tc>
          <w:tcPr>
            <w:tcW w:w="2268" w:type="dxa"/>
            <w:vAlign w:val="center"/>
          </w:tcPr>
          <w:p>
            <w:pPr>
              <w:pStyle w:val="13"/>
            </w:pPr>
            <w:r>
              <w:t>及时完成赋码</w:t>
            </w:r>
          </w:p>
        </w:tc>
        <w:tc>
          <w:tcPr>
            <w:tcW w:w="1276" w:type="dxa"/>
            <w:vAlign w:val="center"/>
          </w:tcPr>
          <w:p>
            <w:pPr>
              <w:pStyle w:val="13"/>
            </w:pPr>
            <w:r>
              <w:t>晋办字[2019]12号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项目所需成本</w:t>
            </w:r>
          </w:p>
        </w:tc>
        <w:tc>
          <w:tcPr>
            <w:tcW w:w="2268" w:type="dxa"/>
            <w:vAlign w:val="center"/>
          </w:tcPr>
          <w:p>
            <w:pPr>
              <w:pStyle w:val="13"/>
            </w:pPr>
            <w:r>
              <w:t>5万元</w:t>
            </w:r>
          </w:p>
        </w:tc>
        <w:tc>
          <w:tcPr>
            <w:tcW w:w="1276" w:type="dxa"/>
            <w:vAlign w:val="center"/>
          </w:tcPr>
          <w:p>
            <w:pPr>
              <w:pStyle w:val="13"/>
            </w:pPr>
            <w:r>
              <w:t>晋办字[2019]12号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保障工作开展</w:t>
            </w:r>
          </w:p>
        </w:tc>
        <w:tc>
          <w:tcPr>
            <w:tcW w:w="5386" w:type="dxa"/>
            <w:vAlign w:val="center"/>
          </w:tcPr>
          <w:p>
            <w:pPr>
              <w:pStyle w:val="13"/>
            </w:pPr>
            <w:r>
              <w:t>保障工作开展</w:t>
            </w:r>
          </w:p>
        </w:tc>
        <w:tc>
          <w:tcPr>
            <w:tcW w:w="2268" w:type="dxa"/>
            <w:vAlign w:val="center"/>
          </w:tcPr>
          <w:p>
            <w:pPr>
              <w:pStyle w:val="13"/>
            </w:pPr>
            <w:r>
              <w:t>及时完成赋码</w:t>
            </w:r>
          </w:p>
        </w:tc>
        <w:tc>
          <w:tcPr>
            <w:tcW w:w="1276" w:type="dxa"/>
            <w:vAlign w:val="center"/>
          </w:tcPr>
          <w:p>
            <w:pPr>
              <w:pStyle w:val="13"/>
            </w:pPr>
            <w:r>
              <w:t>晋办字[2019]12号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3、域名管理和电子政务绩效目标表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13018326P00032810455W</w:t>
            </w:r>
          </w:p>
        </w:tc>
        <w:tc>
          <w:tcPr>
            <w:tcW w:w="2835" w:type="dxa"/>
            <w:vAlign w:val="center"/>
          </w:tcPr>
          <w:p>
            <w:pPr>
              <w:pStyle w:val="11"/>
            </w:pPr>
            <w:r>
              <w:t>项目名称</w:t>
            </w:r>
          </w:p>
        </w:tc>
        <w:tc>
          <w:tcPr>
            <w:tcW w:w="6095" w:type="dxa"/>
            <w:gridSpan w:val="3"/>
            <w:vAlign w:val="center"/>
          </w:tcPr>
          <w:p>
            <w:pPr>
              <w:pStyle w:val="13"/>
            </w:pPr>
            <w:r>
              <w:t>域名管理和电子政务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主要用于机构编制信息管理系统、电子政务建设以及交纳行政机关和事业单位中文域名注册管理费，做好机构编制统计工作，并负责机构编制网站的管理、使用和维护。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1.行政事业单位域名网站正常使用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任务完成率</w:t>
            </w:r>
          </w:p>
        </w:tc>
        <w:tc>
          <w:tcPr>
            <w:tcW w:w="5386" w:type="dxa"/>
            <w:vAlign w:val="center"/>
          </w:tcPr>
          <w:p>
            <w:pPr>
              <w:pStyle w:val="13"/>
            </w:pPr>
            <w:r>
              <w:t>每年为全市行政机关和事业单位中文域名缴纳管理费用</w:t>
            </w:r>
          </w:p>
        </w:tc>
        <w:tc>
          <w:tcPr>
            <w:tcW w:w="2268" w:type="dxa"/>
            <w:vAlign w:val="center"/>
          </w:tcPr>
          <w:p>
            <w:pPr>
              <w:pStyle w:val="13"/>
            </w:pPr>
            <w:r>
              <w:t>100%</w:t>
            </w:r>
          </w:p>
        </w:tc>
        <w:tc>
          <w:tcPr>
            <w:tcW w:w="1276" w:type="dxa"/>
            <w:vAlign w:val="center"/>
          </w:tcPr>
          <w:p>
            <w:pPr>
              <w:pStyle w:val="13"/>
            </w:pPr>
            <w:r>
              <w:t>石机编办[2016]85号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考核完成率</w:t>
            </w:r>
          </w:p>
        </w:tc>
        <w:tc>
          <w:tcPr>
            <w:tcW w:w="5386" w:type="dxa"/>
            <w:vAlign w:val="center"/>
          </w:tcPr>
          <w:p>
            <w:pPr>
              <w:pStyle w:val="13"/>
            </w:pPr>
            <w:r>
              <w:t>机构编制统计工作覆盖情况</w:t>
            </w:r>
          </w:p>
        </w:tc>
        <w:tc>
          <w:tcPr>
            <w:tcW w:w="2268" w:type="dxa"/>
            <w:vAlign w:val="center"/>
          </w:tcPr>
          <w:p>
            <w:pPr>
              <w:pStyle w:val="13"/>
            </w:pPr>
            <w:r>
              <w:t>100%</w:t>
            </w:r>
          </w:p>
        </w:tc>
        <w:tc>
          <w:tcPr>
            <w:tcW w:w="1276" w:type="dxa"/>
            <w:vAlign w:val="center"/>
          </w:tcPr>
          <w:p>
            <w:pPr>
              <w:pStyle w:val="13"/>
            </w:pPr>
            <w:r>
              <w:t>石机编办[2016]85号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本年度使用情况</w:t>
            </w:r>
          </w:p>
        </w:tc>
        <w:tc>
          <w:tcPr>
            <w:tcW w:w="5386" w:type="dxa"/>
            <w:vAlign w:val="center"/>
          </w:tcPr>
          <w:p>
            <w:pPr>
              <w:pStyle w:val="13"/>
            </w:pPr>
            <w:r>
              <w:t>各行政事业单位中文域名网站能够正常使用</w:t>
            </w:r>
          </w:p>
        </w:tc>
        <w:tc>
          <w:tcPr>
            <w:tcW w:w="2268" w:type="dxa"/>
            <w:vAlign w:val="center"/>
          </w:tcPr>
          <w:p>
            <w:pPr>
              <w:pStyle w:val="13"/>
            </w:pPr>
            <w:r>
              <w:t>网站正常使用</w:t>
            </w:r>
          </w:p>
        </w:tc>
        <w:tc>
          <w:tcPr>
            <w:tcW w:w="1276" w:type="dxa"/>
            <w:vAlign w:val="center"/>
          </w:tcPr>
          <w:p>
            <w:pPr>
              <w:pStyle w:val="13"/>
            </w:pPr>
            <w:r>
              <w:t>石机编办[2016]85号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10万元</w:t>
            </w:r>
          </w:p>
        </w:tc>
        <w:tc>
          <w:tcPr>
            <w:tcW w:w="1276" w:type="dxa"/>
            <w:vAlign w:val="center"/>
          </w:tcPr>
          <w:p>
            <w:pPr>
              <w:pStyle w:val="13"/>
            </w:pPr>
            <w:r>
              <w:t>石机编办[2016]85号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服务效率</w:t>
            </w:r>
          </w:p>
        </w:tc>
        <w:tc>
          <w:tcPr>
            <w:tcW w:w="5386" w:type="dxa"/>
            <w:vAlign w:val="center"/>
          </w:tcPr>
          <w:p>
            <w:pPr>
              <w:pStyle w:val="13"/>
            </w:pPr>
            <w:r>
              <w:t>做好域名应用普及和协助做好已注册域名的后续服务工作</w:t>
            </w:r>
          </w:p>
        </w:tc>
        <w:tc>
          <w:tcPr>
            <w:tcW w:w="2268" w:type="dxa"/>
            <w:vAlign w:val="center"/>
          </w:tcPr>
          <w:p>
            <w:pPr>
              <w:pStyle w:val="13"/>
            </w:pPr>
            <w:r>
              <w:t>优化工作效率</w:t>
            </w:r>
          </w:p>
        </w:tc>
        <w:tc>
          <w:tcPr>
            <w:tcW w:w="1276" w:type="dxa"/>
            <w:vAlign w:val="center"/>
          </w:tcPr>
          <w:p>
            <w:pPr>
              <w:pStyle w:val="13"/>
            </w:pPr>
            <w:r>
              <w:t>石机编办[2016]85号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225中共晋州市委机构编制委员会办公室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1.20</w:t>
            </w:r>
          </w:p>
        </w:tc>
        <w:tc>
          <w:tcPr>
            <w:tcW w:w="964" w:type="dxa"/>
            <w:vAlign w:val="center"/>
          </w:tcPr>
          <w:p>
            <w:pPr>
              <w:pStyle w:val="16"/>
            </w:pPr>
            <w:r>
              <w:t>1.20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中共晋州市委机构编制委员会办公室本级小计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1.20</w:t>
            </w:r>
          </w:p>
        </w:tc>
        <w:tc>
          <w:tcPr>
            <w:tcW w:w="964" w:type="dxa"/>
            <w:vAlign w:val="center"/>
          </w:tcPr>
          <w:p>
            <w:pPr>
              <w:pStyle w:val="16"/>
            </w:pPr>
            <w:r>
              <w:t>1.20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7.37</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600</w:t>
            </w:r>
          </w:p>
        </w:tc>
        <w:tc>
          <w:tcPr>
            <w:tcW w:w="850" w:type="dxa"/>
            <w:vAlign w:val="center"/>
          </w:tcPr>
          <w:p>
            <w:pPr>
              <w:pStyle w:val="12"/>
            </w:pPr>
            <w:r>
              <w:t>0.00</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中共晋州市委机构编制委员会办公室（含所属单位）上年末固定资产金额为54.22万元（详见下表）。本年度拟购置固定资产总额为0.00万元，已按要求列入政府采购预算，详见政府采购预算表。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225中共晋州市委机构编制委员会办公室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202</w:t>
            </w:r>
          </w:p>
        </w:tc>
        <w:tc>
          <w:tcPr>
            <w:tcW w:w="2835" w:type="dxa"/>
            <w:vAlign w:val="center"/>
          </w:tcPr>
          <w:p>
            <w:pPr>
              <w:pStyle w:val="12"/>
            </w:pPr>
            <w:r>
              <w:t>41.52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0550A04"/>
    <w:multiLevelType w:val="singleLevel"/>
    <w:tmpl w:val="D0550A0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00316F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29</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2026-03-02T08:37:00Z</dcterms:created>
  <dc:creator>Administrator</dc:creator>
  <cp:lastModifiedBy>Administrator</cp:lastModifiedBy>
  <dcterms:modified xsi:type="dcterms:W3CDTF">2026-03-02T03:03:00Z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