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一、晋州市档案馆本级收支预算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一、晋州市档案馆本级收支预算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127.66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127.66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127.66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127.66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127.66</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127.66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127.66</w:t>
            </w:r>
          </w:p>
        </w:tc>
        <w:tc>
          <w:tcPr>
            <w:tcW w:w="1134" w:type="dxa"/>
            <w:vAlign w:val="center"/>
          </w:tcPr>
          <w:p>
            <w:pPr>
              <w:pStyle w:val="单元格样式7"/>
            </w:pPr>
            <w:r>
              <w:t xml:space="preserve">127.66</w:t>
            </w:r>
          </w:p>
        </w:tc>
        <w:tc>
          <w:tcPr>
            <w:tcW w:w="1134" w:type="dxa"/>
            <w:vAlign w:val="center"/>
          </w:tcPr>
          <w:p>
            <w:pPr>
              <w:pStyle w:val="单元格样式7"/>
            </w:pPr>
            <w:r>
              <w:t xml:space="preserve">127.66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20126</w:t>
            </w:r>
          </w:p>
        </w:tc>
        <w:tc>
          <w:tcPr>
            <w:tcW w:w="1559" w:type="dxa"/>
            <w:vAlign w:val="center"/>
          </w:tcPr>
          <w:p>
            <w:pPr>
              <w:pStyle w:val="单元格样式2"/>
            </w:pPr>
            <w:r>
              <w:t xml:space="preserve">档案事务</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2012604</w:t>
            </w:r>
          </w:p>
        </w:tc>
        <w:tc>
          <w:tcPr>
            <w:tcW w:w="1559" w:type="dxa"/>
            <w:vAlign w:val="center"/>
          </w:tcPr>
          <w:p>
            <w:pPr>
              <w:pStyle w:val="单元格样式2"/>
            </w:pPr>
            <w:r>
              <w:t xml:space="preserve">档案馆</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r>
              <w:t xml:space="preserve">127.66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127.66</w:t>
            </w:r>
          </w:p>
        </w:tc>
        <w:tc>
          <w:tcPr>
            <w:tcW w:w="1361" w:type="dxa"/>
            <w:vAlign w:val="center"/>
          </w:tcPr>
          <w:p>
            <w:pPr>
              <w:pStyle w:val="单元格样式7"/>
            </w:pPr>
            <w:r>
              <w:t xml:space="preserve">106.81</w:t>
            </w:r>
          </w:p>
        </w:tc>
        <w:tc>
          <w:tcPr>
            <w:tcW w:w="1361" w:type="dxa"/>
            <w:vAlign w:val="center"/>
          </w:tcPr>
          <w:p>
            <w:pPr>
              <w:pStyle w:val="单元格样式7"/>
            </w:pPr>
            <w:r>
              <w:t xml:space="preserve">20.85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127.66</w:t>
            </w:r>
          </w:p>
        </w:tc>
        <w:tc>
          <w:tcPr>
            <w:tcW w:w="1361" w:type="dxa"/>
            <w:vAlign w:val="center"/>
          </w:tcPr>
          <w:p>
            <w:pPr>
              <w:pStyle w:val="单元格样式4"/>
            </w:pPr>
            <w:r>
              <w:t xml:space="preserve">106.81</w:t>
            </w:r>
          </w:p>
        </w:tc>
        <w:tc>
          <w:tcPr>
            <w:tcW w:w="1361" w:type="dxa"/>
            <w:vAlign w:val="center"/>
          </w:tcPr>
          <w:p>
            <w:pPr>
              <w:pStyle w:val="单元格样式4"/>
            </w:pPr>
            <w:r>
              <w:t xml:space="preserve">20.85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20126</w:t>
            </w:r>
          </w:p>
        </w:tc>
        <w:tc>
          <w:tcPr>
            <w:tcW w:w="4535" w:type="dxa"/>
            <w:vAlign w:val="center"/>
          </w:tcPr>
          <w:p>
            <w:pPr>
              <w:pStyle w:val="单元格样式2"/>
            </w:pPr>
            <w:r>
              <w:t xml:space="preserve">档案事务</w:t>
            </w:r>
          </w:p>
        </w:tc>
        <w:tc>
          <w:tcPr>
            <w:tcW w:w="1361" w:type="dxa"/>
            <w:vAlign w:val="center"/>
          </w:tcPr>
          <w:p>
            <w:pPr>
              <w:pStyle w:val="单元格样式4"/>
            </w:pPr>
            <w:r>
              <w:t xml:space="preserve">127.66</w:t>
            </w:r>
          </w:p>
        </w:tc>
        <w:tc>
          <w:tcPr>
            <w:tcW w:w="1361" w:type="dxa"/>
            <w:vAlign w:val="center"/>
          </w:tcPr>
          <w:p>
            <w:pPr>
              <w:pStyle w:val="单元格样式4"/>
            </w:pPr>
            <w:r>
              <w:t xml:space="preserve">106.81</w:t>
            </w:r>
          </w:p>
        </w:tc>
        <w:tc>
          <w:tcPr>
            <w:tcW w:w="1361" w:type="dxa"/>
            <w:vAlign w:val="center"/>
          </w:tcPr>
          <w:p>
            <w:pPr>
              <w:pStyle w:val="单元格样式4"/>
            </w:pPr>
            <w:r>
              <w:t xml:space="preserve">20.85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2012604</w:t>
            </w:r>
          </w:p>
        </w:tc>
        <w:tc>
          <w:tcPr>
            <w:tcW w:w="4535" w:type="dxa"/>
            <w:vAlign w:val="center"/>
          </w:tcPr>
          <w:p>
            <w:pPr>
              <w:pStyle w:val="单元格样式2"/>
            </w:pPr>
            <w:r>
              <w:t xml:space="preserve">档案馆</w:t>
            </w:r>
          </w:p>
        </w:tc>
        <w:tc>
          <w:tcPr>
            <w:tcW w:w="1361" w:type="dxa"/>
            <w:vAlign w:val="center"/>
          </w:tcPr>
          <w:p>
            <w:pPr>
              <w:pStyle w:val="单元格样式4"/>
            </w:pPr>
            <w:r>
              <w:t xml:space="preserve">127.66</w:t>
            </w:r>
          </w:p>
        </w:tc>
        <w:tc>
          <w:tcPr>
            <w:tcW w:w="1361" w:type="dxa"/>
            <w:vAlign w:val="center"/>
          </w:tcPr>
          <w:p>
            <w:pPr>
              <w:pStyle w:val="单元格样式4"/>
            </w:pPr>
            <w:r>
              <w:t xml:space="preserve">106.81</w:t>
            </w:r>
          </w:p>
        </w:tc>
        <w:tc>
          <w:tcPr>
            <w:tcW w:w="1361" w:type="dxa"/>
            <w:vAlign w:val="center"/>
          </w:tcPr>
          <w:p>
            <w:pPr>
              <w:pStyle w:val="单元格样式4"/>
            </w:pPr>
            <w:r>
              <w:t xml:space="preserve">20.85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127.66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127.66</w:t>
            </w:r>
          </w:p>
        </w:tc>
        <w:tc>
          <w:tcPr>
            <w:tcW w:w="1474" w:type="dxa"/>
            <w:vAlign w:val="center"/>
          </w:tcPr>
          <w:p>
            <w:pPr>
              <w:pStyle w:val="单元格样式4"/>
            </w:pPr>
            <w:r>
              <w:t xml:space="preserve">127.66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127.66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127.66</w:t>
            </w:r>
          </w:p>
        </w:tc>
        <w:tc>
          <w:tcPr>
            <w:tcW w:w="1474" w:type="dxa"/>
            <w:vAlign w:val="center"/>
          </w:tcPr>
          <w:p>
            <w:pPr>
              <w:pStyle w:val="单元格样式7"/>
            </w:pPr>
            <w:r>
              <w:t xml:space="preserve">127.66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127.66</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127.66</w:t>
            </w:r>
          </w:p>
        </w:tc>
        <w:tc>
          <w:tcPr>
            <w:tcW w:w="1474" w:type="dxa"/>
            <w:vAlign w:val="center"/>
          </w:tcPr>
          <w:p>
            <w:pPr>
              <w:pStyle w:val="单元格样式7"/>
            </w:pPr>
            <w:r>
              <w:t xml:space="preserve">127.66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127.66</w:t>
            </w:r>
          </w:p>
        </w:tc>
        <w:tc>
          <w:tcPr>
            <w:tcW w:w="2551" w:type="dxa"/>
            <w:vAlign w:val="center"/>
          </w:tcPr>
          <w:p>
            <w:pPr>
              <w:pStyle w:val="单元格样式7"/>
            </w:pPr>
            <w:r>
              <w:t xml:space="preserve">106.81</w:t>
            </w:r>
          </w:p>
        </w:tc>
        <w:tc>
          <w:tcPr>
            <w:tcW w:w="2551" w:type="dxa"/>
            <w:vAlign w:val="center"/>
          </w:tcPr>
          <w:p>
            <w:pPr>
              <w:pStyle w:val="单元格样式7"/>
            </w:pPr>
            <w:r>
              <w:t xml:space="preserve">20.85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127.66</w:t>
            </w:r>
          </w:p>
        </w:tc>
        <w:tc>
          <w:tcPr>
            <w:tcW w:w="2551" w:type="dxa"/>
            <w:vAlign w:val="center"/>
          </w:tcPr>
          <w:p>
            <w:pPr>
              <w:pStyle w:val="单元格样式4"/>
            </w:pPr>
            <w:r>
              <w:t xml:space="preserve">106.81</w:t>
            </w:r>
          </w:p>
        </w:tc>
        <w:tc>
          <w:tcPr>
            <w:tcW w:w="2551" w:type="dxa"/>
            <w:vAlign w:val="center"/>
          </w:tcPr>
          <w:p>
            <w:pPr>
              <w:pStyle w:val="单元格样式4"/>
            </w:pPr>
            <w:r>
              <w:t xml:space="preserve">20.85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20126</w:t>
            </w:r>
          </w:p>
        </w:tc>
        <w:tc>
          <w:tcPr>
            <w:tcW w:w="4535" w:type="dxa"/>
            <w:vAlign w:val="center"/>
          </w:tcPr>
          <w:p>
            <w:pPr>
              <w:pStyle w:val="单元格样式2"/>
            </w:pPr>
            <w:r>
              <w:t xml:space="preserve">档案事务</w:t>
            </w:r>
          </w:p>
        </w:tc>
        <w:tc>
          <w:tcPr>
            <w:tcW w:w="2551" w:type="dxa"/>
            <w:vAlign w:val="center"/>
          </w:tcPr>
          <w:p>
            <w:pPr>
              <w:pStyle w:val="单元格样式4"/>
            </w:pPr>
            <w:r>
              <w:t xml:space="preserve">127.66</w:t>
            </w:r>
          </w:p>
        </w:tc>
        <w:tc>
          <w:tcPr>
            <w:tcW w:w="2551" w:type="dxa"/>
            <w:vAlign w:val="center"/>
          </w:tcPr>
          <w:p>
            <w:pPr>
              <w:pStyle w:val="单元格样式4"/>
            </w:pPr>
            <w:r>
              <w:t xml:space="preserve">106.81</w:t>
            </w:r>
          </w:p>
        </w:tc>
        <w:tc>
          <w:tcPr>
            <w:tcW w:w="2551" w:type="dxa"/>
            <w:vAlign w:val="center"/>
          </w:tcPr>
          <w:p>
            <w:pPr>
              <w:pStyle w:val="单元格样式4"/>
            </w:pPr>
            <w:r>
              <w:t xml:space="preserve">20.85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2012604</w:t>
            </w:r>
          </w:p>
        </w:tc>
        <w:tc>
          <w:tcPr>
            <w:tcW w:w="4535" w:type="dxa"/>
            <w:vAlign w:val="center"/>
          </w:tcPr>
          <w:p>
            <w:pPr>
              <w:pStyle w:val="单元格样式2"/>
            </w:pPr>
            <w:r>
              <w:t xml:space="preserve">档案馆</w:t>
            </w:r>
          </w:p>
        </w:tc>
        <w:tc>
          <w:tcPr>
            <w:tcW w:w="2551" w:type="dxa"/>
            <w:vAlign w:val="center"/>
          </w:tcPr>
          <w:p>
            <w:pPr>
              <w:pStyle w:val="单元格样式4"/>
            </w:pPr>
            <w:r>
              <w:t xml:space="preserve">127.66</w:t>
            </w:r>
          </w:p>
        </w:tc>
        <w:tc>
          <w:tcPr>
            <w:tcW w:w="2551" w:type="dxa"/>
            <w:vAlign w:val="center"/>
          </w:tcPr>
          <w:p>
            <w:pPr>
              <w:pStyle w:val="单元格样式4"/>
            </w:pPr>
            <w:r>
              <w:t xml:space="preserve">106.81</w:t>
            </w:r>
          </w:p>
        </w:tc>
        <w:tc>
          <w:tcPr>
            <w:tcW w:w="2551" w:type="dxa"/>
            <w:vAlign w:val="center"/>
          </w:tcPr>
          <w:p>
            <w:pPr>
              <w:pStyle w:val="单元格样式4"/>
            </w:pPr>
            <w:r>
              <w:t xml:space="preserve">20.85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106.81</w:t>
            </w:r>
          </w:p>
        </w:tc>
        <w:tc>
          <w:tcPr>
            <w:tcW w:w="2551" w:type="dxa"/>
            <w:vAlign w:val="center"/>
          </w:tcPr>
          <w:p>
            <w:pPr>
              <w:pStyle w:val="单元格样式7"/>
            </w:pPr>
            <w:r>
              <w:t xml:space="preserve">84.24</w:t>
            </w:r>
          </w:p>
        </w:tc>
        <w:tc>
          <w:tcPr>
            <w:tcW w:w="2551" w:type="dxa"/>
            <w:vAlign w:val="center"/>
          </w:tcPr>
          <w:p>
            <w:pPr>
              <w:pStyle w:val="单元格样式7"/>
            </w:pPr>
            <w:r>
              <w:t xml:space="preserve">22.57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77.85</w:t>
            </w:r>
          </w:p>
        </w:tc>
        <w:tc>
          <w:tcPr>
            <w:tcW w:w="2551" w:type="dxa"/>
            <w:vAlign w:val="center"/>
          </w:tcPr>
          <w:p>
            <w:pPr>
              <w:pStyle w:val="单元格样式4"/>
            </w:pPr>
            <w:r>
              <w:t xml:space="preserve">77.85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28.33</w:t>
            </w:r>
          </w:p>
        </w:tc>
        <w:tc>
          <w:tcPr>
            <w:tcW w:w="2551" w:type="dxa"/>
            <w:vAlign w:val="center"/>
          </w:tcPr>
          <w:p>
            <w:pPr>
              <w:pStyle w:val="单元格样式4"/>
            </w:pPr>
            <w:r>
              <w:t xml:space="preserve">28.33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3.64</w:t>
            </w:r>
          </w:p>
        </w:tc>
        <w:tc>
          <w:tcPr>
            <w:tcW w:w="2551" w:type="dxa"/>
            <w:vAlign w:val="center"/>
          </w:tcPr>
          <w:p>
            <w:pPr>
              <w:pStyle w:val="单元格样式4"/>
            </w:pPr>
            <w:r>
              <w:t xml:space="preserve">3.64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23.17</w:t>
            </w:r>
          </w:p>
        </w:tc>
        <w:tc>
          <w:tcPr>
            <w:tcW w:w="2551" w:type="dxa"/>
            <w:vAlign w:val="center"/>
          </w:tcPr>
          <w:p>
            <w:pPr>
              <w:pStyle w:val="单元格样式4"/>
            </w:pPr>
            <w:r>
              <w:t xml:space="preserve">23.17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7.71</w:t>
            </w:r>
          </w:p>
        </w:tc>
        <w:tc>
          <w:tcPr>
            <w:tcW w:w="2551" w:type="dxa"/>
            <w:vAlign w:val="center"/>
          </w:tcPr>
          <w:p>
            <w:pPr>
              <w:pStyle w:val="单元格样式4"/>
            </w:pPr>
            <w:r>
              <w:t xml:space="preserve">7.71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1.56</w:t>
            </w:r>
          </w:p>
        </w:tc>
        <w:tc>
          <w:tcPr>
            <w:tcW w:w="2551" w:type="dxa"/>
            <w:vAlign w:val="center"/>
          </w:tcPr>
          <w:p>
            <w:pPr>
              <w:pStyle w:val="单元格样式4"/>
            </w:pPr>
            <w:r>
              <w:t xml:space="preserve">1.56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0.60</w:t>
            </w:r>
          </w:p>
        </w:tc>
        <w:tc>
          <w:tcPr>
            <w:tcW w:w="2551" w:type="dxa"/>
            <w:vAlign w:val="center"/>
          </w:tcPr>
          <w:p>
            <w:pPr>
              <w:pStyle w:val="单元格样式4"/>
            </w:pPr>
            <w:r>
              <w:t xml:space="preserve">0.60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6.18</w:t>
            </w:r>
          </w:p>
        </w:tc>
        <w:tc>
          <w:tcPr>
            <w:tcW w:w="2551" w:type="dxa"/>
            <w:vAlign w:val="center"/>
          </w:tcPr>
          <w:p>
            <w:pPr>
              <w:pStyle w:val="单元格样式4"/>
            </w:pPr>
            <w:r>
              <w:t xml:space="preserve">6.18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3.60</w:t>
            </w:r>
          </w:p>
        </w:tc>
        <w:tc>
          <w:tcPr>
            <w:tcW w:w="2551" w:type="dxa"/>
            <w:vAlign w:val="center"/>
          </w:tcPr>
          <w:p>
            <w:pPr>
              <w:pStyle w:val="单元格样式4"/>
            </w:pPr>
            <w:r>
              <w:t xml:space="preserve">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22.57</w:t>
            </w:r>
          </w:p>
        </w:tc>
        <w:tc>
          <w:tcPr>
            <w:tcW w:w="2551" w:type="dxa"/>
            <w:vAlign w:val="center"/>
          </w:tcPr>
          <w:p>
            <w:pPr>
              <w:pStyle w:val="单元格样式4"/>
            </w:pPr>
          </w:p>
        </w:tc>
        <w:tc>
          <w:tcPr>
            <w:tcW w:w="2551" w:type="dxa"/>
            <w:vAlign w:val="center"/>
          </w:tcPr>
          <w:p>
            <w:pPr>
              <w:pStyle w:val="单元格样式4"/>
            </w:pPr>
            <w:r>
              <w:t xml:space="preserve">22.57</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3.48</w:t>
            </w:r>
          </w:p>
        </w:tc>
        <w:tc>
          <w:tcPr>
            <w:tcW w:w="2551" w:type="dxa"/>
            <w:vAlign w:val="center"/>
          </w:tcPr>
          <w:p>
            <w:pPr>
              <w:pStyle w:val="单元格样式4"/>
            </w:pPr>
          </w:p>
        </w:tc>
        <w:tc>
          <w:tcPr>
            <w:tcW w:w="2551" w:type="dxa"/>
            <w:vAlign w:val="center"/>
          </w:tcPr>
          <w:p>
            <w:pPr>
              <w:pStyle w:val="单元格样式4"/>
            </w:pPr>
            <w:r>
              <w:t xml:space="preserve">3.48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1.30</w:t>
            </w:r>
          </w:p>
        </w:tc>
        <w:tc>
          <w:tcPr>
            <w:tcW w:w="2551" w:type="dxa"/>
            <w:vAlign w:val="center"/>
          </w:tcPr>
          <w:p>
            <w:pPr>
              <w:pStyle w:val="单元格样式4"/>
            </w:pPr>
          </w:p>
        </w:tc>
        <w:tc>
          <w:tcPr>
            <w:tcW w:w="2551" w:type="dxa"/>
            <w:vAlign w:val="center"/>
          </w:tcPr>
          <w:p>
            <w:pPr>
              <w:pStyle w:val="单元格样式4"/>
            </w:pPr>
            <w:r>
              <w:t xml:space="preserve">1.30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0.59</w:t>
            </w:r>
          </w:p>
        </w:tc>
        <w:tc>
          <w:tcPr>
            <w:tcW w:w="2551" w:type="dxa"/>
            <w:vAlign w:val="center"/>
          </w:tcPr>
          <w:p>
            <w:pPr>
              <w:pStyle w:val="单元格样式4"/>
            </w:pPr>
          </w:p>
        </w:tc>
        <w:tc>
          <w:tcPr>
            <w:tcW w:w="2551" w:type="dxa"/>
            <w:vAlign w:val="center"/>
          </w:tcPr>
          <w:p>
            <w:pPr>
              <w:pStyle w:val="单元格样式4"/>
            </w:pPr>
            <w:r>
              <w:t xml:space="preserve">0.59</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5.88</w:t>
            </w:r>
          </w:p>
        </w:tc>
        <w:tc>
          <w:tcPr>
            <w:tcW w:w="2551" w:type="dxa"/>
            <w:vAlign w:val="center"/>
          </w:tcPr>
          <w:p>
            <w:pPr>
              <w:pStyle w:val="单元格样式4"/>
            </w:pPr>
          </w:p>
        </w:tc>
        <w:tc>
          <w:tcPr>
            <w:tcW w:w="2551" w:type="dxa"/>
            <w:vAlign w:val="center"/>
          </w:tcPr>
          <w:p>
            <w:pPr>
              <w:pStyle w:val="单元格样式4"/>
            </w:pPr>
            <w:r>
              <w:t xml:space="preserve">5.88</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2.31</w:t>
            </w:r>
          </w:p>
        </w:tc>
        <w:tc>
          <w:tcPr>
            <w:tcW w:w="2551" w:type="dxa"/>
            <w:vAlign w:val="center"/>
          </w:tcPr>
          <w:p>
            <w:pPr>
              <w:pStyle w:val="单元格样式4"/>
            </w:pPr>
          </w:p>
        </w:tc>
        <w:tc>
          <w:tcPr>
            <w:tcW w:w="2551" w:type="dxa"/>
            <w:vAlign w:val="center"/>
          </w:tcPr>
          <w:p>
            <w:pPr>
              <w:pStyle w:val="单元格样式4"/>
            </w:pPr>
            <w:r>
              <w:t xml:space="preserve">2.31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3.42</w:t>
            </w:r>
          </w:p>
        </w:tc>
        <w:tc>
          <w:tcPr>
            <w:tcW w:w="2551" w:type="dxa"/>
            <w:vAlign w:val="center"/>
          </w:tcPr>
          <w:p>
            <w:pPr>
              <w:pStyle w:val="单元格样式4"/>
            </w:pPr>
          </w:p>
        </w:tc>
        <w:tc>
          <w:tcPr>
            <w:tcW w:w="2551" w:type="dxa"/>
            <w:vAlign w:val="center"/>
          </w:tcPr>
          <w:p>
            <w:pPr>
              <w:pStyle w:val="单元格样式4"/>
            </w:pPr>
            <w:r>
              <w:t xml:space="preserve">3.42</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2.48</w:t>
            </w:r>
          </w:p>
        </w:tc>
        <w:tc>
          <w:tcPr>
            <w:tcW w:w="2551" w:type="dxa"/>
            <w:vAlign w:val="center"/>
          </w:tcPr>
          <w:p>
            <w:pPr>
              <w:pStyle w:val="单元格样式4"/>
            </w:pPr>
          </w:p>
        </w:tc>
        <w:tc>
          <w:tcPr>
            <w:tcW w:w="2551" w:type="dxa"/>
            <w:vAlign w:val="center"/>
          </w:tcPr>
          <w:p>
            <w:pPr>
              <w:pStyle w:val="单元格样式4"/>
            </w:pPr>
            <w:r>
              <w:t xml:space="preserve">2.48</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6.39</w:t>
            </w:r>
          </w:p>
        </w:tc>
        <w:tc>
          <w:tcPr>
            <w:tcW w:w="2551" w:type="dxa"/>
            <w:vAlign w:val="center"/>
          </w:tcPr>
          <w:p>
            <w:pPr>
              <w:pStyle w:val="单元格样式4"/>
            </w:pPr>
            <w:r>
              <w:t xml:space="preserve">6.39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6.39</w:t>
            </w:r>
          </w:p>
        </w:tc>
        <w:tc>
          <w:tcPr>
            <w:tcW w:w="2551" w:type="dxa"/>
            <w:vAlign w:val="center"/>
          </w:tcPr>
          <w:p>
            <w:pPr>
              <w:pStyle w:val="单元格样式4"/>
            </w:pPr>
            <w:r>
              <w:t xml:space="preserve">6.39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晋州市档案馆本级2026年单位预算信息公开情况说明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按照《中华人民共和国预算法》、《地方预决算公开操作规程》和《关于进一步推进预算公开工作的实施意见》规定，现将晋州市档案馆本级2026年单位预算公开如下：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1、集中统一管理全市的重要档案资料，保管革命历史、旧政权、名人以及具有地方特色的各种档案资料。负责调查、征集散存在国内外、省外的有关档案资料。</w:t>
      </w:r>
    </w:p>
    <w:p>
      <w:pPr>
        <w:pStyle w:val="插入文本样式-插入单位职责文件"/>
      </w:pPr>
      <w:r>
        <w:t xml:space="preserve">2、开展接收征集、保管、鉴定等各项工作，保守党和国家机密，维护档案的完整，对破损、字迹褪变档案资料进行抢救保护，确保档案资料的安全；负责全市档案信息开发、开放与管理，发挥档案信息作用，为社会各方面提供服务。</w:t>
      </w:r>
    </w:p>
    <w:p>
      <w:pPr>
        <w:pStyle w:val="插入文本样式-插入单位职责文件"/>
      </w:pPr>
      <w:r>
        <w:t xml:space="preserve">3、组织指导、协调全市机关、团体、企事业单位的档案业务工作。</w:t>
      </w:r>
    </w:p>
    <w:p>
      <w:pPr>
        <w:pStyle w:val="插入文本样式-插入单位职责文件"/>
      </w:pPr>
      <w:r>
        <w:t xml:space="preserve">4、组织档案科学技术和理论研究，推动档案工作的科学化、标准化和现代化管理。</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晋州市档案馆本级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127.66万元，其中：一般公共预算收入127.66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档案馆本级年度单位预算中支出预算的总体情况。2026年支出预算127.66万元，其中基本支出106.81万元，包括人员经费84.24万元和日常公用经费22.57万元；项目支出20.85万元，主要为业务费项目，用于馆藏档案的托裱、修复、复制等抢救工作和档案信息化工作，实现对档案的数据化备份和保护；预计下年使用的单位资金结余0.00万元。委托业务费共计安排12.50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127.66万元，较2025年预算增加4.79万元，其中：基本支出增加4.80万元，主要为人员工资福利支出增加4.49万元，日常公用经费支出增加0.31万元。项目支出减少0.01万元，主要为压减业务费项目中维修（护）费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2026年，我单位机关运行经费共计安排22.57万元，主要用于日常维修、办公用房水电费、办公用房取暖费、办公用房物业管理费等日常运行支出。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约，压减公务用车购置及运维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13018326P00032810433X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20.85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20.85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用于馆藏档案的托裱、修复、复制等抢救工作和档案信息化工作，实现对档案的数据化备份和保护。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80%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1.实现对馆藏档案及档案设施的管理维护，保障档案安全，完成档案的托裱、修复、复制等抢救保护工作，推进对档案的数据化备份和保护，提升档案管理水平，为阅档者提供优质、高效的服务。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档案及设施维修及修复工作完成率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档案资料保管完好率</w:t>
            </w:r>
          </w:p>
        </w:tc>
        <w:tc>
          <w:tcPr>
            <w:tcW w:w="5386" w:type="dxa"/>
            <w:vAlign w:val="center"/>
          </w:tcPr>
          <w:p>
            <w:pPr>
              <w:pStyle w:val="单元格样式2"/>
            </w:pPr>
            <w:r>
              <w:t xml:space="preserve">档案整理合格率及保存完好率</w:t>
            </w:r>
          </w:p>
        </w:tc>
        <w:tc>
          <w:tcPr>
            <w:tcW w:w="2268" w:type="dxa"/>
            <w:vAlign w:val="center"/>
          </w:tcPr>
          <w:p>
            <w:pPr>
              <w:pStyle w:val="单元格样式2"/>
            </w:pPr>
            <w:r>
              <w:t xml:space="preserve">≥95%</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工作按时完成率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项目支出成本</w:t>
            </w:r>
          </w:p>
        </w:tc>
        <w:tc>
          <w:tcPr>
            <w:tcW w:w="2268" w:type="dxa"/>
            <w:vAlign w:val="center"/>
          </w:tcPr>
          <w:p>
            <w:pPr>
              <w:pStyle w:val="单元格样式2"/>
            </w:pPr>
            <w:r>
              <w:t xml:space="preserve">≤20.85万元</w:t>
            </w:r>
          </w:p>
        </w:tc>
        <w:tc>
          <w:tcPr>
            <w:tcW w:w="1276" w:type="dxa"/>
            <w:vAlign w:val="center"/>
          </w:tcPr>
          <w:p>
            <w:pPr>
              <w:pStyle w:val="单元格样式2"/>
            </w:pPr>
            <w:r>
              <w:t xml:space="preserve">工作需要</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提供查询服务次数</w:t>
            </w:r>
          </w:p>
        </w:tc>
        <w:tc>
          <w:tcPr>
            <w:tcW w:w="5386" w:type="dxa"/>
            <w:vAlign w:val="center"/>
          </w:tcPr>
          <w:p>
            <w:pPr>
              <w:pStyle w:val="单元格样式2"/>
            </w:pPr>
            <w:r>
              <w:t xml:space="preserve">为阅档者提供查询利用服务次数</w:t>
            </w:r>
          </w:p>
        </w:tc>
        <w:tc>
          <w:tcPr>
            <w:tcW w:w="2268" w:type="dxa"/>
            <w:vAlign w:val="center"/>
          </w:tcPr>
          <w:p>
            <w:pPr>
              <w:pStyle w:val="单元格样式2"/>
            </w:pPr>
            <w:r>
              <w:t xml:space="preserve">≥2000人次</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查阅档案群众满意率</w:t>
            </w:r>
          </w:p>
        </w:tc>
        <w:tc>
          <w:tcPr>
            <w:tcW w:w="2268" w:type="dxa"/>
            <w:vAlign w:val="center"/>
          </w:tcPr>
          <w:p>
            <w:pPr>
              <w:pStyle w:val="单元格样式2"/>
            </w:pPr>
            <w:r>
              <w:t xml:space="preserve">≥95%</w:t>
            </w:r>
          </w:p>
        </w:tc>
        <w:tc>
          <w:tcPr>
            <w:tcW w:w="1276" w:type="dxa"/>
            <w:vAlign w:val="center"/>
          </w:tcPr>
          <w:p>
            <w:pPr>
              <w:pStyle w:val="单元格样式2"/>
            </w:pPr>
            <w:r>
              <w:t xml:space="preserve">统计调查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blPrEx>
          <w:jc w:val="center"/>
          <w:tblLayout w:type="fixed"/>
        </w:tblPrEx>
        <w:trPr>
          <w:jc w:val="center"/>
        </w:trPr>
        <w:tc>
          <w:tcPr>
            <w:tcW w:w="1701" w:type="dxa"/>
            <w:vAlign w:val="center"/>
          </w:tcPr>
          <w:p>
            <w:pPr>
              <w:pStyle w:val="单元格样式6"/>
            </w:pPr>
            <w:r>
              <w:t xml:space="preserve">晋州市档案馆本级小计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5.57</w:t>
            </w:r>
          </w:p>
        </w:tc>
        <w:tc>
          <w:tcPr>
            <w:tcW w:w="1134" w:type="dxa"/>
            <w:vAlign w:val="center"/>
          </w:tcPr>
          <w:p>
            <w:pPr>
              <w:pStyle w:val="单元格样式2"/>
            </w:pPr>
            <w:r>
              <w:t xml:space="preserve">保密柜</w:t>
            </w:r>
          </w:p>
        </w:tc>
        <w:tc>
          <w:tcPr>
            <w:tcW w:w="1134" w:type="dxa"/>
            <w:vAlign w:val="center"/>
          </w:tcPr>
          <w:p>
            <w:pPr>
              <w:pStyle w:val="单元格样式2"/>
            </w:pPr>
            <w:r>
              <w:t xml:space="preserve">A05010504</w:t>
            </w:r>
          </w:p>
        </w:tc>
        <w:tc>
          <w:tcPr>
            <w:tcW w:w="709" w:type="dxa"/>
            <w:vAlign w:val="center"/>
          </w:tcPr>
          <w:p>
            <w:pPr>
              <w:pStyle w:val="单元格样式3"/>
            </w:pPr>
            <w:r>
              <w:t xml:space="preserve">件</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5.57</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25</w:t>
            </w:r>
          </w:p>
        </w:tc>
        <w:tc>
          <w:tcPr>
            <w:tcW w:w="850" w:type="dxa"/>
            <w:vAlign w:val="center"/>
          </w:tcPr>
          <w:p>
            <w:pPr>
              <w:pStyle w:val="单元格样式4"/>
            </w:pPr>
            <w:r>
              <w:t xml:space="preserve">0.02</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晋州市档案馆本级上年末固定资产金额为674.07万元（详见下表）。本年度拟购置固定资产总额为0.30万元，已按要求列入政府采购预算，详见政府采购预算表。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241001晋州市档案馆本级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674.07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2353</w:t>
            </w:r>
          </w:p>
        </w:tc>
        <w:tc>
          <w:tcPr>
            <w:tcW w:w="2835" w:type="dxa"/>
            <w:vAlign w:val="center"/>
          </w:tcPr>
          <w:p>
            <w:pPr>
              <w:pStyle w:val="单元格样式4"/>
            </w:pPr>
            <w:r>
              <w:t xml:space="preserve">465.59</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176</w:t>
            </w:r>
          </w:p>
        </w:tc>
        <w:tc>
          <w:tcPr>
            <w:tcW w:w="2835" w:type="dxa"/>
            <w:vAlign w:val="center"/>
          </w:tcPr>
          <w:p>
            <w:pPr>
              <w:pStyle w:val="单元格样式4"/>
            </w:pPr>
            <w:r>
              <w:t xml:space="preserve">34.83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15.00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44.88</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294</w:t>
            </w:r>
          </w:p>
        </w:tc>
        <w:tc>
          <w:tcPr>
            <w:tcW w:w="2835" w:type="dxa"/>
            <w:vAlign w:val="center"/>
          </w:tcPr>
          <w:p>
            <w:pPr>
              <w:pStyle w:val="单元格样式4"/>
            </w:pPr>
            <w:r>
              <w:t xml:space="preserve">148.60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2026-03-02T14:23:50Z</dcterms:created>
  <dcterms:modified xsi:type="dcterms:W3CDTF">2026-03-02T14:23:50Z</dcterms:modified>
</cp:coreProperties>
</file>