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617.54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617.54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617.54</w:t>
            </w:r>
          </w:p>
        </w:tc>
        <w:tc>
          <w:tcPr>
            <w:tcW w:w="4535" w:type="dxa"/>
            <w:vAlign w:val="center"/>
          </w:tcPr>
          <w:p>
            <w:pPr>
              <w:pStyle w:val="15"/>
            </w:pPr>
            <w:r>
              <w:t>本年支出合计</w:t>
            </w:r>
          </w:p>
        </w:tc>
        <w:tc>
          <w:tcPr>
            <w:tcW w:w="2126" w:type="dxa"/>
            <w:vAlign w:val="center"/>
          </w:tcPr>
          <w:p>
            <w:pPr>
              <w:pStyle w:val="16"/>
            </w:pPr>
            <w:r>
              <w:t>617.54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617.54</w:t>
            </w:r>
          </w:p>
        </w:tc>
        <w:tc>
          <w:tcPr>
            <w:tcW w:w="4535" w:type="dxa"/>
            <w:vAlign w:val="center"/>
          </w:tcPr>
          <w:p>
            <w:pPr>
              <w:pStyle w:val="15"/>
            </w:pPr>
            <w:r>
              <w:t>支出总计</w:t>
            </w:r>
          </w:p>
        </w:tc>
        <w:tc>
          <w:tcPr>
            <w:tcW w:w="2126" w:type="dxa"/>
            <w:vAlign w:val="center"/>
          </w:tcPr>
          <w:p>
            <w:pPr>
              <w:pStyle w:val="16"/>
            </w:pPr>
            <w:r>
              <w:t>617.54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617.54</w:t>
            </w:r>
          </w:p>
        </w:tc>
        <w:tc>
          <w:tcPr>
            <w:tcW w:w="1134" w:type="dxa"/>
            <w:vAlign w:val="center"/>
          </w:tcPr>
          <w:p>
            <w:pPr>
              <w:pStyle w:val="16"/>
            </w:pPr>
            <w:r>
              <w:t>617.54</w:t>
            </w:r>
          </w:p>
        </w:tc>
        <w:tc>
          <w:tcPr>
            <w:tcW w:w="1134" w:type="dxa"/>
            <w:vAlign w:val="center"/>
          </w:tcPr>
          <w:p>
            <w:pPr>
              <w:pStyle w:val="16"/>
            </w:pPr>
            <w:r>
              <w:t>617.54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617.54</w:t>
            </w:r>
          </w:p>
        </w:tc>
        <w:tc>
          <w:tcPr>
            <w:tcW w:w="1134" w:type="dxa"/>
            <w:vAlign w:val="center"/>
          </w:tcPr>
          <w:p>
            <w:pPr>
              <w:pStyle w:val="12"/>
            </w:pPr>
            <w:r>
              <w:t>617.54</w:t>
            </w:r>
          </w:p>
        </w:tc>
        <w:tc>
          <w:tcPr>
            <w:tcW w:w="1134" w:type="dxa"/>
            <w:vAlign w:val="center"/>
          </w:tcPr>
          <w:p>
            <w:pPr>
              <w:pStyle w:val="12"/>
            </w:pPr>
            <w:r>
              <w:t>617.54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617.54</w:t>
            </w:r>
          </w:p>
        </w:tc>
        <w:tc>
          <w:tcPr>
            <w:tcW w:w="1134" w:type="dxa"/>
            <w:vAlign w:val="center"/>
          </w:tcPr>
          <w:p>
            <w:pPr>
              <w:pStyle w:val="12"/>
            </w:pPr>
            <w:r>
              <w:t>617.54</w:t>
            </w:r>
          </w:p>
        </w:tc>
        <w:tc>
          <w:tcPr>
            <w:tcW w:w="1134" w:type="dxa"/>
            <w:vAlign w:val="center"/>
          </w:tcPr>
          <w:p>
            <w:pPr>
              <w:pStyle w:val="12"/>
            </w:pPr>
            <w:r>
              <w:t>617.54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2050802</w:t>
            </w:r>
          </w:p>
        </w:tc>
        <w:tc>
          <w:tcPr>
            <w:tcW w:w="1559" w:type="dxa"/>
            <w:vAlign w:val="center"/>
          </w:tcPr>
          <w:p>
            <w:pPr>
              <w:pStyle w:val="13"/>
            </w:pPr>
            <w:r>
              <w:t>干部教育</w:t>
            </w:r>
          </w:p>
        </w:tc>
        <w:tc>
          <w:tcPr>
            <w:tcW w:w="1134" w:type="dxa"/>
            <w:vAlign w:val="center"/>
          </w:tcPr>
          <w:p>
            <w:pPr>
              <w:pStyle w:val="12"/>
            </w:pPr>
            <w:r>
              <w:t>617.54</w:t>
            </w:r>
          </w:p>
        </w:tc>
        <w:tc>
          <w:tcPr>
            <w:tcW w:w="1134" w:type="dxa"/>
            <w:vAlign w:val="center"/>
          </w:tcPr>
          <w:p>
            <w:pPr>
              <w:pStyle w:val="12"/>
            </w:pPr>
            <w:r>
              <w:t>617.54</w:t>
            </w:r>
          </w:p>
        </w:tc>
        <w:tc>
          <w:tcPr>
            <w:tcW w:w="1134" w:type="dxa"/>
            <w:vAlign w:val="center"/>
          </w:tcPr>
          <w:p>
            <w:pPr>
              <w:pStyle w:val="12"/>
            </w:pPr>
            <w:r>
              <w:t>617.54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617.54</w:t>
            </w:r>
          </w:p>
        </w:tc>
        <w:tc>
          <w:tcPr>
            <w:tcW w:w="1361" w:type="dxa"/>
            <w:vAlign w:val="center"/>
          </w:tcPr>
          <w:p>
            <w:pPr>
              <w:pStyle w:val="16"/>
            </w:pPr>
            <w:r>
              <w:t>419.81</w:t>
            </w:r>
          </w:p>
        </w:tc>
        <w:tc>
          <w:tcPr>
            <w:tcW w:w="1361" w:type="dxa"/>
            <w:vAlign w:val="center"/>
          </w:tcPr>
          <w:p>
            <w:pPr>
              <w:pStyle w:val="16"/>
            </w:pPr>
            <w:r>
              <w:t>197.73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617.54</w:t>
            </w:r>
          </w:p>
        </w:tc>
        <w:tc>
          <w:tcPr>
            <w:tcW w:w="1361" w:type="dxa"/>
            <w:vAlign w:val="center"/>
          </w:tcPr>
          <w:p>
            <w:pPr>
              <w:pStyle w:val="12"/>
            </w:pPr>
            <w:r>
              <w:t>419.81</w:t>
            </w:r>
          </w:p>
        </w:tc>
        <w:tc>
          <w:tcPr>
            <w:tcW w:w="1361" w:type="dxa"/>
            <w:vAlign w:val="center"/>
          </w:tcPr>
          <w:p>
            <w:pPr>
              <w:pStyle w:val="12"/>
            </w:pPr>
            <w:r>
              <w:t>197.73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617.54</w:t>
            </w:r>
          </w:p>
        </w:tc>
        <w:tc>
          <w:tcPr>
            <w:tcW w:w="1361" w:type="dxa"/>
            <w:vAlign w:val="center"/>
          </w:tcPr>
          <w:p>
            <w:pPr>
              <w:pStyle w:val="12"/>
            </w:pPr>
            <w:r>
              <w:t>419.81</w:t>
            </w:r>
          </w:p>
        </w:tc>
        <w:tc>
          <w:tcPr>
            <w:tcW w:w="1361" w:type="dxa"/>
            <w:vAlign w:val="center"/>
          </w:tcPr>
          <w:p>
            <w:pPr>
              <w:pStyle w:val="12"/>
            </w:pPr>
            <w:r>
              <w:t>197.73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2050802</w:t>
            </w:r>
          </w:p>
        </w:tc>
        <w:tc>
          <w:tcPr>
            <w:tcW w:w="4535" w:type="dxa"/>
            <w:vAlign w:val="center"/>
          </w:tcPr>
          <w:p>
            <w:pPr>
              <w:pStyle w:val="13"/>
            </w:pPr>
            <w:r>
              <w:t>干部教育</w:t>
            </w:r>
          </w:p>
        </w:tc>
        <w:tc>
          <w:tcPr>
            <w:tcW w:w="1361" w:type="dxa"/>
            <w:vAlign w:val="center"/>
          </w:tcPr>
          <w:p>
            <w:pPr>
              <w:pStyle w:val="12"/>
            </w:pPr>
            <w:r>
              <w:t>617.54</w:t>
            </w:r>
          </w:p>
        </w:tc>
        <w:tc>
          <w:tcPr>
            <w:tcW w:w="1361" w:type="dxa"/>
            <w:vAlign w:val="center"/>
          </w:tcPr>
          <w:p>
            <w:pPr>
              <w:pStyle w:val="12"/>
            </w:pPr>
            <w:r>
              <w:t>419.81</w:t>
            </w:r>
          </w:p>
        </w:tc>
        <w:tc>
          <w:tcPr>
            <w:tcW w:w="1361" w:type="dxa"/>
            <w:vAlign w:val="center"/>
          </w:tcPr>
          <w:p>
            <w:pPr>
              <w:pStyle w:val="12"/>
            </w:pPr>
            <w:r>
              <w:t>197.73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617.54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617.54</w:t>
            </w:r>
          </w:p>
        </w:tc>
        <w:tc>
          <w:tcPr>
            <w:tcW w:w="1474" w:type="dxa"/>
            <w:vAlign w:val="center"/>
          </w:tcPr>
          <w:p>
            <w:pPr>
              <w:pStyle w:val="12"/>
            </w:pPr>
            <w:r>
              <w:t>617.54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617.54</w:t>
            </w:r>
          </w:p>
        </w:tc>
        <w:tc>
          <w:tcPr>
            <w:tcW w:w="3402" w:type="dxa"/>
            <w:vAlign w:val="center"/>
          </w:tcPr>
          <w:p>
            <w:pPr>
              <w:pStyle w:val="15"/>
            </w:pPr>
            <w:r>
              <w:t>本年支出合计</w:t>
            </w:r>
          </w:p>
        </w:tc>
        <w:tc>
          <w:tcPr>
            <w:tcW w:w="1474" w:type="dxa"/>
            <w:vAlign w:val="center"/>
          </w:tcPr>
          <w:p>
            <w:pPr>
              <w:pStyle w:val="16"/>
            </w:pPr>
            <w:r>
              <w:t>617.54</w:t>
            </w:r>
          </w:p>
        </w:tc>
        <w:tc>
          <w:tcPr>
            <w:tcW w:w="1474" w:type="dxa"/>
            <w:vAlign w:val="center"/>
          </w:tcPr>
          <w:p>
            <w:pPr>
              <w:pStyle w:val="16"/>
            </w:pPr>
            <w:r>
              <w:t>617.54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617.54</w:t>
            </w:r>
          </w:p>
        </w:tc>
        <w:tc>
          <w:tcPr>
            <w:tcW w:w="3402" w:type="dxa"/>
            <w:vAlign w:val="center"/>
          </w:tcPr>
          <w:p>
            <w:pPr>
              <w:pStyle w:val="15"/>
            </w:pPr>
            <w:r>
              <w:t>支出总计</w:t>
            </w:r>
          </w:p>
        </w:tc>
        <w:tc>
          <w:tcPr>
            <w:tcW w:w="1474" w:type="dxa"/>
            <w:vAlign w:val="center"/>
          </w:tcPr>
          <w:p>
            <w:pPr>
              <w:pStyle w:val="16"/>
            </w:pPr>
            <w:r>
              <w:t>617.54</w:t>
            </w:r>
          </w:p>
        </w:tc>
        <w:tc>
          <w:tcPr>
            <w:tcW w:w="1474" w:type="dxa"/>
            <w:vAlign w:val="center"/>
          </w:tcPr>
          <w:p>
            <w:pPr>
              <w:pStyle w:val="16"/>
            </w:pPr>
            <w:r>
              <w:t>617.54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617.54</w:t>
            </w:r>
          </w:p>
        </w:tc>
        <w:tc>
          <w:tcPr>
            <w:tcW w:w="2551" w:type="dxa"/>
            <w:vAlign w:val="center"/>
          </w:tcPr>
          <w:p>
            <w:pPr>
              <w:pStyle w:val="16"/>
            </w:pPr>
            <w:r>
              <w:t>419.81</w:t>
            </w:r>
          </w:p>
        </w:tc>
        <w:tc>
          <w:tcPr>
            <w:tcW w:w="2551" w:type="dxa"/>
            <w:vAlign w:val="center"/>
          </w:tcPr>
          <w:p>
            <w:pPr>
              <w:pStyle w:val="16"/>
            </w:pPr>
            <w:r>
              <w:t>197.73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617.54</w:t>
            </w:r>
          </w:p>
        </w:tc>
        <w:tc>
          <w:tcPr>
            <w:tcW w:w="2551" w:type="dxa"/>
            <w:vAlign w:val="center"/>
          </w:tcPr>
          <w:p>
            <w:pPr>
              <w:pStyle w:val="12"/>
            </w:pPr>
            <w:r>
              <w:t>419.81</w:t>
            </w:r>
          </w:p>
        </w:tc>
        <w:tc>
          <w:tcPr>
            <w:tcW w:w="2551" w:type="dxa"/>
            <w:vAlign w:val="center"/>
          </w:tcPr>
          <w:p>
            <w:pPr>
              <w:pStyle w:val="12"/>
            </w:pPr>
            <w:r>
              <w:t>197.73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617.54</w:t>
            </w:r>
          </w:p>
        </w:tc>
        <w:tc>
          <w:tcPr>
            <w:tcW w:w="2551" w:type="dxa"/>
            <w:vAlign w:val="center"/>
          </w:tcPr>
          <w:p>
            <w:pPr>
              <w:pStyle w:val="12"/>
            </w:pPr>
            <w:r>
              <w:t>419.81</w:t>
            </w:r>
          </w:p>
        </w:tc>
        <w:tc>
          <w:tcPr>
            <w:tcW w:w="2551" w:type="dxa"/>
            <w:vAlign w:val="center"/>
          </w:tcPr>
          <w:p>
            <w:pPr>
              <w:pStyle w:val="12"/>
            </w:pPr>
            <w:r>
              <w:t>197.73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2050802</w:t>
            </w:r>
          </w:p>
        </w:tc>
        <w:tc>
          <w:tcPr>
            <w:tcW w:w="4535" w:type="dxa"/>
            <w:vAlign w:val="center"/>
          </w:tcPr>
          <w:p>
            <w:pPr>
              <w:pStyle w:val="13"/>
            </w:pPr>
            <w:r>
              <w:t>干部教育</w:t>
            </w:r>
          </w:p>
        </w:tc>
        <w:tc>
          <w:tcPr>
            <w:tcW w:w="2551" w:type="dxa"/>
            <w:vAlign w:val="center"/>
          </w:tcPr>
          <w:p>
            <w:pPr>
              <w:pStyle w:val="12"/>
            </w:pPr>
            <w:r>
              <w:t>617.54</w:t>
            </w:r>
          </w:p>
        </w:tc>
        <w:tc>
          <w:tcPr>
            <w:tcW w:w="2551" w:type="dxa"/>
            <w:vAlign w:val="center"/>
          </w:tcPr>
          <w:p>
            <w:pPr>
              <w:pStyle w:val="12"/>
            </w:pPr>
            <w:r>
              <w:t>419.81</w:t>
            </w:r>
          </w:p>
        </w:tc>
        <w:tc>
          <w:tcPr>
            <w:tcW w:w="2551" w:type="dxa"/>
            <w:vAlign w:val="center"/>
          </w:tcPr>
          <w:p>
            <w:pPr>
              <w:pStyle w:val="12"/>
            </w:pPr>
            <w:r>
              <w:t>197.73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419.81</w:t>
            </w:r>
          </w:p>
        </w:tc>
        <w:tc>
          <w:tcPr>
            <w:tcW w:w="2551" w:type="dxa"/>
            <w:vAlign w:val="center"/>
          </w:tcPr>
          <w:p>
            <w:pPr>
              <w:pStyle w:val="16"/>
            </w:pPr>
            <w:r>
              <w:t>378.61</w:t>
            </w:r>
          </w:p>
        </w:tc>
        <w:tc>
          <w:tcPr>
            <w:tcW w:w="2551" w:type="dxa"/>
            <w:vAlign w:val="center"/>
          </w:tcPr>
          <w:p>
            <w:pPr>
              <w:pStyle w:val="16"/>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294.83</w:t>
            </w:r>
          </w:p>
        </w:tc>
        <w:tc>
          <w:tcPr>
            <w:tcW w:w="2551" w:type="dxa"/>
            <w:vAlign w:val="center"/>
          </w:tcPr>
          <w:p>
            <w:pPr>
              <w:pStyle w:val="12"/>
            </w:pPr>
            <w:r>
              <w:t>294.83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125.78</w:t>
            </w:r>
          </w:p>
        </w:tc>
        <w:tc>
          <w:tcPr>
            <w:tcW w:w="2551" w:type="dxa"/>
            <w:vAlign w:val="center"/>
          </w:tcPr>
          <w:p>
            <w:pPr>
              <w:pStyle w:val="12"/>
            </w:pPr>
            <w:r>
              <w:t>125.78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33.07</w:t>
            </w:r>
          </w:p>
        </w:tc>
        <w:tc>
          <w:tcPr>
            <w:tcW w:w="2551" w:type="dxa"/>
            <w:vAlign w:val="center"/>
          </w:tcPr>
          <w:p>
            <w:pPr>
              <w:pStyle w:val="12"/>
            </w:pPr>
            <w:r>
              <w:t>33.07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21.75</w:t>
            </w:r>
          </w:p>
        </w:tc>
        <w:tc>
          <w:tcPr>
            <w:tcW w:w="2551" w:type="dxa"/>
            <w:vAlign w:val="center"/>
          </w:tcPr>
          <w:p>
            <w:pPr>
              <w:pStyle w:val="12"/>
            </w:pPr>
            <w:r>
              <w:t>21.75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37.32</w:t>
            </w:r>
          </w:p>
        </w:tc>
        <w:tc>
          <w:tcPr>
            <w:tcW w:w="2551" w:type="dxa"/>
            <w:vAlign w:val="center"/>
          </w:tcPr>
          <w:p>
            <w:pPr>
              <w:pStyle w:val="12"/>
            </w:pPr>
            <w:r>
              <w:t>37.32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30.96</w:t>
            </w:r>
          </w:p>
        </w:tc>
        <w:tc>
          <w:tcPr>
            <w:tcW w:w="2551" w:type="dxa"/>
            <w:vAlign w:val="center"/>
          </w:tcPr>
          <w:p>
            <w:pPr>
              <w:pStyle w:val="12"/>
            </w:pPr>
            <w:r>
              <w:t>30.96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11.92</w:t>
            </w:r>
          </w:p>
        </w:tc>
        <w:tc>
          <w:tcPr>
            <w:tcW w:w="2551" w:type="dxa"/>
            <w:vAlign w:val="center"/>
          </w:tcPr>
          <w:p>
            <w:pPr>
              <w:pStyle w:val="12"/>
            </w:pPr>
            <w:r>
              <w:t>11.92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6.05</w:t>
            </w:r>
          </w:p>
        </w:tc>
        <w:tc>
          <w:tcPr>
            <w:tcW w:w="2551" w:type="dxa"/>
            <w:vAlign w:val="center"/>
          </w:tcPr>
          <w:p>
            <w:pPr>
              <w:pStyle w:val="12"/>
            </w:pPr>
            <w:r>
              <w:t>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2.35</w:t>
            </w:r>
          </w:p>
        </w:tc>
        <w:tc>
          <w:tcPr>
            <w:tcW w:w="2551" w:type="dxa"/>
            <w:vAlign w:val="center"/>
          </w:tcPr>
          <w:p>
            <w:pPr>
              <w:pStyle w:val="12"/>
            </w:pPr>
            <w:r>
              <w:t>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24.43</w:t>
            </w:r>
          </w:p>
        </w:tc>
        <w:tc>
          <w:tcPr>
            <w:tcW w:w="2551" w:type="dxa"/>
            <w:vAlign w:val="center"/>
          </w:tcPr>
          <w:p>
            <w:pPr>
              <w:pStyle w:val="12"/>
            </w:pPr>
            <w:r>
              <w:t>24.43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41.20</w:t>
            </w:r>
          </w:p>
        </w:tc>
        <w:tc>
          <w:tcPr>
            <w:tcW w:w="2551" w:type="dxa"/>
            <w:vAlign w:val="center"/>
          </w:tcPr>
          <w:p>
            <w:pPr>
              <w:pStyle w:val="12"/>
            </w:pPr>
          </w:p>
        </w:tc>
        <w:tc>
          <w:tcPr>
            <w:tcW w:w="2551" w:type="dxa"/>
            <w:vAlign w:val="center"/>
          </w:tcPr>
          <w:p>
            <w:pPr>
              <w:pStyle w:val="12"/>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3.92</w:t>
            </w:r>
          </w:p>
        </w:tc>
        <w:tc>
          <w:tcPr>
            <w:tcW w:w="2551" w:type="dxa"/>
            <w:vAlign w:val="center"/>
          </w:tcPr>
          <w:p>
            <w:pPr>
              <w:pStyle w:val="12"/>
            </w:pPr>
          </w:p>
        </w:tc>
        <w:tc>
          <w:tcPr>
            <w:tcW w:w="2551" w:type="dxa"/>
            <w:vAlign w:val="center"/>
          </w:tcPr>
          <w:p>
            <w:pPr>
              <w:pStyle w:val="12"/>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0.27</w:t>
            </w:r>
          </w:p>
        </w:tc>
        <w:tc>
          <w:tcPr>
            <w:tcW w:w="2551" w:type="dxa"/>
            <w:vAlign w:val="center"/>
          </w:tcPr>
          <w:p>
            <w:pPr>
              <w:pStyle w:val="12"/>
            </w:pPr>
          </w:p>
        </w:tc>
        <w:tc>
          <w:tcPr>
            <w:tcW w:w="2551" w:type="dxa"/>
            <w:vAlign w:val="center"/>
          </w:tcPr>
          <w:p>
            <w:pPr>
              <w:pStyle w:val="12"/>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5.85</w:t>
            </w:r>
          </w:p>
        </w:tc>
        <w:tc>
          <w:tcPr>
            <w:tcW w:w="2551" w:type="dxa"/>
            <w:vAlign w:val="center"/>
          </w:tcPr>
          <w:p>
            <w:pPr>
              <w:pStyle w:val="12"/>
            </w:pPr>
          </w:p>
        </w:tc>
        <w:tc>
          <w:tcPr>
            <w:tcW w:w="2551" w:type="dxa"/>
            <w:vAlign w:val="center"/>
          </w:tcPr>
          <w:p>
            <w:pPr>
              <w:pStyle w:val="12"/>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4.25</w:t>
            </w:r>
          </w:p>
        </w:tc>
        <w:tc>
          <w:tcPr>
            <w:tcW w:w="2551" w:type="dxa"/>
            <w:vAlign w:val="center"/>
          </w:tcPr>
          <w:p>
            <w:pPr>
              <w:pStyle w:val="12"/>
            </w:pPr>
          </w:p>
        </w:tc>
        <w:tc>
          <w:tcPr>
            <w:tcW w:w="2551" w:type="dxa"/>
            <w:vAlign w:val="center"/>
          </w:tcPr>
          <w:p>
            <w:pPr>
              <w:pStyle w:val="12"/>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3.86</w:t>
            </w:r>
          </w:p>
        </w:tc>
        <w:tc>
          <w:tcPr>
            <w:tcW w:w="2551" w:type="dxa"/>
            <w:vAlign w:val="center"/>
          </w:tcPr>
          <w:p>
            <w:pPr>
              <w:pStyle w:val="12"/>
            </w:pPr>
          </w:p>
        </w:tc>
        <w:tc>
          <w:tcPr>
            <w:tcW w:w="2551" w:type="dxa"/>
            <w:vAlign w:val="center"/>
          </w:tcPr>
          <w:p>
            <w:pPr>
              <w:pStyle w:val="12"/>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12.54</w:t>
            </w:r>
          </w:p>
        </w:tc>
        <w:tc>
          <w:tcPr>
            <w:tcW w:w="2551" w:type="dxa"/>
            <w:vAlign w:val="center"/>
          </w:tcPr>
          <w:p>
            <w:pPr>
              <w:pStyle w:val="12"/>
            </w:pPr>
          </w:p>
        </w:tc>
        <w:tc>
          <w:tcPr>
            <w:tcW w:w="2551" w:type="dxa"/>
            <w:vAlign w:val="center"/>
          </w:tcPr>
          <w:p>
            <w:pPr>
              <w:pStyle w:val="12"/>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83.78</w:t>
            </w:r>
          </w:p>
        </w:tc>
        <w:tc>
          <w:tcPr>
            <w:tcW w:w="2551" w:type="dxa"/>
            <w:vAlign w:val="center"/>
          </w:tcPr>
          <w:p>
            <w:pPr>
              <w:pStyle w:val="12"/>
            </w:pPr>
            <w:r>
              <w:t>83.78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83.25</w:t>
            </w:r>
          </w:p>
        </w:tc>
        <w:tc>
          <w:tcPr>
            <w:tcW w:w="2551" w:type="dxa"/>
            <w:vAlign w:val="center"/>
          </w:tcPr>
          <w:p>
            <w:pPr>
              <w:pStyle w:val="12"/>
            </w:pPr>
            <w:r>
              <w:t>83.25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0.53</w:t>
            </w:r>
          </w:p>
        </w:tc>
        <w:tc>
          <w:tcPr>
            <w:tcW w:w="2551" w:type="dxa"/>
            <w:vAlign w:val="center"/>
          </w:tcPr>
          <w:p>
            <w:pPr>
              <w:pStyle w:val="12"/>
            </w:pPr>
            <w:r>
              <w:t>0.53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3.21</w:t>
            </w:r>
          </w:p>
        </w:tc>
        <w:tc>
          <w:tcPr>
            <w:tcW w:w="2381" w:type="dxa"/>
            <w:vAlign w:val="center"/>
          </w:tcPr>
          <w:p>
            <w:pPr>
              <w:pStyle w:val="16"/>
            </w:pPr>
            <w:r>
              <w:t>3.21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0.30</w:t>
            </w:r>
          </w:p>
        </w:tc>
        <w:tc>
          <w:tcPr>
            <w:tcW w:w="2381" w:type="dxa"/>
            <w:vAlign w:val="center"/>
          </w:tcPr>
          <w:p>
            <w:pPr>
              <w:pStyle w:val="12"/>
            </w:pPr>
            <w:r>
              <w:t>0.30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中国共产党晋州市委员会党校2026年部门预算信息公开情况说明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中国共产党晋州市委员会党校2026年部门预算信息公开情况说明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按照《中华人民共和国预算法》、《地方预决算公开操作规程》和《关于进一步推进预算公开工作的实施意见》规定，现将中国共产党晋州市委员会党校2026年部门预算公开如下：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（一）发挥干部教育培训主渠道，有计划的培训科局级领导干部、优秀中青年干部、公务员培训，负责对学员在培训期间的表现进行考核，提出考核意见。</w:t>
      </w:r>
    </w:p>
    <w:p>
      <w:pPr>
        <w:pStyle w:val="18"/>
      </w:pPr>
      <w:r>
        <w:t>（二）对学员进行马克思列宁主义、毛泽东思想、邓小平理论、“三个代表”重要思想、科学发展观教育；对学员进行习近平新时代中国特色社会主义思想教育和党性教育；引导学员增强“四个意识”，坚定“四个自信”，坚决维护以习近平总书记为核心的党中央权威和集中统一领导，自觉在思想上、政治上、行动上同党中央保持高度一致。</w:t>
      </w:r>
    </w:p>
    <w:p>
      <w:pPr>
        <w:pStyle w:val="18"/>
      </w:pPr>
      <w:r>
        <w:t>（三）开展重大理论问题和现实问题研究，承担市委决策咨询服务，发挥新型智库作用。</w:t>
      </w:r>
    </w:p>
    <w:p>
      <w:pPr>
        <w:pStyle w:val="18"/>
      </w:pPr>
      <w:r>
        <w:t>（四）受市委委托，举办各类专题研讨班，结合本市实际，研讨中央提出的重大理论、战略和方针政策问题。</w:t>
      </w:r>
    </w:p>
    <w:p>
      <w:pPr>
        <w:pStyle w:val="18"/>
      </w:pPr>
      <w:r>
        <w:t>（五）完成市委交办的其他任务。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中国共产党晋州市委员会党校本级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按照预算管理有关规定，目前部门预算的编制实行综合预算管理，即全部收入和支出都反映在预算中。中国共产党晋州市委员会党校机关及所属事业单位的收支包含在部门预算中。</w:t>
      </w:r>
    </w:p>
    <w:p>
      <w:pPr>
        <w:pStyle w:val="19"/>
      </w:pPr>
      <w:r>
        <w:t>1、收入说明</w:t>
      </w:r>
    </w:p>
    <w:p>
      <w:pPr>
        <w:pStyle w:val="19"/>
      </w:pPr>
      <w:r>
        <w:t>反映本部门当年全部收入。2026年预算收入617.54万元，其中：一般公共预算收入617.54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委员会党校年度部门预算中支出预算的总体情况。2026年支出预算617.54万元，其中基本支出419.81万元，包括人员经费378.61万元和日常公用经费41.20万元；项目支出197.73万元，主要为水电费及运营维护费50万元，用于维持党校日常水电支出；（新党校运营）144万元，做好日常会议及培训的服务工作；（业务费）3.73万元，用于党校日常工作开展；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617.54万元，较2025年预算减少12.32万元，其中：基本支出减少12.33万元，主要为2025年退休1人，减少了人员支出。项目支出增加0.01万元，主要为增加了业务费0.01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2026年，我部门机关运行经费共计安排41.20万元，主要用于日常维修、办公用房水电费、办公用房取暖费、办公用房物业管理费等日常运行支出。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3.21万元，其中因公出国（境）费0.00万元；公务用车购置及运维费2.91万元（其中：公务用车购置费为0.00万元，公务用车运维费2.91万元)；公务接待费0.30万元。与2025年相比减少0.09万元，增减变化的主要原因是厉行节约，减少公务用车运行维护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通过不断提高教学水平，完善教学设施，优化教学布局，丰富教学手段，培养德才兼备的优秀党员领导干部，有效地提高干部的政策理论水平，提高党员干部的思想觉悟和执政能力。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开展对马克思主义中国化最新成果、全市重大现实问题及战略问题的研究，为推进党和理论创新服务，为市委、市政府及有关部门决策咨询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（一）培训教育</w:t>
      </w:r>
      <w:r>
        <w:tab/>
      </w:r>
    </w:p>
    <w:p>
      <w:pPr>
        <w:pStyle w:val="23"/>
      </w:pPr>
      <w:r>
        <w:t>1、组织培训班</w:t>
      </w:r>
    </w:p>
    <w:p>
      <w:pPr>
        <w:pStyle w:val="23"/>
      </w:pPr>
      <w:r>
        <w:t>绩效目标：</w:t>
      </w:r>
    </w:p>
    <w:p>
      <w:pPr>
        <w:pStyle w:val="23"/>
      </w:pPr>
      <w:r>
        <w:t>通过外请专家授课，开拓学员思路；通过现场教学、情景教学、案例教学，有效提高培训质量，提高学员解决实际问题的能力。</w:t>
      </w:r>
    </w:p>
    <w:p>
      <w:pPr>
        <w:pStyle w:val="23"/>
      </w:pPr>
      <w:r>
        <w:t>绩效指标：</w:t>
      </w:r>
    </w:p>
    <w:p>
      <w:pPr>
        <w:pStyle w:val="23"/>
      </w:pPr>
      <w:r>
        <w:t>（1）学员教学满意率。优≥95%、良≥90%、中≥85%、差﹤85%。</w:t>
      </w:r>
    </w:p>
    <w:p>
      <w:pPr>
        <w:pStyle w:val="23"/>
      </w:pPr>
      <w:r>
        <w:t>（2）特色教学百分比。优≥25%、良≥20%、中≥15%、差﹤15%。</w:t>
      </w:r>
    </w:p>
    <w:p>
      <w:pPr>
        <w:pStyle w:val="23"/>
      </w:pPr>
      <w:r>
        <w:t>（3）培训、轮训工作完成率。优≥95%、良≥90%、中≥85%、差﹤85%。</w:t>
      </w:r>
    </w:p>
    <w:p>
      <w:pPr>
        <w:pStyle w:val="23"/>
      </w:pPr>
      <w:r>
        <w:t>2、学科和师资建设</w:t>
      </w:r>
    </w:p>
    <w:p>
      <w:pPr>
        <w:pStyle w:val="23"/>
      </w:pPr>
      <w:r>
        <w:t>绩效目标：</w:t>
      </w:r>
    </w:p>
    <w:p>
      <w:pPr>
        <w:pStyle w:val="23"/>
      </w:pPr>
      <w:r>
        <w:t>通过重点培育和建设，形成几门有党校特色的优势学科。</w:t>
      </w:r>
    </w:p>
    <w:p>
      <w:pPr>
        <w:pStyle w:val="23"/>
      </w:pPr>
      <w:r>
        <w:t>绩效指标：</w:t>
      </w:r>
    </w:p>
    <w:p>
      <w:pPr>
        <w:pStyle w:val="23"/>
      </w:pPr>
      <w:r>
        <w:t>（1）培训满意度。优≥95%、良≥90%、中≥85%、差﹤85%。</w:t>
      </w:r>
    </w:p>
    <w:p>
      <w:pPr>
        <w:pStyle w:val="23"/>
      </w:pPr>
      <w:r>
        <w:t>（2）特色教案比率。优≥25%、良≥20%、中≥15%、差﹤15%。</w:t>
      </w:r>
    </w:p>
    <w:p>
      <w:pPr>
        <w:pStyle w:val="23"/>
      </w:pPr>
      <w:r>
        <w:t>3、教学事务管理</w:t>
      </w:r>
    </w:p>
    <w:p>
      <w:pPr>
        <w:pStyle w:val="23"/>
      </w:pPr>
      <w:r>
        <w:t>绩效目标：</w:t>
      </w:r>
    </w:p>
    <w:p>
      <w:pPr>
        <w:pStyle w:val="23"/>
      </w:pPr>
      <w:r>
        <w:t>通过严格的行政后勤管理，为学员培训和教学科研活动创造良好的硬件环境和后勤保障。</w:t>
      </w:r>
    </w:p>
    <w:p>
      <w:pPr>
        <w:pStyle w:val="23"/>
      </w:pPr>
      <w:r>
        <w:t>绩效指标：</w:t>
      </w:r>
    </w:p>
    <w:p>
      <w:pPr>
        <w:pStyle w:val="23"/>
      </w:pPr>
      <w:r>
        <w:t>（1）受训学员后勤管理综合满意率。优≥95%、良≥90%、中≥85%、差﹤85%。</w:t>
      </w:r>
    </w:p>
    <w:p>
      <w:pPr>
        <w:pStyle w:val="23"/>
      </w:pPr>
      <w:r>
        <w:t>（2）后勤保障事务完成率。优≥95%、良≥90%、中≥85%、差﹤85%。</w:t>
      </w:r>
    </w:p>
    <w:p>
      <w:pPr>
        <w:pStyle w:val="23"/>
      </w:pPr>
      <w:r>
        <w:t>（二）理论研究和决策咨询</w:t>
      </w:r>
    </w:p>
    <w:p>
      <w:pPr>
        <w:pStyle w:val="23"/>
      </w:pPr>
      <w:r>
        <w:t>1、理论研究</w:t>
      </w:r>
    </w:p>
    <w:p>
      <w:pPr>
        <w:pStyle w:val="23"/>
      </w:pPr>
      <w:r>
        <w:t>绩效目标：</w:t>
      </w:r>
    </w:p>
    <w:p>
      <w:pPr>
        <w:pStyle w:val="23"/>
      </w:pPr>
      <w:r>
        <w:t>推动教研人员的科研交流和理论探索，产出高质量的理论成果。</w:t>
      </w:r>
    </w:p>
    <w:p>
      <w:pPr>
        <w:pStyle w:val="23"/>
      </w:pPr>
      <w:r>
        <w:t>绩效指标：科研课题立项数。优≥3、良≥2、中≥1、差﹤1。</w:t>
      </w:r>
    </w:p>
    <w:p>
      <w:pPr>
        <w:pStyle w:val="23"/>
      </w:pPr>
      <w:r>
        <w:t>2、决策咨询和政策宣讲</w:t>
      </w:r>
    </w:p>
    <w:p>
      <w:pPr>
        <w:pStyle w:val="23"/>
      </w:pPr>
      <w:r>
        <w:t>绩效目标：</w:t>
      </w:r>
    </w:p>
    <w:p>
      <w:pPr>
        <w:pStyle w:val="23"/>
      </w:pPr>
      <w:r>
        <w:t>通过决策咨询研究，设立一批有质量的决策服务项目，拿出一批优秀咨询成果，为领导决策咨询服务，发挥思想库和智囊团的作用。</w:t>
      </w:r>
    </w:p>
    <w:p>
      <w:pPr>
        <w:pStyle w:val="23"/>
      </w:pPr>
      <w:r>
        <w:t>绩效指标：</w:t>
      </w:r>
    </w:p>
    <w:p>
      <w:pPr>
        <w:pStyle w:val="23"/>
      </w:pPr>
      <w:r>
        <w:t>（1）决策咨询研究工作完成率。优≥95%、良≥90%、中≥85%、差﹤85%。</w:t>
      </w:r>
    </w:p>
    <w:p>
      <w:pPr>
        <w:pStyle w:val="23"/>
      </w:pPr>
      <w:r>
        <w:t>（2）宣讲满意度。优≥95%、良≥90%、中≥85%、差﹤85%。</w:t>
      </w:r>
    </w:p>
    <w:p>
      <w:pPr>
        <w:pStyle w:val="23"/>
      </w:pPr>
      <w:r>
        <w:t>（3）对外宣讲次数。优≥10、良≥8、中≥5、差﹤5。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1、（新党校运营）绩效目标表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13018326P000328102946</w:t>
            </w:r>
          </w:p>
        </w:tc>
        <w:tc>
          <w:tcPr>
            <w:tcW w:w="2835" w:type="dxa"/>
            <w:vAlign w:val="center"/>
          </w:tcPr>
          <w:p>
            <w:pPr>
              <w:pStyle w:val="11"/>
            </w:pPr>
            <w:r>
              <w:t>项目名称</w:t>
            </w:r>
          </w:p>
        </w:tc>
        <w:tc>
          <w:tcPr>
            <w:tcW w:w="6095" w:type="dxa"/>
            <w:gridSpan w:val="3"/>
            <w:vAlign w:val="center"/>
          </w:tcPr>
          <w:p>
            <w:pPr>
              <w:pStyle w:val="13"/>
            </w:pPr>
            <w:r>
              <w:t>（新党校运营）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144.00</w:t>
            </w:r>
          </w:p>
        </w:tc>
        <w:tc>
          <w:tcPr>
            <w:tcW w:w="2835" w:type="dxa"/>
            <w:vAlign w:val="center"/>
          </w:tcPr>
          <w:p>
            <w:pPr>
              <w:pStyle w:val="11"/>
            </w:pPr>
            <w:r>
              <w:t>其中：财政    资金</w:t>
            </w:r>
          </w:p>
        </w:tc>
        <w:tc>
          <w:tcPr>
            <w:tcW w:w="2551" w:type="dxa"/>
            <w:vAlign w:val="center"/>
          </w:tcPr>
          <w:p>
            <w:pPr>
              <w:pStyle w:val="13"/>
            </w:pPr>
            <w:r>
              <w:t>144.00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用于支付三方公司服务费、网络费用、院落维修、设备维护等费用。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1.围绕干部教育培训、会议服务主责主业，不断提高培训及会议质量，保障全年各项任务优质完成。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举办培训、会议次数</w:t>
            </w:r>
          </w:p>
        </w:tc>
        <w:tc>
          <w:tcPr>
            <w:tcW w:w="5386" w:type="dxa"/>
            <w:vAlign w:val="center"/>
          </w:tcPr>
          <w:p>
            <w:pPr>
              <w:pStyle w:val="13"/>
            </w:pPr>
            <w:r>
              <w:t xml:space="preserve"> 举办培训、会议次数</w:t>
            </w:r>
          </w:p>
        </w:tc>
        <w:tc>
          <w:tcPr>
            <w:tcW w:w="2268" w:type="dxa"/>
            <w:vAlign w:val="center"/>
          </w:tcPr>
          <w:p>
            <w:pPr>
              <w:pStyle w:val="13"/>
            </w:pPr>
            <w:r>
              <w:t>&gt;60 次</w:t>
            </w:r>
          </w:p>
        </w:tc>
        <w:tc>
          <w:tcPr>
            <w:tcW w:w="1276" w:type="dxa"/>
            <w:vAlign w:val="center"/>
          </w:tcPr>
          <w:p>
            <w:pPr>
              <w:pStyle w:val="13"/>
            </w:pPr>
            <w:r>
              <w:t xml:space="preserve"> 晋州市委党校运营费的申请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培训班、会议完成率</w:t>
            </w:r>
          </w:p>
        </w:tc>
        <w:tc>
          <w:tcPr>
            <w:tcW w:w="5386" w:type="dxa"/>
            <w:vAlign w:val="center"/>
          </w:tcPr>
          <w:p>
            <w:pPr>
              <w:pStyle w:val="13"/>
            </w:pPr>
            <w:r>
              <w:t xml:space="preserve"> 培训班、会议完成率</w:t>
            </w:r>
          </w:p>
        </w:tc>
        <w:tc>
          <w:tcPr>
            <w:tcW w:w="2268" w:type="dxa"/>
            <w:vAlign w:val="center"/>
          </w:tcPr>
          <w:p>
            <w:pPr>
              <w:pStyle w:val="13"/>
            </w:pPr>
            <w:r>
              <w:t>100 %</w:t>
            </w:r>
          </w:p>
        </w:tc>
        <w:tc>
          <w:tcPr>
            <w:tcW w:w="1276" w:type="dxa"/>
            <w:vAlign w:val="center"/>
          </w:tcPr>
          <w:p>
            <w:pPr>
              <w:pStyle w:val="13"/>
            </w:pPr>
            <w:r>
              <w:t xml:space="preserve"> 晋州市委党校运营费的申请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工作开展及时性</w:t>
            </w:r>
          </w:p>
        </w:tc>
        <w:tc>
          <w:tcPr>
            <w:tcW w:w="5386" w:type="dxa"/>
            <w:vAlign w:val="center"/>
          </w:tcPr>
          <w:p>
            <w:pPr>
              <w:pStyle w:val="13"/>
            </w:pPr>
            <w:r>
              <w:t xml:space="preserve"> 工作开展及时性</w:t>
            </w:r>
          </w:p>
        </w:tc>
        <w:tc>
          <w:tcPr>
            <w:tcW w:w="2268" w:type="dxa"/>
            <w:vAlign w:val="center"/>
          </w:tcPr>
          <w:p>
            <w:pPr>
              <w:pStyle w:val="13"/>
            </w:pPr>
            <w:r>
              <w:t>&gt;99 %</w:t>
            </w:r>
          </w:p>
        </w:tc>
        <w:tc>
          <w:tcPr>
            <w:tcW w:w="1276" w:type="dxa"/>
            <w:vAlign w:val="center"/>
          </w:tcPr>
          <w:p>
            <w:pPr>
              <w:pStyle w:val="13"/>
            </w:pPr>
            <w:r>
              <w:t xml:space="preserve"> 晋州市委党校运营费的申请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运营成本费用</w:t>
            </w:r>
          </w:p>
        </w:tc>
        <w:tc>
          <w:tcPr>
            <w:tcW w:w="5386" w:type="dxa"/>
            <w:vAlign w:val="center"/>
          </w:tcPr>
          <w:p>
            <w:pPr>
              <w:pStyle w:val="13"/>
            </w:pPr>
            <w:r>
              <w:t xml:space="preserve"> 运营成本费用</w:t>
            </w:r>
          </w:p>
        </w:tc>
        <w:tc>
          <w:tcPr>
            <w:tcW w:w="2268" w:type="dxa"/>
            <w:vAlign w:val="center"/>
          </w:tcPr>
          <w:p>
            <w:pPr>
              <w:pStyle w:val="13"/>
            </w:pPr>
            <w:r>
              <w:t>144 万元</w:t>
            </w:r>
          </w:p>
        </w:tc>
        <w:tc>
          <w:tcPr>
            <w:tcW w:w="1276" w:type="dxa"/>
            <w:vAlign w:val="center"/>
          </w:tcPr>
          <w:p>
            <w:pPr>
              <w:pStyle w:val="13"/>
            </w:pPr>
            <w:r>
              <w:t xml:space="preserve"> 晋州市委党校运营费的申请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推动党校理论宣传工作</w:t>
            </w:r>
          </w:p>
        </w:tc>
        <w:tc>
          <w:tcPr>
            <w:tcW w:w="5386" w:type="dxa"/>
            <w:vAlign w:val="center"/>
          </w:tcPr>
          <w:p>
            <w:pPr>
              <w:pStyle w:val="13"/>
            </w:pPr>
            <w:r>
              <w:t xml:space="preserve"> 推动党校理论宣传工作</w:t>
            </w:r>
          </w:p>
        </w:tc>
        <w:tc>
          <w:tcPr>
            <w:tcW w:w="2268" w:type="dxa"/>
            <w:vAlign w:val="center"/>
          </w:tcPr>
          <w:p>
            <w:pPr>
              <w:pStyle w:val="13"/>
            </w:pPr>
            <w:r>
              <w:t xml:space="preserve"> 推动党校理论宣传工作</w:t>
            </w:r>
          </w:p>
        </w:tc>
        <w:tc>
          <w:tcPr>
            <w:tcW w:w="1276" w:type="dxa"/>
            <w:vAlign w:val="center"/>
          </w:tcPr>
          <w:p>
            <w:pPr>
              <w:pStyle w:val="13"/>
            </w:pPr>
            <w:r>
              <w:t xml:space="preserve"> 晋州市委党校运营费的申请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≥96 %</w:t>
            </w:r>
          </w:p>
        </w:tc>
        <w:tc>
          <w:tcPr>
            <w:tcW w:w="1276" w:type="dxa"/>
            <w:vAlign w:val="center"/>
          </w:tcPr>
          <w:p>
            <w:pPr>
              <w:pStyle w:val="13"/>
            </w:pPr>
            <w:r>
              <w:t xml:space="preserve"> 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13018326P00032810295R</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w:t>
            </w:r>
          </w:p>
        </w:tc>
        <w:tc>
          <w:tcPr>
            <w:tcW w:w="2835" w:type="dxa"/>
            <w:vAlign w:val="center"/>
          </w:tcPr>
          <w:p>
            <w:pPr>
              <w:pStyle w:val="11"/>
            </w:pPr>
            <w:r>
              <w:t>其中：财政    资金</w:t>
            </w:r>
          </w:p>
        </w:tc>
        <w:tc>
          <w:tcPr>
            <w:tcW w:w="2551" w:type="dxa"/>
            <w:vAlign w:val="center"/>
          </w:tcPr>
          <w:p>
            <w:pPr>
              <w:pStyle w:val="13"/>
            </w:pPr>
            <w:r>
              <w:t>3.73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用于采购党校日常办公用品。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1.保障会议、培训任务优质完成，服务党校高质量发展。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宣讲、培训次数</w:t>
            </w:r>
          </w:p>
        </w:tc>
        <w:tc>
          <w:tcPr>
            <w:tcW w:w="5386" w:type="dxa"/>
            <w:vAlign w:val="center"/>
          </w:tcPr>
          <w:p>
            <w:pPr>
              <w:pStyle w:val="13"/>
            </w:pPr>
            <w:r>
              <w:t xml:space="preserve"> 宣讲、培训次数</w:t>
            </w:r>
          </w:p>
        </w:tc>
        <w:tc>
          <w:tcPr>
            <w:tcW w:w="2268" w:type="dxa"/>
            <w:vAlign w:val="center"/>
          </w:tcPr>
          <w:p>
            <w:pPr>
              <w:pStyle w:val="13"/>
            </w:pPr>
            <w:r>
              <w:t>≥10 次</w:t>
            </w:r>
          </w:p>
        </w:tc>
        <w:tc>
          <w:tcPr>
            <w:tcW w:w="1276" w:type="dxa"/>
            <w:vAlign w:val="center"/>
          </w:tcPr>
          <w:p>
            <w:pPr>
              <w:pStyle w:val="13"/>
            </w:pPr>
            <w:r>
              <w:t xml:space="preserve"> 晋州市委党校业务费的申请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工作目标达标率</w:t>
            </w:r>
          </w:p>
        </w:tc>
        <w:tc>
          <w:tcPr>
            <w:tcW w:w="5386" w:type="dxa"/>
            <w:vAlign w:val="center"/>
          </w:tcPr>
          <w:p>
            <w:pPr>
              <w:pStyle w:val="13"/>
            </w:pPr>
            <w:r>
              <w:t xml:space="preserve"> 工作目标达标率</w:t>
            </w:r>
          </w:p>
        </w:tc>
        <w:tc>
          <w:tcPr>
            <w:tcW w:w="2268" w:type="dxa"/>
            <w:vAlign w:val="center"/>
          </w:tcPr>
          <w:p>
            <w:pPr>
              <w:pStyle w:val="13"/>
            </w:pPr>
            <w:r>
              <w:t>≥96 %</w:t>
            </w:r>
          </w:p>
        </w:tc>
        <w:tc>
          <w:tcPr>
            <w:tcW w:w="1276" w:type="dxa"/>
            <w:vAlign w:val="center"/>
          </w:tcPr>
          <w:p>
            <w:pPr>
              <w:pStyle w:val="13"/>
            </w:pPr>
            <w:r>
              <w:t xml:space="preserve"> 晋州市委党校业务费的申请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工作完成及时率</w:t>
            </w:r>
          </w:p>
        </w:tc>
        <w:tc>
          <w:tcPr>
            <w:tcW w:w="5386" w:type="dxa"/>
            <w:vAlign w:val="center"/>
          </w:tcPr>
          <w:p>
            <w:pPr>
              <w:pStyle w:val="13"/>
            </w:pPr>
            <w:r>
              <w:t xml:space="preserve"> 工作完成及时率</w:t>
            </w:r>
          </w:p>
        </w:tc>
        <w:tc>
          <w:tcPr>
            <w:tcW w:w="2268" w:type="dxa"/>
            <w:vAlign w:val="center"/>
          </w:tcPr>
          <w:p>
            <w:pPr>
              <w:pStyle w:val="13"/>
            </w:pPr>
            <w:r>
              <w:t>≥96 %</w:t>
            </w:r>
          </w:p>
        </w:tc>
        <w:tc>
          <w:tcPr>
            <w:tcW w:w="1276" w:type="dxa"/>
            <w:vAlign w:val="center"/>
          </w:tcPr>
          <w:p>
            <w:pPr>
              <w:pStyle w:val="13"/>
            </w:pPr>
            <w:r>
              <w:t xml:space="preserve"> 晋州市委党校业务费的申请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工作完成所需成本</w:t>
            </w:r>
          </w:p>
        </w:tc>
        <w:tc>
          <w:tcPr>
            <w:tcW w:w="5386" w:type="dxa"/>
            <w:vAlign w:val="center"/>
          </w:tcPr>
          <w:p>
            <w:pPr>
              <w:pStyle w:val="13"/>
            </w:pPr>
            <w:r>
              <w:t xml:space="preserve"> 工作完成所需成本</w:t>
            </w:r>
          </w:p>
        </w:tc>
        <w:tc>
          <w:tcPr>
            <w:tcW w:w="2268" w:type="dxa"/>
            <w:vAlign w:val="center"/>
          </w:tcPr>
          <w:p>
            <w:pPr>
              <w:pStyle w:val="13"/>
            </w:pPr>
            <w:r>
              <w:t>3.73 万元</w:t>
            </w:r>
          </w:p>
        </w:tc>
        <w:tc>
          <w:tcPr>
            <w:tcW w:w="1276" w:type="dxa"/>
            <w:vAlign w:val="center"/>
          </w:tcPr>
          <w:p>
            <w:pPr>
              <w:pStyle w:val="13"/>
            </w:pPr>
            <w:r>
              <w:t xml:space="preserve"> 晋州市委党校业务费的申请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提升党校工作效率</w:t>
            </w:r>
          </w:p>
        </w:tc>
        <w:tc>
          <w:tcPr>
            <w:tcW w:w="5386" w:type="dxa"/>
            <w:vAlign w:val="center"/>
          </w:tcPr>
          <w:p>
            <w:pPr>
              <w:pStyle w:val="13"/>
            </w:pPr>
            <w:r>
              <w:t xml:space="preserve"> 提升党校工作效率</w:t>
            </w:r>
          </w:p>
        </w:tc>
        <w:tc>
          <w:tcPr>
            <w:tcW w:w="2268" w:type="dxa"/>
            <w:vAlign w:val="center"/>
          </w:tcPr>
          <w:p>
            <w:pPr>
              <w:pStyle w:val="13"/>
            </w:pPr>
            <w:r>
              <w:t xml:space="preserve"> 提升党校工作效率</w:t>
            </w:r>
          </w:p>
        </w:tc>
        <w:tc>
          <w:tcPr>
            <w:tcW w:w="1276" w:type="dxa"/>
            <w:vAlign w:val="center"/>
          </w:tcPr>
          <w:p>
            <w:pPr>
              <w:pStyle w:val="13"/>
            </w:pPr>
            <w:r>
              <w:t xml:space="preserve"> 晋州市委党校业务费的申请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≥96 %</w:t>
            </w:r>
          </w:p>
        </w:tc>
        <w:tc>
          <w:tcPr>
            <w:tcW w:w="1276" w:type="dxa"/>
            <w:vAlign w:val="center"/>
          </w:tcPr>
          <w:p>
            <w:pPr>
              <w:pStyle w:val="13"/>
            </w:pPr>
            <w:r>
              <w:t xml:space="preserve"> 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3、水电费及运营维护费绩效目标表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13018326P00032810296D</w:t>
            </w:r>
          </w:p>
        </w:tc>
        <w:tc>
          <w:tcPr>
            <w:tcW w:w="2835" w:type="dxa"/>
            <w:vAlign w:val="center"/>
          </w:tcPr>
          <w:p>
            <w:pPr>
              <w:pStyle w:val="11"/>
            </w:pPr>
            <w:r>
              <w:t>项目名称</w:t>
            </w:r>
          </w:p>
        </w:tc>
        <w:tc>
          <w:tcPr>
            <w:tcW w:w="6095" w:type="dxa"/>
            <w:gridSpan w:val="3"/>
            <w:vAlign w:val="center"/>
          </w:tcPr>
          <w:p>
            <w:pPr>
              <w:pStyle w:val="13"/>
            </w:pPr>
            <w:r>
              <w:t>水电费及运营维护费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用于支付党校水费、电费。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1.确保工作正常有序开展，维持党校正常运营。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水电等缴纳次数</w:t>
            </w:r>
          </w:p>
        </w:tc>
        <w:tc>
          <w:tcPr>
            <w:tcW w:w="5386" w:type="dxa"/>
            <w:vAlign w:val="center"/>
          </w:tcPr>
          <w:p>
            <w:pPr>
              <w:pStyle w:val="13"/>
            </w:pPr>
            <w:r>
              <w:t xml:space="preserve"> 水电等缴纳次数</w:t>
            </w:r>
          </w:p>
        </w:tc>
        <w:tc>
          <w:tcPr>
            <w:tcW w:w="2268" w:type="dxa"/>
            <w:vAlign w:val="center"/>
          </w:tcPr>
          <w:p>
            <w:pPr>
              <w:pStyle w:val="13"/>
            </w:pPr>
            <w:r>
              <w:t>≥12 次</w:t>
            </w:r>
          </w:p>
        </w:tc>
        <w:tc>
          <w:tcPr>
            <w:tcW w:w="1276" w:type="dxa"/>
            <w:vAlign w:val="center"/>
          </w:tcPr>
          <w:p>
            <w:pPr>
              <w:pStyle w:val="13"/>
            </w:pPr>
            <w:r>
              <w:t xml:space="preserve"> 晋州市委党校水电等费用的申请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缴纳水电完成率</w:t>
            </w:r>
          </w:p>
        </w:tc>
        <w:tc>
          <w:tcPr>
            <w:tcW w:w="5386" w:type="dxa"/>
            <w:vAlign w:val="center"/>
          </w:tcPr>
          <w:p>
            <w:pPr>
              <w:pStyle w:val="13"/>
            </w:pPr>
            <w:r>
              <w:t xml:space="preserve"> 缴纳水电完成率</w:t>
            </w:r>
          </w:p>
        </w:tc>
        <w:tc>
          <w:tcPr>
            <w:tcW w:w="2268" w:type="dxa"/>
            <w:vAlign w:val="center"/>
          </w:tcPr>
          <w:p>
            <w:pPr>
              <w:pStyle w:val="13"/>
            </w:pPr>
            <w:r>
              <w:t>&gt;95 %</w:t>
            </w:r>
          </w:p>
        </w:tc>
        <w:tc>
          <w:tcPr>
            <w:tcW w:w="1276" w:type="dxa"/>
            <w:vAlign w:val="center"/>
          </w:tcPr>
          <w:p>
            <w:pPr>
              <w:pStyle w:val="13"/>
            </w:pPr>
            <w:r>
              <w:t xml:space="preserve"> 晋州市委党校水电等费用的申请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缴纳水电费等及时率</w:t>
            </w:r>
          </w:p>
        </w:tc>
        <w:tc>
          <w:tcPr>
            <w:tcW w:w="5386" w:type="dxa"/>
            <w:vAlign w:val="center"/>
          </w:tcPr>
          <w:p>
            <w:pPr>
              <w:pStyle w:val="13"/>
            </w:pPr>
            <w:r>
              <w:t xml:space="preserve"> 缴纳水电费等及时率</w:t>
            </w:r>
          </w:p>
        </w:tc>
        <w:tc>
          <w:tcPr>
            <w:tcW w:w="2268" w:type="dxa"/>
            <w:vAlign w:val="center"/>
          </w:tcPr>
          <w:p>
            <w:pPr>
              <w:pStyle w:val="13"/>
            </w:pPr>
            <w:r>
              <w:t>&gt;95 %</w:t>
            </w:r>
          </w:p>
        </w:tc>
        <w:tc>
          <w:tcPr>
            <w:tcW w:w="1276" w:type="dxa"/>
            <w:vAlign w:val="center"/>
          </w:tcPr>
          <w:p>
            <w:pPr>
              <w:pStyle w:val="13"/>
            </w:pPr>
            <w:r>
              <w:t xml:space="preserve"> 晋州市委党校水电等费用的申请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项目所需成本</w:t>
            </w:r>
          </w:p>
        </w:tc>
        <w:tc>
          <w:tcPr>
            <w:tcW w:w="5386" w:type="dxa"/>
            <w:vAlign w:val="center"/>
          </w:tcPr>
          <w:p>
            <w:pPr>
              <w:pStyle w:val="13"/>
            </w:pPr>
            <w:r>
              <w:t xml:space="preserve"> 项目所需成本</w:t>
            </w:r>
          </w:p>
        </w:tc>
        <w:tc>
          <w:tcPr>
            <w:tcW w:w="2268" w:type="dxa"/>
            <w:vAlign w:val="center"/>
          </w:tcPr>
          <w:p>
            <w:pPr>
              <w:pStyle w:val="13"/>
            </w:pPr>
            <w:r>
              <w:t>50 万元</w:t>
            </w:r>
          </w:p>
        </w:tc>
        <w:tc>
          <w:tcPr>
            <w:tcW w:w="1276" w:type="dxa"/>
            <w:vAlign w:val="center"/>
          </w:tcPr>
          <w:p>
            <w:pPr>
              <w:pStyle w:val="13"/>
            </w:pPr>
            <w:r>
              <w:t xml:space="preserve"> 晋州市委党校水电等费用的申请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提升党校工作效率</w:t>
            </w:r>
          </w:p>
        </w:tc>
        <w:tc>
          <w:tcPr>
            <w:tcW w:w="5386" w:type="dxa"/>
            <w:vAlign w:val="center"/>
          </w:tcPr>
          <w:p>
            <w:pPr>
              <w:pStyle w:val="13"/>
            </w:pPr>
            <w:r>
              <w:t xml:space="preserve"> 提升党校工作效率</w:t>
            </w:r>
          </w:p>
        </w:tc>
        <w:tc>
          <w:tcPr>
            <w:tcW w:w="2268" w:type="dxa"/>
            <w:vAlign w:val="center"/>
          </w:tcPr>
          <w:p>
            <w:pPr>
              <w:pStyle w:val="13"/>
            </w:pPr>
            <w:r>
              <w:t xml:space="preserve"> 提升党校工作效率</w:t>
            </w:r>
          </w:p>
        </w:tc>
        <w:tc>
          <w:tcPr>
            <w:tcW w:w="1276" w:type="dxa"/>
            <w:vAlign w:val="center"/>
          </w:tcPr>
          <w:p>
            <w:pPr>
              <w:pStyle w:val="13"/>
            </w:pPr>
            <w:r>
              <w:t xml:space="preserve"> 晋州市委党校水电等费用的申请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&gt;95 %</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88.69</w:t>
            </w:r>
          </w:p>
        </w:tc>
        <w:tc>
          <w:tcPr>
            <w:tcW w:w="964" w:type="dxa"/>
            <w:vAlign w:val="center"/>
          </w:tcPr>
          <w:p>
            <w:pPr>
              <w:pStyle w:val="16"/>
            </w:pPr>
            <w:r>
              <w:t>88.69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中国共产党晋州市委员会党校本级小计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88.69</w:t>
            </w:r>
          </w:p>
        </w:tc>
        <w:tc>
          <w:tcPr>
            <w:tcW w:w="964" w:type="dxa"/>
            <w:vAlign w:val="center"/>
          </w:tcPr>
          <w:p>
            <w:pPr>
              <w:pStyle w:val="16"/>
            </w:pPr>
            <w:r>
              <w:t>88.69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7.10</w:t>
            </w:r>
          </w:p>
        </w:tc>
        <w:tc>
          <w:tcPr>
            <w:tcW w:w="1134" w:type="dxa"/>
            <w:vAlign w:val="center"/>
          </w:tcPr>
          <w:p>
            <w:pPr>
              <w:pStyle w:val="13"/>
            </w:pPr>
            <w:r>
              <w:t>终端机</w:t>
            </w:r>
          </w:p>
        </w:tc>
        <w:tc>
          <w:tcPr>
            <w:tcW w:w="1134" w:type="dxa"/>
            <w:vAlign w:val="center"/>
          </w:tcPr>
          <w:p>
            <w:pPr>
              <w:pStyle w:val="13"/>
            </w:pPr>
            <w:r>
              <w:t>A02010402</w:t>
            </w:r>
          </w:p>
        </w:tc>
        <w:tc>
          <w:tcPr>
            <w:tcW w:w="709" w:type="dxa"/>
            <w:vAlign w:val="center"/>
          </w:tcPr>
          <w:p>
            <w:pPr>
              <w:pStyle w:val="14"/>
            </w:pPr>
            <w:r>
              <w:t xml:space="preserve"> 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7.10</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箱</w:t>
            </w:r>
          </w:p>
        </w:tc>
        <w:tc>
          <w:tcPr>
            <w:tcW w:w="850" w:type="dxa"/>
            <w:vAlign w:val="center"/>
          </w:tcPr>
          <w:p>
            <w:pPr>
              <w:pStyle w:val="12"/>
            </w:pPr>
            <w:r>
              <w:t>15</w:t>
            </w:r>
          </w:p>
        </w:tc>
        <w:tc>
          <w:tcPr>
            <w:tcW w:w="850" w:type="dxa"/>
            <w:vAlign w:val="center"/>
          </w:tcPr>
          <w:p>
            <w:pPr>
              <w:pStyle w:val="12"/>
            </w:pPr>
            <w:r>
              <w:t>0.02</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终端机</w:t>
            </w:r>
          </w:p>
        </w:tc>
        <w:tc>
          <w:tcPr>
            <w:tcW w:w="1134" w:type="dxa"/>
            <w:vAlign w:val="center"/>
          </w:tcPr>
          <w:p>
            <w:pPr>
              <w:pStyle w:val="13"/>
            </w:pPr>
            <w:r>
              <w:t>A02010402</w:t>
            </w:r>
          </w:p>
        </w:tc>
        <w:tc>
          <w:tcPr>
            <w:tcW w:w="709" w:type="dxa"/>
            <w:vAlign w:val="center"/>
          </w:tcPr>
          <w:p>
            <w:pPr>
              <w:pStyle w:val="14"/>
            </w:pPr>
            <w:r>
              <w:t xml:space="preserve"> 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终端机</w:t>
            </w:r>
          </w:p>
        </w:tc>
        <w:tc>
          <w:tcPr>
            <w:tcW w:w="1134" w:type="dxa"/>
            <w:vAlign w:val="center"/>
          </w:tcPr>
          <w:p>
            <w:pPr>
              <w:pStyle w:val="13"/>
            </w:pPr>
            <w:r>
              <w:t>A02010402</w:t>
            </w:r>
          </w:p>
        </w:tc>
        <w:tc>
          <w:tcPr>
            <w:tcW w:w="709" w:type="dxa"/>
            <w:vAlign w:val="center"/>
          </w:tcPr>
          <w:p>
            <w:pPr>
              <w:pStyle w:val="14"/>
            </w:pPr>
            <w:r>
              <w:t xml:space="preserve"> 个</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速印机</w:t>
            </w:r>
          </w:p>
        </w:tc>
        <w:tc>
          <w:tcPr>
            <w:tcW w:w="1134" w:type="dxa"/>
            <w:vAlign w:val="center"/>
          </w:tcPr>
          <w:p>
            <w:pPr>
              <w:pStyle w:val="13"/>
            </w:pPr>
            <w:r>
              <w:t>A02021201</w:t>
            </w:r>
          </w:p>
        </w:tc>
        <w:tc>
          <w:tcPr>
            <w:tcW w:w="709" w:type="dxa"/>
            <w:vAlign w:val="center"/>
          </w:tcPr>
          <w:p>
            <w:pPr>
              <w:pStyle w:val="14"/>
            </w:pPr>
            <w:r>
              <w:t xml:space="preserve"> 台</w:t>
            </w:r>
          </w:p>
        </w:tc>
        <w:tc>
          <w:tcPr>
            <w:tcW w:w="850" w:type="dxa"/>
            <w:vAlign w:val="center"/>
          </w:tcPr>
          <w:p>
            <w:pPr>
              <w:pStyle w:val="12"/>
            </w:pPr>
            <w:r>
              <w:t>3</w:t>
            </w:r>
          </w:p>
        </w:tc>
        <w:tc>
          <w:tcPr>
            <w:tcW w:w="850" w:type="dxa"/>
            <w:vAlign w:val="center"/>
          </w:tcPr>
          <w:p>
            <w:pPr>
              <w:pStyle w:val="12"/>
            </w:pPr>
            <w:r>
              <w:t>0.15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蓄电池及充电装置</w:t>
            </w:r>
          </w:p>
        </w:tc>
        <w:tc>
          <w:tcPr>
            <w:tcW w:w="1134" w:type="dxa"/>
            <w:vAlign w:val="center"/>
          </w:tcPr>
          <w:p>
            <w:pPr>
              <w:pStyle w:val="13"/>
            </w:pPr>
            <w:r>
              <w:t>A02061511</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9.50</w:t>
            </w:r>
          </w:p>
        </w:tc>
        <w:tc>
          <w:tcPr>
            <w:tcW w:w="964" w:type="dxa"/>
            <w:vAlign w:val="center"/>
          </w:tcPr>
          <w:p>
            <w:pPr>
              <w:pStyle w:val="12"/>
            </w:pPr>
            <w:r>
              <w:t>9.50</w:t>
            </w:r>
          </w:p>
        </w:tc>
        <w:tc>
          <w:tcPr>
            <w:tcW w:w="964" w:type="dxa"/>
            <w:vAlign w:val="center"/>
          </w:tcPr>
          <w:p>
            <w:pPr>
              <w:pStyle w:val="12"/>
            </w:pPr>
            <w:r>
              <w:t>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 xml:space="preserve"> 箱</w:t>
            </w:r>
          </w:p>
        </w:tc>
        <w:tc>
          <w:tcPr>
            <w:tcW w:w="850" w:type="dxa"/>
            <w:vAlign w:val="center"/>
          </w:tcPr>
          <w:p>
            <w:pPr>
              <w:pStyle w:val="12"/>
            </w:pPr>
            <w:r>
              <w:t>15</w:t>
            </w:r>
          </w:p>
        </w:tc>
        <w:tc>
          <w:tcPr>
            <w:tcW w:w="850" w:type="dxa"/>
            <w:vAlign w:val="center"/>
          </w:tcPr>
          <w:p>
            <w:pPr>
              <w:pStyle w:val="12"/>
            </w:pPr>
            <w:r>
              <w:t>0.02</w:t>
            </w:r>
          </w:p>
        </w:tc>
        <w:tc>
          <w:tcPr>
            <w:tcW w:w="964" w:type="dxa"/>
            <w:vAlign w:val="center"/>
          </w:tcPr>
          <w:p>
            <w:pPr>
              <w:pStyle w:val="12"/>
            </w:pPr>
            <w:r>
              <w:t>0.26</w:t>
            </w:r>
          </w:p>
        </w:tc>
        <w:tc>
          <w:tcPr>
            <w:tcW w:w="964" w:type="dxa"/>
            <w:vAlign w:val="center"/>
          </w:tcPr>
          <w:p>
            <w:pPr>
              <w:pStyle w:val="12"/>
            </w:pPr>
            <w:r>
              <w:t>0.26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建筑物照明设备安装</w:t>
            </w:r>
          </w:p>
        </w:tc>
        <w:tc>
          <w:tcPr>
            <w:tcW w:w="1134" w:type="dxa"/>
            <w:vAlign w:val="center"/>
          </w:tcPr>
          <w:p>
            <w:pPr>
              <w:pStyle w:val="13"/>
            </w:pPr>
            <w:r>
              <w:t>B06030100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16.00</w:t>
            </w:r>
          </w:p>
        </w:tc>
        <w:tc>
          <w:tcPr>
            <w:tcW w:w="964" w:type="dxa"/>
            <w:vAlign w:val="center"/>
          </w:tcPr>
          <w:p>
            <w:pPr>
              <w:pStyle w:val="12"/>
            </w:pPr>
            <w:r>
              <w:t>16.00</w:t>
            </w:r>
          </w:p>
        </w:tc>
        <w:tc>
          <w:tcPr>
            <w:tcW w:w="964" w:type="dxa"/>
            <w:vAlign w:val="center"/>
          </w:tcPr>
          <w:p>
            <w:pPr>
              <w:pStyle w:val="12"/>
            </w:pPr>
            <w:r>
              <w:t>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6.24</w:t>
            </w:r>
          </w:p>
        </w:tc>
        <w:tc>
          <w:tcPr>
            <w:tcW w:w="964" w:type="dxa"/>
            <w:vAlign w:val="center"/>
          </w:tcPr>
          <w:p>
            <w:pPr>
              <w:pStyle w:val="12"/>
            </w:pPr>
            <w:r>
              <w:t>6.24</w:t>
            </w:r>
          </w:p>
        </w:tc>
        <w:tc>
          <w:tcPr>
            <w:tcW w:w="964" w:type="dxa"/>
            <w:vAlign w:val="center"/>
          </w:tcPr>
          <w:p>
            <w:pPr>
              <w:pStyle w:val="12"/>
            </w:pPr>
            <w:r>
              <w:t>6.24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一般会议服务</w:t>
            </w:r>
          </w:p>
        </w:tc>
        <w:tc>
          <w:tcPr>
            <w:tcW w:w="1134" w:type="dxa"/>
            <w:vAlign w:val="center"/>
          </w:tcPr>
          <w:p>
            <w:pPr>
              <w:pStyle w:val="13"/>
            </w:pPr>
            <w:r>
              <w:t>C22010200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（新党校运营）</w:t>
            </w:r>
          </w:p>
        </w:tc>
        <w:tc>
          <w:tcPr>
            <w:tcW w:w="964" w:type="dxa"/>
            <w:vAlign w:val="center"/>
          </w:tcPr>
          <w:p>
            <w:pPr>
              <w:pStyle w:val="12"/>
            </w:pPr>
            <w:r>
              <w:t>144.00</w:t>
            </w:r>
          </w:p>
        </w:tc>
        <w:tc>
          <w:tcPr>
            <w:tcW w:w="1134" w:type="dxa"/>
            <w:vAlign w:val="center"/>
          </w:tcPr>
          <w:p>
            <w:pPr>
              <w:pStyle w:val="13"/>
            </w:pPr>
            <w:r>
              <w:t>其他法律服务</w:t>
            </w:r>
          </w:p>
        </w:tc>
        <w:tc>
          <w:tcPr>
            <w:tcW w:w="1134" w:type="dxa"/>
            <w:vAlign w:val="center"/>
          </w:tcPr>
          <w:p>
            <w:pPr>
              <w:pStyle w:val="13"/>
            </w:pPr>
            <w:r>
              <w:t>C23019900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中国共产党晋州市委员会党校（含所属单位）上年末固定资产金额为525.45万元（详见下表）。本年度拟购置固定资产总额为0.00万元，已按要求列入政府采购预算，详见政府采购预算表。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281中国共产党晋州市委员会党校</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525.45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2087</w:t>
            </w:r>
          </w:p>
        </w:tc>
        <w:tc>
          <w:tcPr>
            <w:tcW w:w="2835" w:type="dxa"/>
            <w:vAlign w:val="center"/>
          </w:tcPr>
          <w:p>
            <w:pPr>
              <w:pStyle w:val="12"/>
            </w:pPr>
            <w:r>
              <w:t>137.97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2087</w:t>
            </w:r>
          </w:p>
        </w:tc>
        <w:tc>
          <w:tcPr>
            <w:tcW w:w="2835" w:type="dxa"/>
            <w:vAlign w:val="center"/>
          </w:tcPr>
          <w:p>
            <w:pPr>
              <w:pStyle w:val="12"/>
            </w:pPr>
            <w:r>
              <w:t>137.97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3014</w:t>
            </w:r>
          </w:p>
        </w:tc>
        <w:tc>
          <w:tcPr>
            <w:tcW w:w="2835" w:type="dxa"/>
            <w:vAlign w:val="center"/>
          </w:tcPr>
          <w:p>
            <w:pPr>
              <w:pStyle w:val="12"/>
            </w:pPr>
            <w:r>
              <w:t>372.58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456B7E"/>
    <w:multiLevelType w:val="singleLevel"/>
    <w:tmpl w:val="58456B7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E1376A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2026-03-02T08:37:00Z</dcterms:created>
  <dc:creator>Administrator</dc:creator>
  <cp:lastModifiedBy>Administrator</cp:lastModifiedBy>
  <dcterms:modified xsi:type="dcterms:W3CDTF">2026-03-02T03:04:12Z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