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303001晋州市发展和改革局本级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2609.85</w:t>
            </w:r>
          </w:p>
        </w:tc>
        <w:tc>
          <w:tcPr>
            <w:tcW w:w="4535" w:type="dxa"/>
            <w:vAlign w:val="center"/>
          </w:tcPr>
          <w:p>
            <w:pPr>
              <w:pStyle w:val="12"/>
            </w:pPr>
            <w:r>
              <w:t>一、一般公共服务支出</w:t>
            </w:r>
          </w:p>
        </w:tc>
        <w:tc>
          <w:tcPr>
            <w:tcW w:w="2126" w:type="dxa"/>
            <w:vAlign w:val="center"/>
          </w:tcPr>
          <w:p>
            <w:pPr>
              <w:pStyle w:val="11"/>
            </w:pPr>
            <w:r>
              <w:t>1163.16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1510.68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2609.85</w:t>
            </w:r>
          </w:p>
        </w:tc>
        <w:tc>
          <w:tcPr>
            <w:tcW w:w="4535" w:type="dxa"/>
            <w:vAlign w:val="center"/>
          </w:tcPr>
          <w:p>
            <w:pPr>
              <w:pStyle w:val="14"/>
            </w:pPr>
            <w:r>
              <w:t>本年支出合计</w:t>
            </w:r>
          </w:p>
        </w:tc>
        <w:tc>
          <w:tcPr>
            <w:tcW w:w="2126" w:type="dxa"/>
            <w:vAlign w:val="center"/>
          </w:tcPr>
          <w:p>
            <w:pPr>
              <w:pStyle w:val="15"/>
            </w:pPr>
            <w:r>
              <w:t>3290.24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680.39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3290.24</w:t>
            </w:r>
          </w:p>
        </w:tc>
        <w:tc>
          <w:tcPr>
            <w:tcW w:w="4535" w:type="dxa"/>
            <w:vAlign w:val="center"/>
          </w:tcPr>
          <w:p>
            <w:pPr>
              <w:pStyle w:val="14"/>
            </w:pPr>
            <w:r>
              <w:t>支出总计</w:t>
            </w:r>
          </w:p>
        </w:tc>
        <w:tc>
          <w:tcPr>
            <w:tcW w:w="2126" w:type="dxa"/>
            <w:vAlign w:val="center"/>
          </w:tcPr>
          <w:p>
            <w:pPr>
              <w:pStyle w:val="15"/>
            </w:pPr>
            <w:r>
              <w:t>3290.24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303001晋州市发展和改革局本级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3290.24</w:t>
            </w:r>
          </w:p>
        </w:tc>
        <w:tc>
          <w:tcPr>
            <w:tcW w:w="1134" w:type="dxa"/>
            <w:vAlign w:val="center"/>
          </w:tcPr>
          <w:p>
            <w:pPr>
              <w:pStyle w:val="15"/>
            </w:pPr>
            <w:r>
              <w:t>2609.85</w:t>
            </w:r>
          </w:p>
        </w:tc>
        <w:tc>
          <w:tcPr>
            <w:tcW w:w="1134" w:type="dxa"/>
            <w:vAlign w:val="center"/>
          </w:tcPr>
          <w:p>
            <w:pPr>
              <w:pStyle w:val="15"/>
            </w:pPr>
            <w:r>
              <w:t>2609.85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680.39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1163.16</w:t>
            </w:r>
          </w:p>
        </w:tc>
        <w:tc>
          <w:tcPr>
            <w:tcW w:w="1134" w:type="dxa"/>
            <w:vAlign w:val="center"/>
          </w:tcPr>
          <w:p>
            <w:pPr>
              <w:pStyle w:val="11"/>
            </w:pPr>
            <w:r>
              <w:t>1161.87</w:t>
            </w:r>
          </w:p>
        </w:tc>
        <w:tc>
          <w:tcPr>
            <w:tcW w:w="1134" w:type="dxa"/>
            <w:vAlign w:val="center"/>
          </w:tcPr>
          <w:p>
            <w:pPr>
              <w:pStyle w:val="11"/>
            </w:pPr>
            <w:r>
              <w:t>1161.87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1163.16</w:t>
            </w:r>
          </w:p>
        </w:tc>
        <w:tc>
          <w:tcPr>
            <w:tcW w:w="1134" w:type="dxa"/>
            <w:vAlign w:val="center"/>
          </w:tcPr>
          <w:p>
            <w:pPr>
              <w:pStyle w:val="11"/>
            </w:pPr>
            <w:r>
              <w:t>1161.87</w:t>
            </w:r>
          </w:p>
        </w:tc>
        <w:tc>
          <w:tcPr>
            <w:tcW w:w="1134" w:type="dxa"/>
            <w:vAlign w:val="center"/>
          </w:tcPr>
          <w:p>
            <w:pPr>
              <w:pStyle w:val="11"/>
            </w:pPr>
            <w:r>
              <w:t>1161.87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880.67</w:t>
            </w:r>
          </w:p>
        </w:tc>
        <w:tc>
          <w:tcPr>
            <w:tcW w:w="1134" w:type="dxa"/>
            <w:vAlign w:val="center"/>
          </w:tcPr>
          <w:p>
            <w:pPr>
              <w:pStyle w:val="11"/>
            </w:pPr>
            <w:r>
              <w:t>880.67</w:t>
            </w:r>
          </w:p>
        </w:tc>
        <w:tc>
          <w:tcPr>
            <w:tcW w:w="1134" w:type="dxa"/>
            <w:vAlign w:val="center"/>
          </w:tcPr>
          <w:p>
            <w:pPr>
              <w:pStyle w:val="11"/>
            </w:pPr>
            <w:r>
              <w:t>880.67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2010402</w:t>
            </w:r>
          </w:p>
        </w:tc>
        <w:tc>
          <w:tcPr>
            <w:tcW w:w="1559" w:type="dxa"/>
            <w:vAlign w:val="center"/>
          </w:tcPr>
          <w:p>
            <w:pPr>
              <w:pStyle w:val="12"/>
            </w:pPr>
            <w:r>
              <w:t>一般行政管理事务</w:t>
            </w:r>
          </w:p>
        </w:tc>
        <w:tc>
          <w:tcPr>
            <w:tcW w:w="1134" w:type="dxa"/>
            <w:vAlign w:val="center"/>
          </w:tcPr>
          <w:p>
            <w:pPr>
              <w:pStyle w:val="11"/>
            </w:pPr>
            <w:r>
              <w:t>265.67</w:t>
            </w:r>
          </w:p>
        </w:tc>
        <w:tc>
          <w:tcPr>
            <w:tcW w:w="1134" w:type="dxa"/>
            <w:vAlign w:val="center"/>
          </w:tcPr>
          <w:p>
            <w:pPr>
              <w:pStyle w:val="11"/>
            </w:pPr>
            <w:r>
              <w:t>265.67</w:t>
            </w:r>
          </w:p>
        </w:tc>
        <w:tc>
          <w:tcPr>
            <w:tcW w:w="1134" w:type="dxa"/>
            <w:vAlign w:val="center"/>
          </w:tcPr>
          <w:p>
            <w:pPr>
              <w:pStyle w:val="11"/>
            </w:pPr>
            <w:r>
              <w:t>265.67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16.82</w:t>
            </w:r>
          </w:p>
        </w:tc>
        <w:tc>
          <w:tcPr>
            <w:tcW w:w="1134" w:type="dxa"/>
            <w:vAlign w:val="center"/>
          </w:tcPr>
          <w:p>
            <w:pPr>
              <w:pStyle w:val="11"/>
            </w:pPr>
            <w:r>
              <w:t>15.53</w:t>
            </w:r>
          </w:p>
        </w:tc>
        <w:tc>
          <w:tcPr>
            <w:tcW w:w="1134" w:type="dxa"/>
            <w:vAlign w:val="center"/>
          </w:tcPr>
          <w:p>
            <w:pPr>
              <w:pStyle w:val="11"/>
            </w:pPr>
            <w:r>
              <w:t>15.53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1510.68</w:t>
            </w:r>
          </w:p>
        </w:tc>
        <w:tc>
          <w:tcPr>
            <w:tcW w:w="1134" w:type="dxa"/>
            <w:vAlign w:val="center"/>
          </w:tcPr>
          <w:p>
            <w:pPr>
              <w:pStyle w:val="11"/>
            </w:pPr>
            <w:r>
              <w:t>1447.98</w:t>
            </w:r>
          </w:p>
        </w:tc>
        <w:tc>
          <w:tcPr>
            <w:tcW w:w="1134" w:type="dxa"/>
            <w:vAlign w:val="center"/>
          </w:tcPr>
          <w:p>
            <w:pPr>
              <w:pStyle w:val="11"/>
            </w:pPr>
            <w:r>
              <w:t>1447.98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1510.68</w:t>
            </w:r>
          </w:p>
        </w:tc>
        <w:tc>
          <w:tcPr>
            <w:tcW w:w="1134" w:type="dxa"/>
            <w:vAlign w:val="center"/>
          </w:tcPr>
          <w:p>
            <w:pPr>
              <w:pStyle w:val="11"/>
            </w:pPr>
            <w:r>
              <w:t>1447.98</w:t>
            </w:r>
          </w:p>
        </w:tc>
        <w:tc>
          <w:tcPr>
            <w:tcW w:w="1134" w:type="dxa"/>
            <w:vAlign w:val="center"/>
          </w:tcPr>
          <w:p>
            <w:pPr>
              <w:pStyle w:val="11"/>
            </w:pPr>
            <w:r>
              <w:t>1447.98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1510.68</w:t>
            </w:r>
          </w:p>
        </w:tc>
        <w:tc>
          <w:tcPr>
            <w:tcW w:w="1134" w:type="dxa"/>
            <w:vAlign w:val="center"/>
          </w:tcPr>
          <w:p>
            <w:pPr>
              <w:pStyle w:val="11"/>
            </w:pPr>
            <w:r>
              <w:t>1447.98</w:t>
            </w:r>
          </w:p>
        </w:tc>
        <w:tc>
          <w:tcPr>
            <w:tcW w:w="1134" w:type="dxa"/>
            <w:vAlign w:val="center"/>
          </w:tcPr>
          <w:p>
            <w:pPr>
              <w:pStyle w:val="11"/>
            </w:pPr>
            <w:r>
              <w:t>1447.98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616.40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21598</w:t>
            </w:r>
          </w:p>
        </w:tc>
        <w:tc>
          <w:tcPr>
            <w:tcW w:w="1559" w:type="dxa"/>
            <w:vAlign w:val="center"/>
          </w:tcPr>
          <w:p>
            <w:pPr>
              <w:pStyle w:val="12"/>
            </w:pPr>
            <w:r>
              <w:t>超长期特别国债安排的支出</w:t>
            </w:r>
          </w:p>
        </w:tc>
        <w:tc>
          <w:tcPr>
            <w:tcW w:w="1134" w:type="dxa"/>
            <w:vAlign w:val="center"/>
          </w:tcPr>
          <w:p>
            <w:pPr>
              <w:pStyle w:val="11"/>
            </w:pPr>
            <w:r>
              <w:t>616.40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2159802</w:t>
            </w:r>
          </w:p>
        </w:tc>
        <w:tc>
          <w:tcPr>
            <w:tcW w:w="1559" w:type="dxa"/>
            <w:vAlign w:val="center"/>
          </w:tcPr>
          <w:p>
            <w:pPr>
              <w:pStyle w:val="12"/>
            </w:pPr>
            <w:r>
              <w:t>制造业</w:t>
            </w:r>
          </w:p>
        </w:tc>
        <w:tc>
          <w:tcPr>
            <w:tcW w:w="1134" w:type="dxa"/>
            <w:vAlign w:val="center"/>
          </w:tcPr>
          <w:p>
            <w:pPr>
              <w:pStyle w:val="11"/>
            </w:pPr>
            <w:r>
              <w:t>616.40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616.40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3290.24</w:t>
            </w:r>
          </w:p>
        </w:tc>
        <w:tc>
          <w:tcPr>
            <w:tcW w:w="1361" w:type="dxa"/>
            <w:vAlign w:val="center"/>
          </w:tcPr>
          <w:p>
            <w:pPr>
              <w:pStyle w:val="15"/>
            </w:pPr>
            <w:r>
              <w:t>880.67</w:t>
            </w:r>
          </w:p>
        </w:tc>
        <w:tc>
          <w:tcPr>
            <w:tcW w:w="1361" w:type="dxa"/>
            <w:vAlign w:val="center"/>
          </w:tcPr>
          <w:p>
            <w:pPr>
              <w:pStyle w:val="15"/>
            </w:pPr>
            <w:r>
              <w:t>2409.57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1163.16</w:t>
            </w:r>
          </w:p>
        </w:tc>
        <w:tc>
          <w:tcPr>
            <w:tcW w:w="1361" w:type="dxa"/>
            <w:vAlign w:val="center"/>
          </w:tcPr>
          <w:p>
            <w:pPr>
              <w:pStyle w:val="11"/>
            </w:pPr>
            <w:r>
              <w:t>880.67</w:t>
            </w:r>
          </w:p>
        </w:tc>
        <w:tc>
          <w:tcPr>
            <w:tcW w:w="1361" w:type="dxa"/>
            <w:vAlign w:val="center"/>
          </w:tcPr>
          <w:p>
            <w:pPr>
              <w:pStyle w:val="11"/>
            </w:pPr>
            <w:r>
              <w:t>282.49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1163.16</w:t>
            </w:r>
          </w:p>
        </w:tc>
        <w:tc>
          <w:tcPr>
            <w:tcW w:w="1361" w:type="dxa"/>
            <w:vAlign w:val="center"/>
          </w:tcPr>
          <w:p>
            <w:pPr>
              <w:pStyle w:val="11"/>
            </w:pPr>
            <w:r>
              <w:t>880.67</w:t>
            </w:r>
          </w:p>
        </w:tc>
        <w:tc>
          <w:tcPr>
            <w:tcW w:w="1361" w:type="dxa"/>
            <w:vAlign w:val="center"/>
          </w:tcPr>
          <w:p>
            <w:pPr>
              <w:pStyle w:val="11"/>
            </w:pPr>
            <w:r>
              <w:t>282.49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880.67</w:t>
            </w:r>
          </w:p>
        </w:tc>
        <w:tc>
          <w:tcPr>
            <w:tcW w:w="1361" w:type="dxa"/>
            <w:vAlign w:val="center"/>
          </w:tcPr>
          <w:p>
            <w:pPr>
              <w:pStyle w:val="11"/>
            </w:pPr>
            <w:r>
              <w:t>880.67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2010402</w:t>
            </w:r>
          </w:p>
        </w:tc>
        <w:tc>
          <w:tcPr>
            <w:tcW w:w="4535" w:type="dxa"/>
            <w:vAlign w:val="center"/>
          </w:tcPr>
          <w:p>
            <w:pPr>
              <w:pStyle w:val="12"/>
            </w:pPr>
            <w:r>
              <w:t>一般行政管理事务</w:t>
            </w:r>
          </w:p>
        </w:tc>
        <w:tc>
          <w:tcPr>
            <w:tcW w:w="1361" w:type="dxa"/>
            <w:vAlign w:val="center"/>
          </w:tcPr>
          <w:p>
            <w:pPr>
              <w:pStyle w:val="11"/>
            </w:pPr>
            <w:r>
              <w:t>265.67</w:t>
            </w:r>
          </w:p>
        </w:tc>
        <w:tc>
          <w:tcPr>
            <w:tcW w:w="1361" w:type="dxa"/>
            <w:vAlign w:val="center"/>
          </w:tcPr>
          <w:p>
            <w:pPr>
              <w:pStyle w:val="11"/>
            </w:pPr>
          </w:p>
        </w:tc>
        <w:tc>
          <w:tcPr>
            <w:tcW w:w="1361" w:type="dxa"/>
            <w:vAlign w:val="center"/>
          </w:tcPr>
          <w:p>
            <w:pPr>
              <w:pStyle w:val="11"/>
            </w:pPr>
            <w:r>
              <w:t>265.67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16.82</w:t>
            </w:r>
          </w:p>
        </w:tc>
        <w:tc>
          <w:tcPr>
            <w:tcW w:w="1361" w:type="dxa"/>
            <w:vAlign w:val="center"/>
          </w:tcPr>
          <w:p>
            <w:pPr>
              <w:pStyle w:val="11"/>
            </w:pPr>
          </w:p>
        </w:tc>
        <w:tc>
          <w:tcPr>
            <w:tcW w:w="1361" w:type="dxa"/>
            <w:vAlign w:val="center"/>
          </w:tcPr>
          <w:p>
            <w:pPr>
              <w:pStyle w:val="11"/>
            </w:pPr>
            <w:r>
              <w:t>16.82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r>
              <w:t>1510.68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21598</w:t>
            </w:r>
          </w:p>
        </w:tc>
        <w:tc>
          <w:tcPr>
            <w:tcW w:w="4535" w:type="dxa"/>
            <w:vAlign w:val="center"/>
          </w:tcPr>
          <w:p>
            <w:pPr>
              <w:pStyle w:val="12"/>
            </w:pPr>
            <w:r>
              <w:t>超长期特别国债安排的支出</w:t>
            </w: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2159802</w:t>
            </w:r>
          </w:p>
        </w:tc>
        <w:tc>
          <w:tcPr>
            <w:tcW w:w="4535" w:type="dxa"/>
            <w:vAlign w:val="center"/>
          </w:tcPr>
          <w:p>
            <w:pPr>
              <w:pStyle w:val="12"/>
            </w:pPr>
            <w:r>
              <w:t>制造业</w:t>
            </w: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r>
              <w:t>616.40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2609.85</w:t>
            </w:r>
          </w:p>
        </w:tc>
        <w:tc>
          <w:tcPr>
            <w:tcW w:w="3402" w:type="dxa"/>
            <w:vAlign w:val="center"/>
          </w:tcPr>
          <w:p>
            <w:pPr>
              <w:pStyle w:val="12"/>
            </w:pPr>
            <w:r>
              <w:t>一、一般公共服务支出</w:t>
            </w:r>
          </w:p>
        </w:tc>
        <w:tc>
          <w:tcPr>
            <w:tcW w:w="1474" w:type="dxa"/>
            <w:vAlign w:val="center"/>
          </w:tcPr>
          <w:p>
            <w:pPr>
              <w:pStyle w:val="11"/>
            </w:pPr>
            <w:r>
              <w:t>1163.16</w:t>
            </w:r>
          </w:p>
        </w:tc>
        <w:tc>
          <w:tcPr>
            <w:tcW w:w="1474" w:type="dxa"/>
            <w:vAlign w:val="center"/>
          </w:tcPr>
          <w:p>
            <w:pPr>
              <w:pStyle w:val="11"/>
            </w:pPr>
            <w:r>
              <w:t>1163.16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1510.68</w:t>
            </w:r>
          </w:p>
        </w:tc>
        <w:tc>
          <w:tcPr>
            <w:tcW w:w="1474" w:type="dxa"/>
            <w:vAlign w:val="center"/>
          </w:tcPr>
          <w:p>
            <w:pPr>
              <w:pStyle w:val="11"/>
            </w:pPr>
            <w:r>
              <w:t>1510.68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616.40</w:t>
            </w:r>
          </w:p>
        </w:tc>
        <w:tc>
          <w:tcPr>
            <w:tcW w:w="1474" w:type="dxa"/>
            <w:vAlign w:val="center"/>
          </w:tcPr>
          <w:p>
            <w:pPr>
              <w:pStyle w:val="11"/>
            </w:pPr>
          </w:p>
        </w:tc>
        <w:tc>
          <w:tcPr>
            <w:tcW w:w="1474" w:type="dxa"/>
            <w:vAlign w:val="center"/>
          </w:tcPr>
          <w:p>
            <w:pPr>
              <w:pStyle w:val="11"/>
            </w:pPr>
            <w:r>
              <w:t>616.40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2609.85</w:t>
            </w:r>
          </w:p>
        </w:tc>
        <w:tc>
          <w:tcPr>
            <w:tcW w:w="3402" w:type="dxa"/>
            <w:vAlign w:val="center"/>
          </w:tcPr>
          <w:p>
            <w:pPr>
              <w:pStyle w:val="14"/>
            </w:pPr>
            <w:r>
              <w:t>本年支出合计</w:t>
            </w:r>
          </w:p>
        </w:tc>
        <w:tc>
          <w:tcPr>
            <w:tcW w:w="1474" w:type="dxa"/>
            <w:vAlign w:val="center"/>
          </w:tcPr>
          <w:p>
            <w:pPr>
              <w:pStyle w:val="15"/>
            </w:pPr>
            <w:r>
              <w:t>3290.24</w:t>
            </w:r>
          </w:p>
        </w:tc>
        <w:tc>
          <w:tcPr>
            <w:tcW w:w="1474" w:type="dxa"/>
            <w:vAlign w:val="center"/>
          </w:tcPr>
          <w:p>
            <w:pPr>
              <w:pStyle w:val="15"/>
            </w:pPr>
            <w:r>
              <w:t>2673.84</w:t>
            </w:r>
          </w:p>
        </w:tc>
        <w:tc>
          <w:tcPr>
            <w:tcW w:w="1474" w:type="dxa"/>
            <w:vAlign w:val="center"/>
          </w:tcPr>
          <w:p>
            <w:pPr>
              <w:pStyle w:val="15"/>
            </w:pPr>
            <w:r>
              <w:t>616.40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680.39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63.99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616.40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3290.24</w:t>
            </w:r>
          </w:p>
        </w:tc>
        <w:tc>
          <w:tcPr>
            <w:tcW w:w="3402" w:type="dxa"/>
            <w:vAlign w:val="center"/>
          </w:tcPr>
          <w:p>
            <w:pPr>
              <w:pStyle w:val="14"/>
            </w:pPr>
            <w:r>
              <w:t>支出总计</w:t>
            </w:r>
          </w:p>
        </w:tc>
        <w:tc>
          <w:tcPr>
            <w:tcW w:w="1474" w:type="dxa"/>
            <w:vAlign w:val="center"/>
          </w:tcPr>
          <w:p>
            <w:pPr>
              <w:pStyle w:val="15"/>
            </w:pPr>
            <w:r>
              <w:t>3290.24</w:t>
            </w:r>
          </w:p>
        </w:tc>
        <w:tc>
          <w:tcPr>
            <w:tcW w:w="1474" w:type="dxa"/>
            <w:vAlign w:val="center"/>
          </w:tcPr>
          <w:p>
            <w:pPr>
              <w:pStyle w:val="15"/>
            </w:pPr>
            <w:r>
              <w:t>2673.84</w:t>
            </w:r>
          </w:p>
        </w:tc>
        <w:tc>
          <w:tcPr>
            <w:tcW w:w="1474" w:type="dxa"/>
            <w:vAlign w:val="center"/>
          </w:tcPr>
          <w:p>
            <w:pPr>
              <w:pStyle w:val="15"/>
            </w:pPr>
            <w:r>
              <w:t>616.40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2673.84</w:t>
            </w:r>
          </w:p>
        </w:tc>
        <w:tc>
          <w:tcPr>
            <w:tcW w:w="2551" w:type="dxa"/>
            <w:vAlign w:val="center"/>
          </w:tcPr>
          <w:p>
            <w:pPr>
              <w:pStyle w:val="15"/>
            </w:pPr>
            <w:r>
              <w:t>880.67</w:t>
            </w:r>
          </w:p>
        </w:tc>
        <w:tc>
          <w:tcPr>
            <w:tcW w:w="2551" w:type="dxa"/>
            <w:vAlign w:val="center"/>
          </w:tcPr>
          <w:p>
            <w:pPr>
              <w:pStyle w:val="15"/>
            </w:pPr>
            <w:r>
              <w:t>1793.17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1163.16</w:t>
            </w:r>
          </w:p>
        </w:tc>
        <w:tc>
          <w:tcPr>
            <w:tcW w:w="2551" w:type="dxa"/>
            <w:vAlign w:val="center"/>
          </w:tcPr>
          <w:p>
            <w:pPr>
              <w:pStyle w:val="11"/>
            </w:pPr>
            <w:r>
              <w:t>880.67</w:t>
            </w:r>
          </w:p>
        </w:tc>
        <w:tc>
          <w:tcPr>
            <w:tcW w:w="2551" w:type="dxa"/>
            <w:vAlign w:val="center"/>
          </w:tcPr>
          <w:p>
            <w:pPr>
              <w:pStyle w:val="11"/>
            </w:pPr>
            <w:r>
              <w:t>282.49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1163.16</w:t>
            </w:r>
          </w:p>
        </w:tc>
        <w:tc>
          <w:tcPr>
            <w:tcW w:w="2551" w:type="dxa"/>
            <w:vAlign w:val="center"/>
          </w:tcPr>
          <w:p>
            <w:pPr>
              <w:pStyle w:val="11"/>
            </w:pPr>
            <w:r>
              <w:t>880.67</w:t>
            </w:r>
          </w:p>
        </w:tc>
        <w:tc>
          <w:tcPr>
            <w:tcW w:w="2551" w:type="dxa"/>
            <w:vAlign w:val="center"/>
          </w:tcPr>
          <w:p>
            <w:pPr>
              <w:pStyle w:val="11"/>
            </w:pPr>
            <w:r>
              <w:t>282.49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880.67</w:t>
            </w:r>
          </w:p>
        </w:tc>
        <w:tc>
          <w:tcPr>
            <w:tcW w:w="2551" w:type="dxa"/>
            <w:vAlign w:val="center"/>
          </w:tcPr>
          <w:p>
            <w:pPr>
              <w:pStyle w:val="11"/>
            </w:pPr>
            <w:r>
              <w:t>880.67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2010402</w:t>
            </w:r>
          </w:p>
        </w:tc>
        <w:tc>
          <w:tcPr>
            <w:tcW w:w="4535" w:type="dxa"/>
            <w:vAlign w:val="center"/>
          </w:tcPr>
          <w:p>
            <w:pPr>
              <w:pStyle w:val="12"/>
            </w:pPr>
            <w:r>
              <w:t>一般行政管理事务</w:t>
            </w:r>
          </w:p>
        </w:tc>
        <w:tc>
          <w:tcPr>
            <w:tcW w:w="2551" w:type="dxa"/>
            <w:vAlign w:val="center"/>
          </w:tcPr>
          <w:p>
            <w:pPr>
              <w:pStyle w:val="11"/>
            </w:pPr>
            <w:r>
              <w:t>265.67</w:t>
            </w:r>
          </w:p>
        </w:tc>
        <w:tc>
          <w:tcPr>
            <w:tcW w:w="2551" w:type="dxa"/>
            <w:vAlign w:val="center"/>
          </w:tcPr>
          <w:p>
            <w:pPr>
              <w:pStyle w:val="11"/>
            </w:pPr>
          </w:p>
        </w:tc>
        <w:tc>
          <w:tcPr>
            <w:tcW w:w="2551" w:type="dxa"/>
            <w:vAlign w:val="center"/>
          </w:tcPr>
          <w:p>
            <w:pPr>
              <w:pStyle w:val="11"/>
            </w:pPr>
            <w:r>
              <w:t>265.67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16.82</w:t>
            </w:r>
          </w:p>
        </w:tc>
        <w:tc>
          <w:tcPr>
            <w:tcW w:w="2551" w:type="dxa"/>
            <w:vAlign w:val="center"/>
          </w:tcPr>
          <w:p>
            <w:pPr>
              <w:pStyle w:val="11"/>
            </w:pPr>
          </w:p>
        </w:tc>
        <w:tc>
          <w:tcPr>
            <w:tcW w:w="2551" w:type="dxa"/>
            <w:vAlign w:val="center"/>
          </w:tcPr>
          <w:p>
            <w:pPr>
              <w:pStyle w:val="11"/>
            </w:pPr>
            <w:r>
              <w:t>16.82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1510.68</w:t>
            </w:r>
          </w:p>
        </w:tc>
        <w:tc>
          <w:tcPr>
            <w:tcW w:w="2551" w:type="dxa"/>
            <w:vAlign w:val="center"/>
          </w:tcPr>
          <w:p>
            <w:pPr>
              <w:pStyle w:val="11"/>
            </w:pPr>
          </w:p>
        </w:tc>
        <w:tc>
          <w:tcPr>
            <w:tcW w:w="2551" w:type="dxa"/>
            <w:vAlign w:val="center"/>
          </w:tcPr>
          <w:p>
            <w:pPr>
              <w:pStyle w:val="11"/>
            </w:pPr>
            <w:r>
              <w:t>1510.68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1510.68</w:t>
            </w:r>
          </w:p>
        </w:tc>
        <w:tc>
          <w:tcPr>
            <w:tcW w:w="2551" w:type="dxa"/>
            <w:vAlign w:val="center"/>
          </w:tcPr>
          <w:p>
            <w:pPr>
              <w:pStyle w:val="11"/>
            </w:pPr>
          </w:p>
        </w:tc>
        <w:tc>
          <w:tcPr>
            <w:tcW w:w="2551" w:type="dxa"/>
            <w:vAlign w:val="center"/>
          </w:tcPr>
          <w:p>
            <w:pPr>
              <w:pStyle w:val="11"/>
            </w:pPr>
            <w:r>
              <w:t>1510.68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1510.68</w:t>
            </w:r>
          </w:p>
        </w:tc>
        <w:tc>
          <w:tcPr>
            <w:tcW w:w="2551" w:type="dxa"/>
            <w:vAlign w:val="center"/>
          </w:tcPr>
          <w:p>
            <w:pPr>
              <w:pStyle w:val="11"/>
            </w:pPr>
          </w:p>
        </w:tc>
        <w:tc>
          <w:tcPr>
            <w:tcW w:w="2551" w:type="dxa"/>
            <w:vAlign w:val="center"/>
          </w:tcPr>
          <w:p>
            <w:pPr>
              <w:pStyle w:val="11"/>
            </w:pPr>
            <w:r>
              <w:t>1510.68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880.67</w:t>
            </w:r>
          </w:p>
        </w:tc>
        <w:tc>
          <w:tcPr>
            <w:tcW w:w="2551" w:type="dxa"/>
            <w:vAlign w:val="center"/>
          </w:tcPr>
          <w:p>
            <w:pPr>
              <w:pStyle w:val="15"/>
            </w:pPr>
            <w:r>
              <w:t>790.01</w:t>
            </w:r>
          </w:p>
        </w:tc>
        <w:tc>
          <w:tcPr>
            <w:tcW w:w="2551" w:type="dxa"/>
            <w:vAlign w:val="center"/>
          </w:tcPr>
          <w:p>
            <w:pPr>
              <w:pStyle w:val="15"/>
            </w:pPr>
            <w:r>
              <w:t>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577.06</w:t>
            </w:r>
          </w:p>
        </w:tc>
        <w:tc>
          <w:tcPr>
            <w:tcW w:w="2551" w:type="dxa"/>
            <w:vAlign w:val="center"/>
          </w:tcPr>
          <w:p>
            <w:pPr>
              <w:pStyle w:val="11"/>
            </w:pPr>
            <w:r>
              <w:t>577.06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220.10</w:t>
            </w:r>
          </w:p>
        </w:tc>
        <w:tc>
          <w:tcPr>
            <w:tcW w:w="2551" w:type="dxa"/>
            <w:vAlign w:val="center"/>
          </w:tcPr>
          <w:p>
            <w:pPr>
              <w:pStyle w:val="11"/>
            </w:pPr>
            <w:r>
              <w:t>220.10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86.31</w:t>
            </w:r>
          </w:p>
        </w:tc>
        <w:tc>
          <w:tcPr>
            <w:tcW w:w="2551" w:type="dxa"/>
            <w:vAlign w:val="center"/>
          </w:tcPr>
          <w:p>
            <w:pPr>
              <w:pStyle w:val="11"/>
            </w:pPr>
            <w:r>
              <w:t>86.31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74.16</w:t>
            </w:r>
          </w:p>
        </w:tc>
        <w:tc>
          <w:tcPr>
            <w:tcW w:w="2551" w:type="dxa"/>
            <w:vAlign w:val="center"/>
          </w:tcPr>
          <w:p>
            <w:pPr>
              <w:pStyle w:val="11"/>
            </w:pPr>
            <w:r>
              <w:t>74.16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45.00</w:t>
            </w:r>
          </w:p>
        </w:tc>
        <w:tc>
          <w:tcPr>
            <w:tcW w:w="2551" w:type="dxa"/>
            <w:vAlign w:val="center"/>
          </w:tcPr>
          <w:p>
            <w:pPr>
              <w:pStyle w:val="11"/>
            </w:pPr>
            <w:r>
              <w:t>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59.62</w:t>
            </w:r>
          </w:p>
        </w:tc>
        <w:tc>
          <w:tcPr>
            <w:tcW w:w="2551" w:type="dxa"/>
            <w:vAlign w:val="center"/>
          </w:tcPr>
          <w:p>
            <w:pPr>
              <w:pStyle w:val="11"/>
            </w:pPr>
            <w:r>
              <w:t>59.62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23.96</w:t>
            </w:r>
          </w:p>
        </w:tc>
        <w:tc>
          <w:tcPr>
            <w:tcW w:w="2551" w:type="dxa"/>
            <w:vAlign w:val="center"/>
          </w:tcPr>
          <w:p>
            <w:pPr>
              <w:pStyle w:val="11"/>
            </w:pPr>
            <w:r>
              <w:t>23.96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12.18</w:t>
            </w:r>
          </w:p>
        </w:tc>
        <w:tc>
          <w:tcPr>
            <w:tcW w:w="2551" w:type="dxa"/>
            <w:vAlign w:val="center"/>
          </w:tcPr>
          <w:p>
            <w:pPr>
              <w:pStyle w:val="11"/>
            </w:pPr>
            <w:r>
              <w:t>12.18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2.51</w:t>
            </w:r>
          </w:p>
        </w:tc>
        <w:tc>
          <w:tcPr>
            <w:tcW w:w="2551" w:type="dxa"/>
            <w:vAlign w:val="center"/>
          </w:tcPr>
          <w:p>
            <w:pPr>
              <w:pStyle w:val="11"/>
            </w:pPr>
            <w:r>
              <w:t>2.51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47.79</w:t>
            </w:r>
          </w:p>
        </w:tc>
        <w:tc>
          <w:tcPr>
            <w:tcW w:w="2551" w:type="dxa"/>
            <w:vAlign w:val="center"/>
          </w:tcPr>
          <w:p>
            <w:pPr>
              <w:pStyle w:val="11"/>
            </w:pPr>
            <w:r>
              <w:t>47.79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5.43</w:t>
            </w:r>
          </w:p>
        </w:tc>
        <w:tc>
          <w:tcPr>
            <w:tcW w:w="2551" w:type="dxa"/>
            <w:vAlign w:val="center"/>
          </w:tcPr>
          <w:p>
            <w:pPr>
              <w:pStyle w:val="11"/>
            </w:pPr>
            <w:r>
              <w:t>5.43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90.66</w:t>
            </w:r>
          </w:p>
        </w:tc>
        <w:tc>
          <w:tcPr>
            <w:tcW w:w="2551" w:type="dxa"/>
            <w:vAlign w:val="center"/>
          </w:tcPr>
          <w:p>
            <w:pPr>
              <w:pStyle w:val="11"/>
            </w:pPr>
          </w:p>
        </w:tc>
        <w:tc>
          <w:tcPr>
            <w:tcW w:w="2551" w:type="dxa"/>
            <w:vAlign w:val="center"/>
          </w:tcPr>
          <w:p>
            <w:pPr>
              <w:pStyle w:val="11"/>
            </w:pPr>
            <w:r>
              <w:t>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15.84</w:t>
            </w:r>
          </w:p>
        </w:tc>
        <w:tc>
          <w:tcPr>
            <w:tcW w:w="2551" w:type="dxa"/>
            <w:vAlign w:val="center"/>
          </w:tcPr>
          <w:p>
            <w:pPr>
              <w:pStyle w:val="11"/>
            </w:pPr>
          </w:p>
        </w:tc>
        <w:tc>
          <w:tcPr>
            <w:tcW w:w="2551" w:type="dxa"/>
            <w:vAlign w:val="center"/>
          </w:tcPr>
          <w:p>
            <w:pPr>
              <w:pStyle w:val="11"/>
            </w:pPr>
            <w:r>
              <w:t>15.84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7.57</w:t>
            </w:r>
          </w:p>
        </w:tc>
        <w:tc>
          <w:tcPr>
            <w:tcW w:w="2551" w:type="dxa"/>
            <w:vAlign w:val="center"/>
          </w:tcPr>
          <w:p>
            <w:pPr>
              <w:pStyle w:val="11"/>
            </w:pPr>
          </w:p>
        </w:tc>
        <w:tc>
          <w:tcPr>
            <w:tcW w:w="2551" w:type="dxa"/>
            <w:vAlign w:val="center"/>
          </w:tcPr>
          <w:p>
            <w:pPr>
              <w:pStyle w:val="11"/>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4.47</w:t>
            </w:r>
          </w:p>
        </w:tc>
        <w:tc>
          <w:tcPr>
            <w:tcW w:w="2551" w:type="dxa"/>
            <w:vAlign w:val="center"/>
          </w:tcPr>
          <w:p>
            <w:pPr>
              <w:pStyle w:val="11"/>
            </w:pPr>
          </w:p>
        </w:tc>
        <w:tc>
          <w:tcPr>
            <w:tcW w:w="2551" w:type="dxa"/>
            <w:vAlign w:val="center"/>
          </w:tcPr>
          <w:p>
            <w:pPr>
              <w:pStyle w:val="11"/>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8.73</w:t>
            </w:r>
          </w:p>
        </w:tc>
        <w:tc>
          <w:tcPr>
            <w:tcW w:w="2551" w:type="dxa"/>
            <w:vAlign w:val="center"/>
          </w:tcPr>
          <w:p>
            <w:pPr>
              <w:pStyle w:val="11"/>
            </w:pPr>
          </w:p>
        </w:tc>
        <w:tc>
          <w:tcPr>
            <w:tcW w:w="2551" w:type="dxa"/>
            <w:vAlign w:val="center"/>
          </w:tcPr>
          <w:p>
            <w:pPr>
              <w:pStyle w:val="11"/>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21.00</w:t>
            </w:r>
          </w:p>
        </w:tc>
        <w:tc>
          <w:tcPr>
            <w:tcW w:w="2551" w:type="dxa"/>
            <w:vAlign w:val="center"/>
          </w:tcPr>
          <w:p>
            <w:pPr>
              <w:pStyle w:val="11"/>
            </w:pPr>
          </w:p>
        </w:tc>
        <w:tc>
          <w:tcPr>
            <w:tcW w:w="2551"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6.14</w:t>
            </w:r>
          </w:p>
        </w:tc>
        <w:tc>
          <w:tcPr>
            <w:tcW w:w="2551" w:type="dxa"/>
            <w:vAlign w:val="center"/>
          </w:tcPr>
          <w:p>
            <w:pPr>
              <w:pStyle w:val="11"/>
            </w:pPr>
          </w:p>
        </w:tc>
        <w:tc>
          <w:tcPr>
            <w:tcW w:w="2551" w:type="dxa"/>
            <w:vAlign w:val="center"/>
          </w:tcPr>
          <w:p>
            <w:pPr>
              <w:pStyle w:val="11"/>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212.95</w:t>
            </w:r>
          </w:p>
        </w:tc>
        <w:tc>
          <w:tcPr>
            <w:tcW w:w="2551" w:type="dxa"/>
            <w:vAlign w:val="center"/>
          </w:tcPr>
          <w:p>
            <w:pPr>
              <w:pStyle w:val="11"/>
            </w:pPr>
            <w:r>
              <w:t>212.95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199.79</w:t>
            </w:r>
          </w:p>
        </w:tc>
        <w:tc>
          <w:tcPr>
            <w:tcW w:w="2551" w:type="dxa"/>
            <w:vAlign w:val="center"/>
          </w:tcPr>
          <w:p>
            <w:pPr>
              <w:pStyle w:val="11"/>
            </w:pPr>
            <w:r>
              <w:t>199.79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13.16</w:t>
            </w:r>
          </w:p>
        </w:tc>
        <w:tc>
          <w:tcPr>
            <w:tcW w:w="2551" w:type="dxa"/>
            <w:vAlign w:val="center"/>
          </w:tcPr>
          <w:p>
            <w:pPr>
              <w:pStyle w:val="11"/>
            </w:pPr>
            <w:r>
              <w:t>13.16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616.40</w:t>
            </w:r>
          </w:p>
        </w:tc>
        <w:tc>
          <w:tcPr>
            <w:tcW w:w="2551" w:type="dxa"/>
            <w:vAlign w:val="center"/>
          </w:tcPr>
          <w:p>
            <w:pPr>
              <w:pStyle w:val="15"/>
            </w:pPr>
          </w:p>
        </w:tc>
        <w:tc>
          <w:tcPr>
            <w:tcW w:w="2551" w:type="dxa"/>
            <w:vAlign w:val="center"/>
          </w:tcPr>
          <w:p>
            <w:pPr>
              <w:pStyle w:val="15"/>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616.40</w:t>
            </w:r>
          </w:p>
        </w:tc>
        <w:tc>
          <w:tcPr>
            <w:tcW w:w="2551" w:type="dxa"/>
            <w:vAlign w:val="center"/>
          </w:tcPr>
          <w:p>
            <w:pPr>
              <w:pStyle w:val="11"/>
            </w:pPr>
          </w:p>
        </w:tc>
        <w:tc>
          <w:tcPr>
            <w:tcW w:w="2551" w:type="dxa"/>
            <w:vAlign w:val="center"/>
          </w:tcPr>
          <w:p>
            <w:pPr>
              <w:pStyle w:val="11"/>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21598</w:t>
            </w:r>
          </w:p>
        </w:tc>
        <w:tc>
          <w:tcPr>
            <w:tcW w:w="4535" w:type="dxa"/>
            <w:vAlign w:val="center"/>
          </w:tcPr>
          <w:p>
            <w:pPr>
              <w:pStyle w:val="12"/>
            </w:pPr>
            <w:r>
              <w:t>超长期特别国债安排的支出</w:t>
            </w:r>
          </w:p>
        </w:tc>
        <w:tc>
          <w:tcPr>
            <w:tcW w:w="2551" w:type="dxa"/>
            <w:vAlign w:val="center"/>
          </w:tcPr>
          <w:p>
            <w:pPr>
              <w:pStyle w:val="11"/>
            </w:pPr>
            <w:r>
              <w:t>616.40</w:t>
            </w:r>
          </w:p>
        </w:tc>
        <w:tc>
          <w:tcPr>
            <w:tcW w:w="2551" w:type="dxa"/>
            <w:vAlign w:val="center"/>
          </w:tcPr>
          <w:p>
            <w:pPr>
              <w:pStyle w:val="11"/>
            </w:pPr>
          </w:p>
        </w:tc>
        <w:tc>
          <w:tcPr>
            <w:tcW w:w="2551" w:type="dxa"/>
            <w:vAlign w:val="center"/>
          </w:tcPr>
          <w:p>
            <w:pPr>
              <w:pStyle w:val="11"/>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2159802</w:t>
            </w:r>
          </w:p>
        </w:tc>
        <w:tc>
          <w:tcPr>
            <w:tcW w:w="4535" w:type="dxa"/>
            <w:vAlign w:val="center"/>
          </w:tcPr>
          <w:p>
            <w:pPr>
              <w:pStyle w:val="12"/>
            </w:pPr>
            <w:r>
              <w:t>制造业</w:t>
            </w:r>
          </w:p>
        </w:tc>
        <w:tc>
          <w:tcPr>
            <w:tcW w:w="2551" w:type="dxa"/>
            <w:vAlign w:val="center"/>
          </w:tcPr>
          <w:p>
            <w:pPr>
              <w:pStyle w:val="11"/>
            </w:pPr>
            <w:r>
              <w:t>616.40</w:t>
            </w:r>
          </w:p>
        </w:tc>
        <w:tc>
          <w:tcPr>
            <w:tcW w:w="2551" w:type="dxa"/>
            <w:vAlign w:val="center"/>
          </w:tcPr>
          <w:p>
            <w:pPr>
              <w:pStyle w:val="11"/>
            </w:pPr>
          </w:p>
        </w:tc>
        <w:tc>
          <w:tcPr>
            <w:tcW w:w="2551" w:type="dxa"/>
            <w:vAlign w:val="center"/>
          </w:tcPr>
          <w:p>
            <w:pPr>
              <w:pStyle w:val="11"/>
            </w:pPr>
            <w:r>
              <w:t>616.40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303001晋州市发展和改革局本级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8.73</w:t>
            </w:r>
          </w:p>
        </w:tc>
        <w:tc>
          <w:tcPr>
            <w:tcW w:w="2381" w:type="dxa"/>
            <w:vAlign w:val="center"/>
          </w:tcPr>
          <w:p>
            <w:pPr>
              <w:pStyle w:val="15"/>
            </w:pPr>
            <w:r>
              <w:t>8.73</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8.73</w:t>
            </w:r>
          </w:p>
        </w:tc>
        <w:tc>
          <w:tcPr>
            <w:tcW w:w="2381" w:type="dxa"/>
            <w:vAlign w:val="center"/>
          </w:tcPr>
          <w:p>
            <w:pPr>
              <w:pStyle w:val="11"/>
            </w:pPr>
            <w:r>
              <w:t>8.73</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晋州市发展和改革局本级2026年单位预算信息公开情况说明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按照《中华人民共和国预算法》、《地方预决算公开操作规程》和《关于进一步推进预算公开工作的实施意见》规定，现将晋州市发展和改革局本级2026年单位预算公开如下：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并组织实施全市国民经济和社会发展战略、中长期规划和年度计划。牵头组织统一规划体系建设。负责市级专项规划、区域规划、空间规划与全市发展规划的统筹衔接。贯彻落实国民经济和社会发展、经济体制改革和对外开放的有关地方性法规，政府规章，制定规范性文件。</w:t>
      </w:r>
    </w:p>
    <w:p>
      <w:pPr>
        <w:pStyle w:val="17"/>
      </w:pPr>
      <w:r>
        <w:t>（二）提出加快建设全市现代化经济体系、推动高质量发展的总体目标、重大任务以及相关政策。组织开展重大战略规划、重大政策、重大工程等的评估督导，提出相关调整建议。</w:t>
      </w:r>
    </w:p>
    <w:p>
      <w:pPr>
        <w:pStyle w:val="17"/>
      </w:pPr>
      <w:r>
        <w:t>（三）贯彻落实国家、省、石家庄市宏观调控政策，统筹提出全市国民经济和社会发展主要目标，监测预测预警宏观经济和社会发展态势趋势，提出经济调节政策建议。综合协调经济调节政策，牵头研究应对措施。调节经济运行，协调解决经济运行中的重大问题。参与贯彻落实国家、省、石家庄市财政政策、货币政策和土地政策。</w:t>
      </w:r>
    </w:p>
    <w:p>
      <w:pPr>
        <w:pStyle w:val="17"/>
      </w:pPr>
      <w:r>
        <w:t>（四）指导推进和综合协调经济体制改革有关工作，提出相关改革建议。牵头推进供给侧结构性改革。协调推进产权制度和要素市场化配置改革。落实国家、省、石家庄市完善基本经济制度政策，推动现代化市场体系建设，会同有关部门组织实施市场准入负面清单制度。牵头推进优化营商环境工作。负责生产经营类事业单位管理体制改革工作。</w:t>
      </w:r>
    </w:p>
    <w:p>
      <w:pPr>
        <w:pStyle w:val="17"/>
      </w:pPr>
      <w:r>
        <w:t>（五）提出全市利用外资和境外投资的战略、规划、总量平衡和结构优化政策。牵头推进实施全市“一带一路”建设有关工作。承担统筹协调走出去有关工作。负责全市全口径外债的总量控制、结构优化和监测工作。</w:t>
      </w:r>
    </w:p>
    <w:p>
      <w:pPr>
        <w:pStyle w:val="17"/>
      </w:pPr>
      <w:r>
        <w:t>（六）负责全市投资综合管理。拟订全市固定资产投资总规模、结构调控目标和政策，规划全市重点建设项目和生产力布局，组织推动重点建设项目。拟订并推动落实鼓励民间投资政策措施。</w:t>
      </w:r>
    </w:p>
    <w:p>
      <w:pPr>
        <w:pStyle w:val="17"/>
      </w:pPr>
      <w:r>
        <w:t>（七）推进落实区域协调发展战略、新型城镇化战略和重大政策，组织拟订相关区域规划和政策。落实推进实施京津冀协同发展等区域发展战略。组织编制并推动实施新型城镇化规划。</w:t>
      </w:r>
    </w:p>
    <w:p>
      <w:pPr>
        <w:pStyle w:val="17"/>
      </w:pPr>
      <w:r>
        <w:t>（八）贯彻实施国家、省、石家庄市产业政策，拟订全市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7"/>
      </w:pPr>
      <w:r>
        <w:t>（九）推动实施全市创新驱动发展战略。会同相关部门拟订全市推进创新创业的规划和政策，提出创新发展和培育经济发展新动能的政策。会同相关部门规划布局市级重大科技基础设施。组织拟订并推动实施高技术产业和战略性新兴产业及数字经济发展规划政策，协调产业升级、重大技术装备推广应用等方面重大问题。</w:t>
      </w:r>
    </w:p>
    <w:p>
      <w:pPr>
        <w:pStyle w:val="17"/>
      </w:pPr>
      <w:r>
        <w:t>（十）跟踪研判涉及经济安全、生态安全、资源安全、科技安全、社会安全等各类风险隐患，提出相关工作建议。协调落实重要工业品、原材料和重要农产品进出口调控措施。会同有关部门拟订全市储备物资品种目录、总体发展规划。</w:t>
      </w:r>
    </w:p>
    <w:p>
      <w:pPr>
        <w:pStyle w:val="17"/>
      </w:pPr>
      <w:r>
        <w:t>（十一）负责全市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市能源消费控制目标、任务并组织实施。</w:t>
      </w:r>
    </w:p>
    <w:p>
      <w:pPr>
        <w:pStyle w:val="17"/>
      </w:pPr>
      <w:r>
        <w:t>（十三）组织拟订推进全市经济建设与国防建设协调发展的战略和规划，组织推进经济建设项目贯彻国防要求。</w:t>
      </w:r>
    </w:p>
    <w:p>
      <w:pPr>
        <w:pStyle w:val="17"/>
      </w:pPr>
      <w:r>
        <w:t>（十四）拟订并组织实施有关价格政策，组织制定由市级管理的重要商品、服务价格和重要收费标准。负责价格（收费）申诉案件行政复议和裁决，负责对司法、纪检监察、行政机关及仲裁机构办理的各种案件涉案物品进行价格鉴定。</w:t>
      </w:r>
    </w:p>
    <w:p>
      <w:pPr>
        <w:pStyle w:val="17"/>
      </w:pPr>
      <w:r>
        <w:t>（十五）提出全市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7"/>
      </w:pPr>
      <w:r>
        <w:t>（十六）拟订全市粮食流通规划并组织实施。负责粮食行业发展和粮食流通设施建设，承担全市粮食流通宏观调控，落实国家、省、石家庄市粮食购销政策和粮食质量标准。负责粮食流通、加工行业安全生产的监督管理，负责粮食流通监督检查，负责粮食收购、储存、运输环节粮食质量安全和原粮卫生的监督管理，组织实施全市粮食库存检查工作。承担粮食安全市长责任制考核日常工作。</w:t>
      </w:r>
    </w:p>
    <w:p>
      <w:pPr>
        <w:pStyle w:val="17"/>
      </w:pPr>
      <w:r>
        <w:t>（十七）拟订市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（十八）协调、管理、推动口岸建设和物流业发展，以及重大物流园区和物流项目建设等相关工作。</w:t>
      </w:r>
    </w:p>
    <w:p>
      <w:pPr>
        <w:pStyle w:val="17"/>
      </w:pPr>
      <w:r>
        <w:t>(十九)贯彻落实党中央和省委、市委关于人防工作的方针政策和决策部署，坚持和加强党对人防工作的集中统一领导。拟订全市人民防空发展规划、年度工作计划并组织实施。</w:t>
      </w:r>
    </w:p>
    <w:p>
      <w:pPr>
        <w:pStyle w:val="17"/>
      </w:pPr>
      <w:r>
        <w:t>（二十）组织实施国民经济、装备动员，交通战备保障等工作。</w:t>
      </w:r>
    </w:p>
    <w:p>
      <w:pPr>
        <w:pStyle w:val="17"/>
      </w:pPr>
      <w:r>
        <w:t>（二十一）完成市委、市政府交办的其他任务。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3290.24万元，其中：一般公共预算收入2609.85万元，基金预算收入0.00万元，国有资本经营预算收入0.00万元，财政专户核拨收入0.00万元，单位资金收入0.00万元，上年结转结余680.39万元。</w:t>
      </w:r>
    </w:p>
    <w:p>
      <w:pPr>
        <w:pStyle w:val="18"/>
      </w:pPr>
      <w:r>
        <w:t>2、支出说明</w:t>
      </w:r>
    </w:p>
    <w:p>
      <w:pPr>
        <w:pStyle w:val="18"/>
      </w:pPr>
      <w:r>
        <w:t>收支预算总表支出栏、基本支出表、项目支出表按经济分类和支出功能分类科目编制，反映晋州市发展和改革局本级年度单位预算中支出预算的总体情况。2026年支出预算3290.24万元，其中基本支出880.67万元，包括人员经费790.01万元和日常公用经费90.66万元；项目支出2409.57万元，主要为大气污染防治资金1344.78万元；2024年中央第二批超长期特别国债616.4万元；粮食企业人员安置费用190万元；2025-2026年采暖季农村煤改气用户天然气销售价格补贴165.9万元；退役军人相关费用33.33万元；其他劳务派遣人员31.34万元；农产品调查和重要商品应急价格调查资金8.82万元；刑事案件价格认定费用8万元；救灾物资保管费4万元；人民防空办公室经费4万元；粮食执法经费3万元；预计下年使用的单位资金结余0.00万元。委托业务费共计安排31.34万元，主要用于因技术原因确需对外委托的辅助性工作和确有必要对外委托开展咨询、评审、规划等工作。</w:t>
      </w:r>
    </w:p>
    <w:p>
      <w:pPr>
        <w:pStyle w:val="18"/>
      </w:pPr>
      <w:r>
        <w:t>3、比上年增减情况</w:t>
      </w:r>
    </w:p>
    <w:p>
      <w:pPr>
        <w:pStyle w:val="18"/>
      </w:pPr>
      <w:r>
        <w:t>2026年预算收支安排3290.24万元，较2025年预算减少1799.66万元，其中：基本支出减少14.84万元，主要为人员比去年同期减少，致使基本支出减少。项目支出减少1784.82万元，主要为一是减少超长期特别国债资金，二是上级减少了大气污染防治资金的下达。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2026年，我单位机关运行经费共计安排90.66万元，主要用于日常维修、办公用房水电费、办公用房取暖费、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8.73万元，其中因公出国（境）费0.00万元；公务用车购置及运维费8.73万元（其中：公务用车购置费为0.00万元，公务用车运维费8.73万元)；公务接待费0.00万元。与2025年相比减少0.27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1、冀财建[2024]207号2024年中央第二批超长期特别国债（推动大规模设备更新和消费品以旧换新领域）绩效目标表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13018325P00006411875D</w:t>
            </w:r>
          </w:p>
        </w:tc>
        <w:tc>
          <w:tcPr>
            <w:tcW w:w="2835" w:type="dxa"/>
            <w:vAlign w:val="center"/>
          </w:tcPr>
          <w:p>
            <w:pPr>
              <w:pStyle w:val="10"/>
            </w:pPr>
            <w:r>
              <w:t>项目名称</w:t>
            </w:r>
          </w:p>
        </w:tc>
        <w:tc>
          <w:tcPr>
            <w:tcW w:w="6095" w:type="dxa"/>
            <w:gridSpan w:val="3"/>
            <w:vAlign w:val="center"/>
          </w:tcPr>
          <w:p>
            <w:pPr>
              <w:pStyle w:val="12"/>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616.40</w:t>
            </w:r>
          </w:p>
        </w:tc>
        <w:tc>
          <w:tcPr>
            <w:tcW w:w="2835" w:type="dxa"/>
            <w:vAlign w:val="center"/>
          </w:tcPr>
          <w:p>
            <w:pPr>
              <w:pStyle w:val="10"/>
            </w:pPr>
            <w:r>
              <w:t>其中：财政    资金</w:t>
            </w:r>
          </w:p>
        </w:tc>
        <w:tc>
          <w:tcPr>
            <w:tcW w:w="2551" w:type="dxa"/>
            <w:vAlign w:val="center"/>
          </w:tcPr>
          <w:p>
            <w:pPr>
              <w:pStyle w:val="12"/>
            </w:pPr>
            <w:r>
              <w:t>616.40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资金用途：用于企业设备更新。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1.我市经济持续稳步上升。</w:t>
            </w:r>
          </w:p>
          <w:p>
            <w:pPr>
              <w:pStyle w:val="12"/>
            </w:pPr>
            <w:r>
              <w:t>2.扩大生产线，从而实现规模经济。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补助企业数量</w:t>
            </w:r>
          </w:p>
        </w:tc>
        <w:tc>
          <w:tcPr>
            <w:tcW w:w="5386" w:type="dxa"/>
            <w:vAlign w:val="center"/>
          </w:tcPr>
          <w:p>
            <w:pPr>
              <w:pStyle w:val="12"/>
            </w:pPr>
            <w:r>
              <w:t>补助企业数量</w:t>
            </w:r>
          </w:p>
        </w:tc>
        <w:tc>
          <w:tcPr>
            <w:tcW w:w="2268" w:type="dxa"/>
            <w:vAlign w:val="center"/>
          </w:tcPr>
          <w:p>
            <w:pPr>
              <w:pStyle w:val="12"/>
            </w:pPr>
            <w:r>
              <w:t>1个</w:t>
            </w:r>
          </w:p>
        </w:tc>
        <w:tc>
          <w:tcPr>
            <w:tcW w:w="1276" w:type="dxa"/>
            <w:vAlign w:val="center"/>
          </w:tcPr>
          <w:p>
            <w:pPr>
              <w:pStyle w:val="12"/>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100%</w:t>
            </w:r>
          </w:p>
        </w:tc>
        <w:tc>
          <w:tcPr>
            <w:tcW w:w="1276" w:type="dxa"/>
            <w:vAlign w:val="center"/>
          </w:tcPr>
          <w:p>
            <w:pPr>
              <w:pStyle w:val="12"/>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616.4万元</w:t>
            </w:r>
          </w:p>
        </w:tc>
        <w:tc>
          <w:tcPr>
            <w:tcW w:w="1276" w:type="dxa"/>
            <w:vAlign w:val="center"/>
          </w:tcPr>
          <w:p>
            <w:pPr>
              <w:pStyle w:val="12"/>
            </w:pPr>
            <w:r>
              <w:t>冀财建[2024]207号2024年中央第二批超长期特别国债（推动大规模设备更新和消费品以旧换新领域）</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有效提升区域内经济效益</w:t>
            </w:r>
          </w:p>
        </w:tc>
        <w:tc>
          <w:tcPr>
            <w:tcW w:w="5386" w:type="dxa"/>
            <w:vAlign w:val="center"/>
          </w:tcPr>
          <w:p>
            <w:pPr>
              <w:pStyle w:val="12"/>
            </w:pPr>
            <w:r>
              <w:t>有效提升区域内经济效益</w:t>
            </w:r>
          </w:p>
        </w:tc>
        <w:tc>
          <w:tcPr>
            <w:tcW w:w="2268" w:type="dxa"/>
            <w:vAlign w:val="center"/>
          </w:tcPr>
          <w:p>
            <w:pPr>
              <w:pStyle w:val="12"/>
            </w:pPr>
            <w:r>
              <w:t>有效提升</w:t>
            </w:r>
          </w:p>
        </w:tc>
        <w:tc>
          <w:tcPr>
            <w:tcW w:w="1276" w:type="dxa"/>
            <w:vAlign w:val="center"/>
          </w:tcPr>
          <w:p>
            <w:pPr>
              <w:pStyle w:val="12"/>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访问调查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2、冀财建[2024]237号提前下达2025年中央大气污染防治资金[用于农村地区气代煤电代煤改造任务运行补助]绩效目标表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13018325P00000710007R</w:t>
            </w:r>
          </w:p>
        </w:tc>
        <w:tc>
          <w:tcPr>
            <w:tcW w:w="2835" w:type="dxa"/>
            <w:vAlign w:val="center"/>
          </w:tcPr>
          <w:p>
            <w:pPr>
              <w:pStyle w:val="10"/>
            </w:pPr>
            <w:r>
              <w:t>项目名称</w:t>
            </w:r>
          </w:p>
        </w:tc>
        <w:tc>
          <w:tcPr>
            <w:tcW w:w="6095" w:type="dxa"/>
            <w:gridSpan w:val="3"/>
            <w:vAlign w:val="center"/>
          </w:tcPr>
          <w:p>
            <w:pPr>
              <w:pStyle w:val="12"/>
            </w:pPr>
            <w:r>
              <w:t>冀财建[2024]237号提前下达2025年中央大气污染防治资金[用于农村地区气代煤电代煤改造任务运行补助]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62.70</w:t>
            </w:r>
          </w:p>
        </w:tc>
        <w:tc>
          <w:tcPr>
            <w:tcW w:w="2835" w:type="dxa"/>
            <w:vAlign w:val="center"/>
          </w:tcPr>
          <w:p>
            <w:pPr>
              <w:pStyle w:val="10"/>
            </w:pPr>
            <w:r>
              <w:t>其中：财政    资金</w:t>
            </w:r>
          </w:p>
        </w:tc>
        <w:tc>
          <w:tcPr>
            <w:tcW w:w="2551" w:type="dxa"/>
            <w:vAlign w:val="center"/>
          </w:tcPr>
          <w:p>
            <w:pPr>
              <w:pStyle w:val="12"/>
            </w:pPr>
            <w:r>
              <w:t>62.70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让人民群众温暖过冬;把农村地区清洁取暖作为第一首要任务。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1.让人民群众温暖过冬。</w:t>
            </w:r>
          </w:p>
          <w:p>
            <w:pPr>
              <w:pStyle w:val="12"/>
            </w:pPr>
            <w:r>
              <w:t>2.把农村地区清洁取暖作为第一首要任务。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补贴户数</w:t>
            </w:r>
          </w:p>
        </w:tc>
        <w:tc>
          <w:tcPr>
            <w:tcW w:w="2268" w:type="dxa"/>
            <w:vAlign w:val="center"/>
          </w:tcPr>
          <w:p>
            <w:pPr>
              <w:pStyle w:val="12"/>
            </w:pPr>
            <w:r>
              <w:t>66628户</w:t>
            </w:r>
          </w:p>
        </w:tc>
        <w:tc>
          <w:tcPr>
            <w:tcW w:w="1276" w:type="dxa"/>
            <w:vAlign w:val="center"/>
          </w:tcPr>
          <w:p>
            <w:pPr>
              <w:pStyle w:val="12"/>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空气质量综合指数城市空气质量优良天数情况</w:t>
            </w:r>
          </w:p>
        </w:tc>
        <w:tc>
          <w:tcPr>
            <w:tcW w:w="5386" w:type="dxa"/>
            <w:vAlign w:val="center"/>
          </w:tcPr>
          <w:p>
            <w:pPr>
              <w:pStyle w:val="12"/>
            </w:pPr>
            <w:r>
              <w:t>城市空气质量优良天数情况</w:t>
            </w:r>
          </w:p>
        </w:tc>
        <w:tc>
          <w:tcPr>
            <w:tcW w:w="2268" w:type="dxa"/>
            <w:vAlign w:val="center"/>
          </w:tcPr>
          <w:p>
            <w:pPr>
              <w:pStyle w:val="12"/>
            </w:pPr>
            <w:r>
              <w:t>≥200天</w:t>
            </w:r>
          </w:p>
        </w:tc>
        <w:tc>
          <w:tcPr>
            <w:tcW w:w="1276" w:type="dxa"/>
            <w:vAlign w:val="center"/>
          </w:tcPr>
          <w:p>
            <w:pPr>
              <w:pStyle w:val="12"/>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及时补贴占总补贴数量的比例</w:t>
            </w:r>
          </w:p>
        </w:tc>
        <w:tc>
          <w:tcPr>
            <w:tcW w:w="2268" w:type="dxa"/>
            <w:vAlign w:val="center"/>
          </w:tcPr>
          <w:p>
            <w:pPr>
              <w:pStyle w:val="12"/>
            </w:pPr>
            <w:r>
              <w:t>≥95％</w:t>
            </w:r>
          </w:p>
        </w:tc>
        <w:tc>
          <w:tcPr>
            <w:tcW w:w="1276" w:type="dxa"/>
            <w:vAlign w:val="center"/>
          </w:tcPr>
          <w:p>
            <w:pPr>
              <w:pStyle w:val="12"/>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补贴总金额</w:t>
            </w:r>
          </w:p>
        </w:tc>
        <w:tc>
          <w:tcPr>
            <w:tcW w:w="5386" w:type="dxa"/>
            <w:vAlign w:val="center"/>
          </w:tcPr>
          <w:p>
            <w:pPr>
              <w:pStyle w:val="12"/>
            </w:pPr>
            <w:r>
              <w:t>补贴总资金额</w:t>
            </w:r>
          </w:p>
        </w:tc>
        <w:tc>
          <w:tcPr>
            <w:tcW w:w="2268" w:type="dxa"/>
            <w:vAlign w:val="center"/>
          </w:tcPr>
          <w:p>
            <w:pPr>
              <w:pStyle w:val="12"/>
            </w:pPr>
            <w:r>
              <w:t>200万元</w:t>
            </w:r>
          </w:p>
        </w:tc>
        <w:tc>
          <w:tcPr>
            <w:tcW w:w="1276" w:type="dxa"/>
            <w:vAlign w:val="center"/>
          </w:tcPr>
          <w:p>
            <w:pPr>
              <w:pStyle w:val="12"/>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污染物下降比率</w:t>
            </w:r>
          </w:p>
        </w:tc>
        <w:tc>
          <w:tcPr>
            <w:tcW w:w="5386" w:type="dxa"/>
            <w:vAlign w:val="center"/>
          </w:tcPr>
          <w:p>
            <w:pPr>
              <w:pStyle w:val="12"/>
            </w:pPr>
            <w:r>
              <w:t>与去年同期相比污染物下降的比率</w:t>
            </w:r>
          </w:p>
        </w:tc>
        <w:tc>
          <w:tcPr>
            <w:tcW w:w="2268" w:type="dxa"/>
            <w:vAlign w:val="center"/>
          </w:tcPr>
          <w:p>
            <w:pPr>
              <w:pStyle w:val="12"/>
            </w:pPr>
            <w:r>
              <w:t>≥3％</w:t>
            </w:r>
          </w:p>
        </w:tc>
        <w:tc>
          <w:tcPr>
            <w:tcW w:w="1276" w:type="dxa"/>
            <w:vAlign w:val="center"/>
          </w:tcPr>
          <w:p>
            <w:pPr>
              <w:pStyle w:val="12"/>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3、冀财建[2025]187号提前下达2026年中央大气污染防治资金（用于农村地区气代煤电代煤改造任务运行补助）绩效目标表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13018326P000001100076</w:t>
            </w:r>
          </w:p>
        </w:tc>
        <w:tc>
          <w:tcPr>
            <w:tcW w:w="2835" w:type="dxa"/>
            <w:vAlign w:val="center"/>
          </w:tcPr>
          <w:p>
            <w:pPr>
              <w:pStyle w:val="10"/>
            </w:pPr>
            <w:r>
              <w:t>项目名称</w:t>
            </w:r>
          </w:p>
        </w:tc>
        <w:tc>
          <w:tcPr>
            <w:tcW w:w="6095" w:type="dxa"/>
            <w:gridSpan w:val="3"/>
            <w:vAlign w:val="center"/>
          </w:tcPr>
          <w:p>
            <w:pPr>
              <w:pStyle w:val="12"/>
            </w:pPr>
            <w:r>
              <w:t>冀财建[2025]187号提前下达2026年中央大气污染防治资金（用于农村地区气代煤电代煤改造任务运行补助）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286.00</w:t>
            </w:r>
          </w:p>
        </w:tc>
        <w:tc>
          <w:tcPr>
            <w:tcW w:w="2835" w:type="dxa"/>
            <w:vAlign w:val="center"/>
          </w:tcPr>
          <w:p>
            <w:pPr>
              <w:pStyle w:val="10"/>
            </w:pPr>
            <w:r>
              <w:t>其中：财政    资金</w:t>
            </w:r>
          </w:p>
        </w:tc>
        <w:tc>
          <w:tcPr>
            <w:tcW w:w="2551" w:type="dxa"/>
            <w:vAlign w:val="center"/>
          </w:tcPr>
          <w:p>
            <w:pPr>
              <w:pStyle w:val="12"/>
            </w:pPr>
            <w:r>
              <w:t>286.00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用于农村地区清洁取暖运行补助。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1.把农村地区清洁取暖作为第一首要任务。</w:t>
            </w:r>
          </w:p>
          <w:p>
            <w:pPr>
              <w:pStyle w:val="12"/>
            </w:pPr>
            <w:r>
              <w:t>2.让人民群众温暖过冬。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补贴户数</w:t>
            </w:r>
          </w:p>
        </w:tc>
        <w:tc>
          <w:tcPr>
            <w:tcW w:w="2268" w:type="dxa"/>
            <w:vAlign w:val="center"/>
          </w:tcPr>
          <w:p>
            <w:pPr>
              <w:pStyle w:val="12"/>
            </w:pPr>
            <w:r>
              <w:t>66628户</w:t>
            </w:r>
          </w:p>
        </w:tc>
        <w:tc>
          <w:tcPr>
            <w:tcW w:w="1276" w:type="dxa"/>
            <w:vAlign w:val="center"/>
          </w:tcPr>
          <w:p>
            <w:pPr>
              <w:pStyle w:val="12"/>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空气质量综合指数城市空气质量优良天数情况</w:t>
            </w:r>
          </w:p>
        </w:tc>
        <w:tc>
          <w:tcPr>
            <w:tcW w:w="5386" w:type="dxa"/>
            <w:vAlign w:val="center"/>
          </w:tcPr>
          <w:p>
            <w:pPr>
              <w:pStyle w:val="12"/>
            </w:pPr>
            <w:r>
              <w:t>城市空气质量优良天数情况</w:t>
            </w:r>
          </w:p>
        </w:tc>
        <w:tc>
          <w:tcPr>
            <w:tcW w:w="2268" w:type="dxa"/>
            <w:vAlign w:val="center"/>
          </w:tcPr>
          <w:p>
            <w:pPr>
              <w:pStyle w:val="12"/>
            </w:pPr>
            <w:r>
              <w:t>≥200天</w:t>
            </w:r>
          </w:p>
        </w:tc>
        <w:tc>
          <w:tcPr>
            <w:tcW w:w="1276" w:type="dxa"/>
            <w:vAlign w:val="center"/>
          </w:tcPr>
          <w:p>
            <w:pPr>
              <w:pStyle w:val="12"/>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及时补贴占总补贴数量的比例</w:t>
            </w:r>
          </w:p>
        </w:tc>
        <w:tc>
          <w:tcPr>
            <w:tcW w:w="2268" w:type="dxa"/>
            <w:vAlign w:val="center"/>
          </w:tcPr>
          <w:p>
            <w:pPr>
              <w:pStyle w:val="12"/>
            </w:pPr>
            <w:r>
              <w:t>≥95％</w:t>
            </w:r>
          </w:p>
        </w:tc>
        <w:tc>
          <w:tcPr>
            <w:tcW w:w="1276" w:type="dxa"/>
            <w:vAlign w:val="center"/>
          </w:tcPr>
          <w:p>
            <w:pPr>
              <w:pStyle w:val="12"/>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补贴总金额</w:t>
            </w:r>
          </w:p>
        </w:tc>
        <w:tc>
          <w:tcPr>
            <w:tcW w:w="5386" w:type="dxa"/>
            <w:vAlign w:val="center"/>
          </w:tcPr>
          <w:p>
            <w:pPr>
              <w:pStyle w:val="12"/>
            </w:pPr>
            <w:r>
              <w:t>补贴总资金额</w:t>
            </w:r>
          </w:p>
        </w:tc>
        <w:tc>
          <w:tcPr>
            <w:tcW w:w="2268" w:type="dxa"/>
            <w:vAlign w:val="center"/>
          </w:tcPr>
          <w:p>
            <w:pPr>
              <w:pStyle w:val="12"/>
            </w:pPr>
            <w:r>
              <w:t>286万元</w:t>
            </w:r>
          </w:p>
        </w:tc>
        <w:tc>
          <w:tcPr>
            <w:tcW w:w="1276" w:type="dxa"/>
            <w:vAlign w:val="center"/>
          </w:tcPr>
          <w:p>
            <w:pPr>
              <w:pStyle w:val="12"/>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污染物下降比率</w:t>
            </w:r>
          </w:p>
        </w:tc>
        <w:tc>
          <w:tcPr>
            <w:tcW w:w="5386" w:type="dxa"/>
            <w:vAlign w:val="center"/>
          </w:tcPr>
          <w:p>
            <w:pPr>
              <w:pStyle w:val="12"/>
            </w:pPr>
            <w:r>
              <w:t>与去年同期相比污染物下降的比率</w:t>
            </w:r>
          </w:p>
        </w:tc>
        <w:tc>
          <w:tcPr>
            <w:tcW w:w="2268" w:type="dxa"/>
            <w:vAlign w:val="center"/>
          </w:tcPr>
          <w:p>
            <w:pPr>
              <w:pStyle w:val="12"/>
            </w:pPr>
            <w:r>
              <w:t>≥3％</w:t>
            </w:r>
          </w:p>
        </w:tc>
        <w:tc>
          <w:tcPr>
            <w:tcW w:w="1276" w:type="dxa"/>
            <w:vAlign w:val="center"/>
          </w:tcPr>
          <w:p>
            <w:pPr>
              <w:pStyle w:val="12"/>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4、冀财建[2025]224号中央提前下达2026年农产品成本调查和价格监测补助资金绩效目标表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13018326P000327100095</w:t>
            </w:r>
          </w:p>
        </w:tc>
        <w:tc>
          <w:tcPr>
            <w:tcW w:w="2835" w:type="dxa"/>
            <w:vAlign w:val="center"/>
          </w:tcPr>
          <w:p>
            <w:pPr>
              <w:pStyle w:val="10"/>
            </w:pPr>
            <w:r>
              <w:t>项目名称</w:t>
            </w:r>
          </w:p>
        </w:tc>
        <w:tc>
          <w:tcPr>
            <w:tcW w:w="6095" w:type="dxa"/>
            <w:gridSpan w:val="3"/>
            <w:vAlign w:val="center"/>
          </w:tcPr>
          <w:p>
            <w:pPr>
              <w:pStyle w:val="12"/>
            </w:pPr>
            <w:r>
              <w:t>冀财建[2025]224号中央提前下达2026年农产品成本调查和价格监测补助资金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7.53</w:t>
            </w:r>
          </w:p>
        </w:tc>
        <w:tc>
          <w:tcPr>
            <w:tcW w:w="2835" w:type="dxa"/>
            <w:vAlign w:val="center"/>
          </w:tcPr>
          <w:p>
            <w:pPr>
              <w:pStyle w:val="10"/>
            </w:pPr>
            <w:r>
              <w:t>其中：财政    资金</w:t>
            </w:r>
          </w:p>
        </w:tc>
        <w:tc>
          <w:tcPr>
            <w:tcW w:w="2551" w:type="dxa"/>
            <w:vAlign w:val="center"/>
          </w:tcPr>
          <w:p>
            <w:pPr>
              <w:pStyle w:val="12"/>
            </w:pPr>
            <w:r>
              <w:t>7.53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用于成本调查和价格监测补助。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1.为国家完善农产品价格形成机制（包括最低收购价、目标价格、市场调节价格等）服务。</w:t>
            </w:r>
          </w:p>
          <w:p>
            <w:pPr>
              <w:pStyle w:val="12"/>
            </w:pPr>
            <w:r>
              <w:t>2.为国家制定农业补贴、推动农村土地制度改革和土地经营权流转服务。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调查品种</w:t>
            </w:r>
          </w:p>
        </w:tc>
        <w:tc>
          <w:tcPr>
            <w:tcW w:w="5386" w:type="dxa"/>
            <w:vAlign w:val="center"/>
          </w:tcPr>
          <w:p>
            <w:pPr>
              <w:pStyle w:val="12"/>
            </w:pPr>
            <w:r>
              <w:t>调查品种</w:t>
            </w:r>
          </w:p>
        </w:tc>
        <w:tc>
          <w:tcPr>
            <w:tcW w:w="2268" w:type="dxa"/>
            <w:vAlign w:val="center"/>
          </w:tcPr>
          <w:p>
            <w:pPr>
              <w:pStyle w:val="12"/>
            </w:pPr>
            <w:r>
              <w:t>≥28个</w:t>
            </w:r>
          </w:p>
        </w:tc>
        <w:tc>
          <w:tcPr>
            <w:tcW w:w="1276" w:type="dxa"/>
            <w:vAlign w:val="center"/>
          </w:tcPr>
          <w:p>
            <w:pPr>
              <w:pStyle w:val="12"/>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上报调查样本覆盖率</w:t>
            </w:r>
          </w:p>
        </w:tc>
        <w:tc>
          <w:tcPr>
            <w:tcW w:w="5386" w:type="dxa"/>
            <w:vAlign w:val="center"/>
          </w:tcPr>
          <w:p>
            <w:pPr>
              <w:pStyle w:val="12"/>
            </w:pPr>
            <w:r>
              <w:t>上报调查样本覆盖率</w:t>
            </w:r>
          </w:p>
        </w:tc>
        <w:tc>
          <w:tcPr>
            <w:tcW w:w="2268" w:type="dxa"/>
            <w:vAlign w:val="center"/>
          </w:tcPr>
          <w:p>
            <w:pPr>
              <w:pStyle w:val="12"/>
            </w:pPr>
            <w:r>
              <w:t>≥90%</w:t>
            </w:r>
          </w:p>
        </w:tc>
        <w:tc>
          <w:tcPr>
            <w:tcW w:w="1276" w:type="dxa"/>
            <w:vAlign w:val="center"/>
          </w:tcPr>
          <w:p>
            <w:pPr>
              <w:pStyle w:val="12"/>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按照工作计划时间节点完成率</w:t>
            </w:r>
          </w:p>
        </w:tc>
        <w:tc>
          <w:tcPr>
            <w:tcW w:w="5386" w:type="dxa"/>
            <w:vAlign w:val="center"/>
          </w:tcPr>
          <w:p>
            <w:pPr>
              <w:pStyle w:val="12"/>
            </w:pPr>
            <w:r>
              <w:t>按照工作计划时间节点完成率</w:t>
            </w:r>
          </w:p>
        </w:tc>
        <w:tc>
          <w:tcPr>
            <w:tcW w:w="2268" w:type="dxa"/>
            <w:vAlign w:val="center"/>
          </w:tcPr>
          <w:p>
            <w:pPr>
              <w:pStyle w:val="12"/>
            </w:pPr>
            <w:r>
              <w:t>≥90%</w:t>
            </w:r>
          </w:p>
        </w:tc>
        <w:tc>
          <w:tcPr>
            <w:tcW w:w="1276" w:type="dxa"/>
            <w:vAlign w:val="center"/>
          </w:tcPr>
          <w:p>
            <w:pPr>
              <w:pStyle w:val="12"/>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w:t>
            </w:r>
          </w:p>
        </w:tc>
        <w:tc>
          <w:tcPr>
            <w:tcW w:w="5386" w:type="dxa"/>
            <w:vAlign w:val="center"/>
          </w:tcPr>
          <w:p>
            <w:pPr>
              <w:pStyle w:val="12"/>
            </w:pPr>
            <w:r>
              <w:t>项目实际支出</w:t>
            </w:r>
          </w:p>
        </w:tc>
        <w:tc>
          <w:tcPr>
            <w:tcW w:w="2268" w:type="dxa"/>
            <w:vAlign w:val="center"/>
          </w:tcPr>
          <w:p>
            <w:pPr>
              <w:pStyle w:val="12"/>
            </w:pPr>
            <w:r>
              <w:t>75282元</w:t>
            </w:r>
          </w:p>
        </w:tc>
        <w:tc>
          <w:tcPr>
            <w:tcW w:w="1276" w:type="dxa"/>
            <w:vAlign w:val="center"/>
          </w:tcPr>
          <w:p>
            <w:pPr>
              <w:pStyle w:val="12"/>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为国家完善农产品价格形成机制服务，提供数据支持</w:t>
            </w:r>
          </w:p>
        </w:tc>
        <w:tc>
          <w:tcPr>
            <w:tcW w:w="5386" w:type="dxa"/>
            <w:vAlign w:val="center"/>
          </w:tcPr>
          <w:p>
            <w:pPr>
              <w:pStyle w:val="12"/>
            </w:pPr>
            <w:r>
              <w:t>为国家完善农产品价格形成机制服务，提供数据支持</w:t>
            </w:r>
          </w:p>
        </w:tc>
        <w:tc>
          <w:tcPr>
            <w:tcW w:w="2268" w:type="dxa"/>
            <w:vAlign w:val="center"/>
          </w:tcPr>
          <w:p>
            <w:pPr>
              <w:pStyle w:val="12"/>
            </w:pPr>
            <w:r>
              <w:t>为国家完善农产品价格形成机制服务，提供数据支持</w:t>
            </w:r>
          </w:p>
        </w:tc>
        <w:tc>
          <w:tcPr>
            <w:tcW w:w="1276" w:type="dxa"/>
            <w:vAlign w:val="center"/>
          </w:tcPr>
          <w:p>
            <w:pPr>
              <w:pStyle w:val="12"/>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5、冀财建[2025]57号下达2025年中央农产品成本调查补助资金绩效目标表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13018325P000064112304</w:t>
            </w:r>
          </w:p>
        </w:tc>
        <w:tc>
          <w:tcPr>
            <w:tcW w:w="2835" w:type="dxa"/>
            <w:vAlign w:val="center"/>
          </w:tcPr>
          <w:p>
            <w:pPr>
              <w:pStyle w:val="10"/>
            </w:pPr>
            <w:r>
              <w:t>项目名称</w:t>
            </w:r>
          </w:p>
        </w:tc>
        <w:tc>
          <w:tcPr>
            <w:tcW w:w="6095" w:type="dxa"/>
            <w:gridSpan w:val="3"/>
            <w:vAlign w:val="center"/>
          </w:tcPr>
          <w:p>
            <w:pPr>
              <w:pStyle w:val="12"/>
            </w:pPr>
            <w:r>
              <w:t>冀财建[2025]57号下达2025年中央农产品成本调查补助资金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1.29</w:t>
            </w:r>
          </w:p>
        </w:tc>
        <w:tc>
          <w:tcPr>
            <w:tcW w:w="2835" w:type="dxa"/>
            <w:vAlign w:val="center"/>
          </w:tcPr>
          <w:p>
            <w:pPr>
              <w:pStyle w:val="10"/>
            </w:pPr>
            <w:r>
              <w:t>其中：财政    资金</w:t>
            </w:r>
          </w:p>
        </w:tc>
        <w:tc>
          <w:tcPr>
            <w:tcW w:w="2551" w:type="dxa"/>
            <w:vAlign w:val="center"/>
          </w:tcPr>
          <w:p>
            <w:pPr>
              <w:pStyle w:val="12"/>
            </w:pPr>
            <w:r>
              <w:t>1.29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为国家完善农产品价格形成机制（包括最低收购价、目标价格、市场调节价格等）服务,为国家制定农业补贴、推动农村土地制度改革和土地经营权流转服务。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1.为国家完善农产品价格形成机制（包括最低收购价、目标价格、市场调节价格等）服务。</w:t>
            </w:r>
          </w:p>
          <w:p>
            <w:pPr>
              <w:pStyle w:val="12"/>
            </w:pPr>
            <w:r>
              <w:t>2.为国家制定农业补贴、推动农村土地制度改革和土地经营权流转服务。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调查品种</w:t>
            </w:r>
          </w:p>
        </w:tc>
        <w:tc>
          <w:tcPr>
            <w:tcW w:w="5386" w:type="dxa"/>
            <w:vAlign w:val="center"/>
          </w:tcPr>
          <w:p>
            <w:pPr>
              <w:pStyle w:val="12"/>
            </w:pPr>
            <w:r>
              <w:t>调查品种</w:t>
            </w:r>
          </w:p>
        </w:tc>
        <w:tc>
          <w:tcPr>
            <w:tcW w:w="2268" w:type="dxa"/>
            <w:vAlign w:val="center"/>
          </w:tcPr>
          <w:p>
            <w:pPr>
              <w:pStyle w:val="12"/>
            </w:pPr>
            <w:r>
              <w:t>≥28个</w:t>
            </w:r>
          </w:p>
        </w:tc>
        <w:tc>
          <w:tcPr>
            <w:tcW w:w="1276" w:type="dxa"/>
            <w:vAlign w:val="center"/>
          </w:tcPr>
          <w:p>
            <w:pPr>
              <w:pStyle w:val="12"/>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上报调查样本覆盖率</w:t>
            </w:r>
          </w:p>
        </w:tc>
        <w:tc>
          <w:tcPr>
            <w:tcW w:w="5386" w:type="dxa"/>
            <w:vAlign w:val="center"/>
          </w:tcPr>
          <w:p>
            <w:pPr>
              <w:pStyle w:val="12"/>
            </w:pPr>
            <w:r>
              <w:t>上报调查样本覆盖率</w:t>
            </w:r>
          </w:p>
        </w:tc>
        <w:tc>
          <w:tcPr>
            <w:tcW w:w="2268" w:type="dxa"/>
            <w:vAlign w:val="center"/>
          </w:tcPr>
          <w:p>
            <w:pPr>
              <w:pStyle w:val="12"/>
            </w:pPr>
            <w:r>
              <w:t>≥90%</w:t>
            </w:r>
          </w:p>
        </w:tc>
        <w:tc>
          <w:tcPr>
            <w:tcW w:w="1276" w:type="dxa"/>
            <w:vAlign w:val="center"/>
          </w:tcPr>
          <w:p>
            <w:pPr>
              <w:pStyle w:val="12"/>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按照工作计划时间节点完成率</w:t>
            </w:r>
          </w:p>
        </w:tc>
        <w:tc>
          <w:tcPr>
            <w:tcW w:w="5386" w:type="dxa"/>
            <w:vAlign w:val="center"/>
          </w:tcPr>
          <w:p>
            <w:pPr>
              <w:pStyle w:val="12"/>
            </w:pPr>
            <w:r>
              <w:t>按照工作计划时间节点完成率</w:t>
            </w:r>
          </w:p>
        </w:tc>
        <w:tc>
          <w:tcPr>
            <w:tcW w:w="2268" w:type="dxa"/>
            <w:vAlign w:val="center"/>
          </w:tcPr>
          <w:p>
            <w:pPr>
              <w:pStyle w:val="12"/>
            </w:pPr>
            <w:r>
              <w:t>≥90%</w:t>
            </w:r>
          </w:p>
        </w:tc>
        <w:tc>
          <w:tcPr>
            <w:tcW w:w="1276" w:type="dxa"/>
            <w:vAlign w:val="center"/>
          </w:tcPr>
          <w:p>
            <w:pPr>
              <w:pStyle w:val="12"/>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项目实际支出</w:t>
            </w:r>
          </w:p>
        </w:tc>
        <w:tc>
          <w:tcPr>
            <w:tcW w:w="5386" w:type="dxa"/>
            <w:vAlign w:val="center"/>
          </w:tcPr>
          <w:p>
            <w:pPr>
              <w:pStyle w:val="12"/>
            </w:pPr>
            <w:r>
              <w:t>项目实际支出</w:t>
            </w:r>
          </w:p>
        </w:tc>
        <w:tc>
          <w:tcPr>
            <w:tcW w:w="2268" w:type="dxa"/>
            <w:vAlign w:val="center"/>
          </w:tcPr>
          <w:p>
            <w:pPr>
              <w:pStyle w:val="12"/>
            </w:pPr>
            <w:r>
              <w:t>3.68万元</w:t>
            </w:r>
          </w:p>
        </w:tc>
        <w:tc>
          <w:tcPr>
            <w:tcW w:w="1276" w:type="dxa"/>
            <w:vAlign w:val="center"/>
          </w:tcPr>
          <w:p>
            <w:pPr>
              <w:pStyle w:val="12"/>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为国家完善农产品价格形成机制服务，提供数据支持</w:t>
            </w:r>
          </w:p>
        </w:tc>
        <w:tc>
          <w:tcPr>
            <w:tcW w:w="5386" w:type="dxa"/>
            <w:vAlign w:val="center"/>
          </w:tcPr>
          <w:p>
            <w:pPr>
              <w:pStyle w:val="12"/>
            </w:pPr>
            <w:r>
              <w:t>为国家完善农产品价格形成机制服务，提供数据支持</w:t>
            </w:r>
          </w:p>
        </w:tc>
        <w:tc>
          <w:tcPr>
            <w:tcW w:w="2268" w:type="dxa"/>
            <w:vAlign w:val="center"/>
          </w:tcPr>
          <w:p>
            <w:pPr>
              <w:pStyle w:val="12"/>
            </w:pPr>
            <w:r>
              <w:t>为国家完善农产品价格形成机制服务，提供数据支持</w:t>
            </w:r>
          </w:p>
        </w:tc>
        <w:tc>
          <w:tcPr>
            <w:tcW w:w="1276" w:type="dxa"/>
            <w:vAlign w:val="center"/>
          </w:tcPr>
          <w:p>
            <w:pPr>
              <w:pStyle w:val="12"/>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6、冀财建[2026]3号省级提前下达2025-2026年采暖季农村煤改气用户天然气终端销售价格补贴绩效目标表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13018326P00032910020P</w:t>
            </w:r>
          </w:p>
        </w:tc>
        <w:tc>
          <w:tcPr>
            <w:tcW w:w="2835" w:type="dxa"/>
            <w:vAlign w:val="center"/>
          </w:tcPr>
          <w:p>
            <w:pPr>
              <w:pStyle w:val="10"/>
            </w:pPr>
            <w:r>
              <w:t>项目名称</w:t>
            </w:r>
          </w:p>
        </w:tc>
        <w:tc>
          <w:tcPr>
            <w:tcW w:w="6095" w:type="dxa"/>
            <w:gridSpan w:val="3"/>
            <w:vAlign w:val="center"/>
          </w:tcPr>
          <w:p>
            <w:pPr>
              <w:pStyle w:val="12"/>
            </w:pPr>
            <w:r>
              <w:t>冀财建[2026]3号省级提前下达2025-2026年采暖季农村煤改气用户天然气终端销售价格补贴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165.90</w:t>
            </w:r>
          </w:p>
        </w:tc>
        <w:tc>
          <w:tcPr>
            <w:tcW w:w="2835" w:type="dxa"/>
            <w:vAlign w:val="center"/>
          </w:tcPr>
          <w:p>
            <w:pPr>
              <w:pStyle w:val="10"/>
            </w:pPr>
            <w:r>
              <w:t>其中：财政    资金</w:t>
            </w:r>
          </w:p>
        </w:tc>
        <w:tc>
          <w:tcPr>
            <w:tcW w:w="2551" w:type="dxa"/>
            <w:vAlign w:val="center"/>
          </w:tcPr>
          <w:p>
            <w:pPr>
              <w:pStyle w:val="12"/>
            </w:pPr>
            <w:r>
              <w:t>165.90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1.把确保人民群众温暖过冬作为当前第一位的民生工作。</w:t>
            </w:r>
          </w:p>
          <w:p>
            <w:pPr>
              <w:pStyle w:val="12"/>
            </w:pPr>
            <w:r>
              <w:t>2.为促进大气质量改善，做好冬季群众取暖工作。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户数比率</w:t>
            </w:r>
          </w:p>
        </w:tc>
        <w:tc>
          <w:tcPr>
            <w:tcW w:w="5386" w:type="dxa"/>
            <w:vAlign w:val="center"/>
          </w:tcPr>
          <w:p>
            <w:pPr>
              <w:pStyle w:val="12"/>
            </w:pPr>
            <w:r>
              <w:t>补贴户数占应补贴户数的比率</w:t>
            </w:r>
          </w:p>
        </w:tc>
        <w:tc>
          <w:tcPr>
            <w:tcW w:w="2268" w:type="dxa"/>
            <w:vAlign w:val="center"/>
          </w:tcPr>
          <w:p>
            <w:pPr>
              <w:pStyle w:val="12"/>
            </w:pPr>
            <w:r>
              <w:t>100%</w:t>
            </w:r>
          </w:p>
        </w:tc>
        <w:tc>
          <w:tcPr>
            <w:tcW w:w="1276" w:type="dxa"/>
            <w:vAlign w:val="center"/>
          </w:tcPr>
          <w:p>
            <w:pPr>
              <w:pStyle w:val="12"/>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空气质量综合指数</w:t>
            </w:r>
          </w:p>
        </w:tc>
        <w:tc>
          <w:tcPr>
            <w:tcW w:w="5386" w:type="dxa"/>
            <w:vAlign w:val="center"/>
          </w:tcPr>
          <w:p>
            <w:pPr>
              <w:pStyle w:val="12"/>
            </w:pPr>
            <w:r>
              <w:t>城市空气质量优良天数情况</w:t>
            </w:r>
          </w:p>
        </w:tc>
        <w:tc>
          <w:tcPr>
            <w:tcW w:w="2268" w:type="dxa"/>
            <w:vAlign w:val="center"/>
          </w:tcPr>
          <w:p>
            <w:pPr>
              <w:pStyle w:val="12"/>
            </w:pPr>
            <w:r>
              <w:t>≥300天</w:t>
            </w:r>
          </w:p>
        </w:tc>
        <w:tc>
          <w:tcPr>
            <w:tcW w:w="1276" w:type="dxa"/>
            <w:vAlign w:val="center"/>
          </w:tcPr>
          <w:p>
            <w:pPr>
              <w:pStyle w:val="12"/>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补贴及时率</w:t>
            </w:r>
          </w:p>
        </w:tc>
        <w:tc>
          <w:tcPr>
            <w:tcW w:w="5386" w:type="dxa"/>
            <w:vAlign w:val="center"/>
          </w:tcPr>
          <w:p>
            <w:pPr>
              <w:pStyle w:val="12"/>
            </w:pPr>
            <w:r>
              <w:t>按时补贴占计划补贴的比率</w:t>
            </w:r>
          </w:p>
        </w:tc>
        <w:tc>
          <w:tcPr>
            <w:tcW w:w="2268" w:type="dxa"/>
            <w:vAlign w:val="center"/>
          </w:tcPr>
          <w:p>
            <w:pPr>
              <w:pStyle w:val="12"/>
            </w:pPr>
            <w:r>
              <w:t>&gt;90%</w:t>
            </w:r>
          </w:p>
        </w:tc>
        <w:tc>
          <w:tcPr>
            <w:tcW w:w="1276" w:type="dxa"/>
            <w:vAlign w:val="center"/>
          </w:tcPr>
          <w:p>
            <w:pPr>
              <w:pStyle w:val="12"/>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总资金成本</w:t>
            </w:r>
          </w:p>
        </w:tc>
        <w:tc>
          <w:tcPr>
            <w:tcW w:w="2268" w:type="dxa"/>
            <w:vAlign w:val="center"/>
          </w:tcPr>
          <w:p>
            <w:pPr>
              <w:pStyle w:val="12"/>
            </w:pPr>
            <w:r>
              <w:t>1658971元</w:t>
            </w:r>
          </w:p>
        </w:tc>
        <w:tc>
          <w:tcPr>
            <w:tcW w:w="1276" w:type="dxa"/>
            <w:vAlign w:val="center"/>
          </w:tcPr>
          <w:p>
            <w:pPr>
              <w:pStyle w:val="12"/>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污染物排放降低率</w:t>
            </w:r>
          </w:p>
        </w:tc>
        <w:tc>
          <w:tcPr>
            <w:tcW w:w="5386" w:type="dxa"/>
            <w:vAlign w:val="center"/>
          </w:tcPr>
          <w:p>
            <w:pPr>
              <w:pStyle w:val="12"/>
            </w:pPr>
            <w:r>
              <w:t>污染物排放总量与去年同期下降比率</w:t>
            </w:r>
          </w:p>
        </w:tc>
        <w:tc>
          <w:tcPr>
            <w:tcW w:w="2268" w:type="dxa"/>
            <w:vAlign w:val="center"/>
          </w:tcPr>
          <w:p>
            <w:pPr>
              <w:pStyle w:val="12"/>
            </w:pPr>
            <w:r>
              <w:t>&gt;3%</w:t>
            </w:r>
          </w:p>
        </w:tc>
        <w:tc>
          <w:tcPr>
            <w:tcW w:w="1276" w:type="dxa"/>
            <w:vAlign w:val="center"/>
          </w:tcPr>
          <w:p>
            <w:pPr>
              <w:pStyle w:val="12"/>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通过调查问卷满意和较满意的比率</w:t>
            </w:r>
          </w:p>
        </w:tc>
        <w:tc>
          <w:tcPr>
            <w:tcW w:w="2268" w:type="dxa"/>
            <w:vAlign w:val="center"/>
          </w:tcPr>
          <w:p>
            <w:pPr>
              <w:pStyle w:val="12"/>
            </w:pPr>
            <w:r>
              <w:t>&gt;90%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7、冀财资环[2025]70号提前下达2026年中央大气污染防治资金绩效目标表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13018326P000001100120</w:t>
            </w:r>
          </w:p>
        </w:tc>
        <w:tc>
          <w:tcPr>
            <w:tcW w:w="2835" w:type="dxa"/>
            <w:vAlign w:val="center"/>
          </w:tcPr>
          <w:p>
            <w:pPr>
              <w:pStyle w:val="10"/>
            </w:pPr>
            <w:r>
              <w:t>项目名称</w:t>
            </w:r>
          </w:p>
        </w:tc>
        <w:tc>
          <w:tcPr>
            <w:tcW w:w="6095" w:type="dxa"/>
            <w:gridSpan w:val="3"/>
            <w:vAlign w:val="center"/>
          </w:tcPr>
          <w:p>
            <w:pPr>
              <w:pStyle w:val="12"/>
            </w:pPr>
            <w:r>
              <w:t>冀财资环[2025]70号提前下达2026年中央大气污染防治资金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996.08</w:t>
            </w:r>
          </w:p>
        </w:tc>
        <w:tc>
          <w:tcPr>
            <w:tcW w:w="2835" w:type="dxa"/>
            <w:vAlign w:val="center"/>
          </w:tcPr>
          <w:p>
            <w:pPr>
              <w:pStyle w:val="10"/>
            </w:pPr>
            <w:r>
              <w:t>其中：财政    资金</w:t>
            </w:r>
          </w:p>
        </w:tc>
        <w:tc>
          <w:tcPr>
            <w:tcW w:w="2551" w:type="dxa"/>
            <w:vAlign w:val="center"/>
          </w:tcPr>
          <w:p>
            <w:pPr>
              <w:pStyle w:val="12"/>
            </w:pPr>
            <w:r>
              <w:t>996.08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1.把农村地区清洁取暖作为第一首要任务。</w:t>
            </w:r>
          </w:p>
          <w:p>
            <w:pPr>
              <w:pStyle w:val="12"/>
            </w:pPr>
            <w:r>
              <w:t>2.让人民群众温暖过冬。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补贴户数</w:t>
            </w:r>
          </w:p>
        </w:tc>
        <w:tc>
          <w:tcPr>
            <w:tcW w:w="5386" w:type="dxa"/>
            <w:vAlign w:val="center"/>
          </w:tcPr>
          <w:p>
            <w:pPr>
              <w:pStyle w:val="12"/>
            </w:pPr>
            <w:r>
              <w:t>补贴户数</w:t>
            </w:r>
          </w:p>
        </w:tc>
        <w:tc>
          <w:tcPr>
            <w:tcW w:w="2268" w:type="dxa"/>
            <w:vAlign w:val="center"/>
          </w:tcPr>
          <w:p>
            <w:pPr>
              <w:pStyle w:val="12"/>
            </w:pPr>
            <w:r>
              <w:t>66628户</w:t>
            </w:r>
          </w:p>
        </w:tc>
        <w:tc>
          <w:tcPr>
            <w:tcW w:w="1276" w:type="dxa"/>
            <w:vAlign w:val="center"/>
          </w:tcPr>
          <w:p>
            <w:pPr>
              <w:pStyle w:val="12"/>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空气质量综合指数城市空气质量优良天数情况</w:t>
            </w:r>
          </w:p>
        </w:tc>
        <w:tc>
          <w:tcPr>
            <w:tcW w:w="5386" w:type="dxa"/>
            <w:vAlign w:val="center"/>
          </w:tcPr>
          <w:p>
            <w:pPr>
              <w:pStyle w:val="12"/>
            </w:pPr>
            <w:r>
              <w:t>城市空气质量优良天数情况</w:t>
            </w:r>
          </w:p>
        </w:tc>
        <w:tc>
          <w:tcPr>
            <w:tcW w:w="2268" w:type="dxa"/>
            <w:vAlign w:val="center"/>
          </w:tcPr>
          <w:p>
            <w:pPr>
              <w:pStyle w:val="12"/>
            </w:pPr>
            <w:r>
              <w:t>≥200天</w:t>
            </w:r>
          </w:p>
        </w:tc>
        <w:tc>
          <w:tcPr>
            <w:tcW w:w="1276" w:type="dxa"/>
            <w:vAlign w:val="center"/>
          </w:tcPr>
          <w:p>
            <w:pPr>
              <w:pStyle w:val="12"/>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及时补贴占总补贴数量的比例</w:t>
            </w:r>
          </w:p>
        </w:tc>
        <w:tc>
          <w:tcPr>
            <w:tcW w:w="2268" w:type="dxa"/>
            <w:vAlign w:val="center"/>
          </w:tcPr>
          <w:p>
            <w:pPr>
              <w:pStyle w:val="12"/>
            </w:pPr>
            <w:r>
              <w:t>≥95％</w:t>
            </w:r>
          </w:p>
        </w:tc>
        <w:tc>
          <w:tcPr>
            <w:tcW w:w="1276" w:type="dxa"/>
            <w:vAlign w:val="center"/>
          </w:tcPr>
          <w:p>
            <w:pPr>
              <w:pStyle w:val="12"/>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补贴总金额</w:t>
            </w:r>
          </w:p>
        </w:tc>
        <w:tc>
          <w:tcPr>
            <w:tcW w:w="5386" w:type="dxa"/>
            <w:vAlign w:val="center"/>
          </w:tcPr>
          <w:p>
            <w:pPr>
              <w:pStyle w:val="12"/>
            </w:pPr>
            <w:r>
              <w:t>补贴总资金额</w:t>
            </w:r>
          </w:p>
        </w:tc>
        <w:tc>
          <w:tcPr>
            <w:tcW w:w="2268" w:type="dxa"/>
            <w:vAlign w:val="center"/>
          </w:tcPr>
          <w:p>
            <w:pPr>
              <w:pStyle w:val="12"/>
            </w:pPr>
            <w:r>
              <w:t>996.08万元</w:t>
            </w:r>
          </w:p>
        </w:tc>
        <w:tc>
          <w:tcPr>
            <w:tcW w:w="1276" w:type="dxa"/>
            <w:vAlign w:val="center"/>
          </w:tcPr>
          <w:p>
            <w:pPr>
              <w:pStyle w:val="12"/>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污染物下降比率</w:t>
            </w:r>
          </w:p>
        </w:tc>
        <w:tc>
          <w:tcPr>
            <w:tcW w:w="5386" w:type="dxa"/>
            <w:vAlign w:val="center"/>
          </w:tcPr>
          <w:p>
            <w:pPr>
              <w:pStyle w:val="12"/>
            </w:pPr>
            <w:r>
              <w:t>与去年同期相比污染物下降的比率</w:t>
            </w:r>
          </w:p>
        </w:tc>
        <w:tc>
          <w:tcPr>
            <w:tcW w:w="2268" w:type="dxa"/>
            <w:vAlign w:val="center"/>
          </w:tcPr>
          <w:p>
            <w:pPr>
              <w:pStyle w:val="12"/>
            </w:pPr>
            <w:r>
              <w:t>≥3％</w:t>
            </w:r>
          </w:p>
        </w:tc>
        <w:tc>
          <w:tcPr>
            <w:tcW w:w="1276" w:type="dxa"/>
            <w:vAlign w:val="center"/>
          </w:tcPr>
          <w:p>
            <w:pPr>
              <w:pStyle w:val="12"/>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8、救灾物资保管费绩效目标表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13018326P000328100229</w:t>
            </w:r>
          </w:p>
        </w:tc>
        <w:tc>
          <w:tcPr>
            <w:tcW w:w="2835" w:type="dxa"/>
            <w:vAlign w:val="center"/>
          </w:tcPr>
          <w:p>
            <w:pPr>
              <w:pStyle w:val="10"/>
            </w:pPr>
            <w:r>
              <w:t>项目名称</w:t>
            </w:r>
          </w:p>
        </w:tc>
        <w:tc>
          <w:tcPr>
            <w:tcW w:w="6095" w:type="dxa"/>
            <w:gridSpan w:val="3"/>
            <w:vAlign w:val="center"/>
          </w:tcPr>
          <w:p>
            <w:pPr>
              <w:pStyle w:val="12"/>
            </w:pPr>
            <w:r>
              <w:t>救灾物资保管费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用于规范管理救灾物资出入库、保管、储存安全。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1.把救灾物资存放期间做好相关安保工作。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救灾帐篷占号备物资费比例</w:t>
            </w:r>
          </w:p>
        </w:tc>
        <w:tc>
          <w:tcPr>
            <w:tcW w:w="5386" w:type="dxa"/>
            <w:vAlign w:val="center"/>
          </w:tcPr>
          <w:p>
            <w:pPr>
              <w:pStyle w:val="12"/>
            </w:pPr>
            <w:r>
              <w:t>救灾帐篷占号备物资费比例</w:t>
            </w:r>
          </w:p>
        </w:tc>
        <w:tc>
          <w:tcPr>
            <w:tcW w:w="2268" w:type="dxa"/>
            <w:vAlign w:val="center"/>
          </w:tcPr>
          <w:p>
            <w:pPr>
              <w:pStyle w:val="12"/>
            </w:pPr>
            <w:r>
              <w:t>≥35%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物资保管良好率</w:t>
            </w:r>
          </w:p>
        </w:tc>
        <w:tc>
          <w:tcPr>
            <w:tcW w:w="5386" w:type="dxa"/>
            <w:vAlign w:val="center"/>
          </w:tcPr>
          <w:p>
            <w:pPr>
              <w:pStyle w:val="12"/>
            </w:pPr>
            <w:r>
              <w:t>保证物资保管良好、归类清晰率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完成工作任务及时性</w:t>
            </w:r>
          </w:p>
        </w:tc>
        <w:tc>
          <w:tcPr>
            <w:tcW w:w="5386" w:type="dxa"/>
            <w:vAlign w:val="center"/>
          </w:tcPr>
          <w:p>
            <w:pPr>
              <w:pStyle w:val="12"/>
            </w:pPr>
            <w:r>
              <w:t>完成出入库工作任务及时性</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成本金额</w:t>
            </w:r>
          </w:p>
        </w:tc>
        <w:tc>
          <w:tcPr>
            <w:tcW w:w="5386" w:type="dxa"/>
            <w:vAlign w:val="center"/>
          </w:tcPr>
          <w:p>
            <w:pPr>
              <w:pStyle w:val="12"/>
            </w:pPr>
            <w:r>
              <w:t>成本总金额</w:t>
            </w:r>
          </w:p>
        </w:tc>
        <w:tc>
          <w:tcPr>
            <w:tcW w:w="2268" w:type="dxa"/>
            <w:vAlign w:val="center"/>
          </w:tcPr>
          <w:p>
            <w:pPr>
              <w:pStyle w:val="12"/>
            </w:pPr>
            <w:r>
              <w:t>4万元</w:t>
            </w:r>
          </w:p>
        </w:tc>
        <w:tc>
          <w:tcPr>
            <w:tcW w:w="1276" w:type="dxa"/>
            <w:vAlign w:val="center"/>
          </w:tcPr>
          <w:p>
            <w:pPr>
              <w:pStyle w:val="12"/>
            </w:pPr>
            <w:r>
              <w:t>依据往年预算费用安排</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储备物资应急保障率</w:t>
            </w:r>
          </w:p>
        </w:tc>
        <w:tc>
          <w:tcPr>
            <w:tcW w:w="5386" w:type="dxa"/>
            <w:vAlign w:val="center"/>
          </w:tcPr>
          <w:p>
            <w:pPr>
              <w:pStyle w:val="12"/>
            </w:pPr>
            <w:r>
              <w:t>储备物资应急保障率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9、粮食企业人员费用绩效目标表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13018326P000328100325</w:t>
            </w:r>
          </w:p>
        </w:tc>
        <w:tc>
          <w:tcPr>
            <w:tcW w:w="2835" w:type="dxa"/>
            <w:vAlign w:val="center"/>
          </w:tcPr>
          <w:p>
            <w:pPr>
              <w:pStyle w:val="10"/>
            </w:pPr>
            <w:r>
              <w:t>项目名称</w:t>
            </w:r>
          </w:p>
        </w:tc>
        <w:tc>
          <w:tcPr>
            <w:tcW w:w="6095" w:type="dxa"/>
            <w:gridSpan w:val="3"/>
            <w:vAlign w:val="center"/>
          </w:tcPr>
          <w:p>
            <w:pPr>
              <w:pStyle w:val="12"/>
            </w:pPr>
            <w:r>
              <w:t>粮食企业人员费用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w:t>
            </w:r>
          </w:p>
        </w:tc>
        <w:tc>
          <w:tcPr>
            <w:tcW w:w="2835" w:type="dxa"/>
            <w:vAlign w:val="center"/>
          </w:tcPr>
          <w:p>
            <w:pPr>
              <w:pStyle w:val="10"/>
            </w:pPr>
            <w:r>
              <w:t>其中：财政    资金</w:t>
            </w:r>
          </w:p>
        </w:tc>
        <w:tc>
          <w:tcPr>
            <w:tcW w:w="2551" w:type="dxa"/>
            <w:vAlign w:val="center"/>
          </w:tcPr>
          <w:p>
            <w:pPr>
              <w:pStyle w:val="12"/>
            </w:pPr>
            <w:r>
              <w:t>190.00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保障职工各项保险、生活费等费用及时发放。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1.确定职工稳定，促进社会和谐。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拨付企业数量</w:t>
            </w:r>
          </w:p>
        </w:tc>
        <w:tc>
          <w:tcPr>
            <w:tcW w:w="5386" w:type="dxa"/>
            <w:vAlign w:val="center"/>
          </w:tcPr>
          <w:p>
            <w:pPr>
              <w:pStyle w:val="12"/>
            </w:pPr>
            <w:r>
              <w:t>拨付企业数量</w:t>
            </w:r>
          </w:p>
        </w:tc>
        <w:tc>
          <w:tcPr>
            <w:tcW w:w="2268" w:type="dxa"/>
            <w:vAlign w:val="center"/>
          </w:tcPr>
          <w:p>
            <w:pPr>
              <w:pStyle w:val="12"/>
            </w:pPr>
            <w:r>
              <w:t>1个</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补助发放效率</w:t>
            </w:r>
          </w:p>
        </w:tc>
        <w:tc>
          <w:tcPr>
            <w:tcW w:w="5386" w:type="dxa"/>
            <w:vAlign w:val="center"/>
          </w:tcPr>
          <w:p>
            <w:pPr>
              <w:pStyle w:val="12"/>
            </w:pPr>
            <w:r>
              <w:t>补助发放效率</w:t>
            </w:r>
          </w:p>
        </w:tc>
        <w:tc>
          <w:tcPr>
            <w:tcW w:w="2268" w:type="dxa"/>
            <w:vAlign w:val="center"/>
          </w:tcPr>
          <w:p>
            <w:pPr>
              <w:pStyle w:val="12"/>
            </w:pPr>
            <w:r>
              <w:t>≥100%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190万元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保障了社会稳定，促进社会和谐，增加人民幸福指数。</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≥95问卷调查</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10、粮食行政执法经费绩效目标表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13018326P00032810036K</w:t>
            </w:r>
          </w:p>
        </w:tc>
        <w:tc>
          <w:tcPr>
            <w:tcW w:w="2835" w:type="dxa"/>
            <w:vAlign w:val="center"/>
          </w:tcPr>
          <w:p>
            <w:pPr>
              <w:pStyle w:val="10"/>
            </w:pPr>
            <w:r>
              <w:t>项目名称</w:t>
            </w:r>
          </w:p>
        </w:tc>
        <w:tc>
          <w:tcPr>
            <w:tcW w:w="6095" w:type="dxa"/>
            <w:gridSpan w:val="3"/>
            <w:vAlign w:val="center"/>
          </w:tcPr>
          <w:p>
            <w:pPr>
              <w:pStyle w:val="12"/>
            </w:pPr>
            <w:r>
              <w:t>粮食行政执法经费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用以监督检查政策性粮食各项数据指标；做好仓储备案工作和粮食资格稽查工作。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1.监督检查政策性粮食的数量、质量、存储安全以及粮食经营者的最高、最低粮食库存；对粮食仓储企业进行仓储备案工作，粮食收购者是否具备粮食资格进行稽查。</w:t>
            </w:r>
          </w:p>
          <w:p>
            <w:pPr>
              <w:pStyle w:val="12"/>
            </w:pPr>
            <w:r>
              <w:t>2.维持粮食市场稳定。确保消费安全。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持证上岗率</w:t>
            </w:r>
          </w:p>
        </w:tc>
        <w:tc>
          <w:tcPr>
            <w:tcW w:w="5386" w:type="dxa"/>
            <w:vAlign w:val="center"/>
          </w:tcPr>
          <w:p>
            <w:pPr>
              <w:pStyle w:val="12"/>
            </w:pPr>
            <w:r>
              <w:t>持证上岗率</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案件办理率</w:t>
            </w:r>
          </w:p>
        </w:tc>
        <w:tc>
          <w:tcPr>
            <w:tcW w:w="5386" w:type="dxa"/>
            <w:vAlign w:val="center"/>
          </w:tcPr>
          <w:p>
            <w:pPr>
              <w:pStyle w:val="12"/>
            </w:pPr>
            <w:r>
              <w:t>案件办理率</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办结时限</w:t>
            </w:r>
          </w:p>
        </w:tc>
        <w:tc>
          <w:tcPr>
            <w:tcW w:w="5386" w:type="dxa"/>
            <w:vAlign w:val="center"/>
          </w:tcPr>
          <w:p>
            <w:pPr>
              <w:pStyle w:val="12"/>
            </w:pPr>
            <w:r>
              <w:t>办结时限</w:t>
            </w:r>
          </w:p>
        </w:tc>
        <w:tc>
          <w:tcPr>
            <w:tcW w:w="2268" w:type="dxa"/>
            <w:vAlign w:val="center"/>
          </w:tcPr>
          <w:p>
            <w:pPr>
              <w:pStyle w:val="12"/>
            </w:pPr>
            <w:r>
              <w:t>≤15天</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13018326P00032810026P</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31.34</w:t>
            </w:r>
          </w:p>
        </w:tc>
        <w:tc>
          <w:tcPr>
            <w:tcW w:w="2835" w:type="dxa"/>
            <w:vAlign w:val="center"/>
          </w:tcPr>
          <w:p>
            <w:pPr>
              <w:pStyle w:val="10"/>
            </w:pPr>
            <w:r>
              <w:t>其中：财政    资金</w:t>
            </w:r>
          </w:p>
        </w:tc>
        <w:tc>
          <w:tcPr>
            <w:tcW w:w="2551" w:type="dxa"/>
            <w:vAlign w:val="center"/>
          </w:tcPr>
          <w:p>
            <w:pPr>
              <w:pStyle w:val="12"/>
            </w:pPr>
            <w:r>
              <w:t>31.34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用以开展全市“双创双服”及煤改电、型煤推广等重点工作，有序进行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1.顺利开展全市“双创双服”及煤改电、型煤推广等重点工作，以保证重点项目的圆满完成。</w:t>
            </w:r>
          </w:p>
          <w:p>
            <w:pPr>
              <w:pStyle w:val="12"/>
            </w:pPr>
            <w:r>
              <w:t>2.保证上级领导交办的任务按时完成。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对人员的培训率</w:t>
            </w:r>
          </w:p>
        </w:tc>
        <w:tc>
          <w:tcPr>
            <w:tcW w:w="5386" w:type="dxa"/>
            <w:vAlign w:val="center"/>
          </w:tcPr>
          <w:p>
            <w:pPr>
              <w:pStyle w:val="12"/>
            </w:pPr>
            <w:r>
              <w:t>实际培训人员占应培训人员的比率</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工作的按期完成率</w:t>
            </w:r>
          </w:p>
        </w:tc>
        <w:tc>
          <w:tcPr>
            <w:tcW w:w="5386" w:type="dxa"/>
            <w:vAlign w:val="center"/>
          </w:tcPr>
          <w:p>
            <w:pPr>
              <w:pStyle w:val="12"/>
            </w:pPr>
            <w:r>
              <w:t>按期完成工作量占总工作量的比率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保障相关业务、工作等开展、完成情况</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31.34万元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招聘人员参加工作后，在所在岗位体现的价值</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招聘人员满意度</w:t>
            </w:r>
          </w:p>
        </w:tc>
        <w:tc>
          <w:tcPr>
            <w:tcW w:w="5386" w:type="dxa"/>
            <w:vAlign w:val="center"/>
          </w:tcPr>
          <w:p>
            <w:pPr>
              <w:pStyle w:val="12"/>
            </w:pPr>
            <w:r>
              <w:t>受益群体调查中，满意和较满意的比率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12、人民防空办公室经费绩效目标表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13018326P00032810040R</w:t>
            </w:r>
          </w:p>
        </w:tc>
        <w:tc>
          <w:tcPr>
            <w:tcW w:w="2835" w:type="dxa"/>
            <w:vAlign w:val="center"/>
          </w:tcPr>
          <w:p>
            <w:pPr>
              <w:pStyle w:val="10"/>
            </w:pPr>
            <w:r>
              <w:t>项目名称</w:t>
            </w:r>
          </w:p>
        </w:tc>
        <w:tc>
          <w:tcPr>
            <w:tcW w:w="6095" w:type="dxa"/>
            <w:gridSpan w:val="3"/>
            <w:vAlign w:val="center"/>
          </w:tcPr>
          <w:p>
            <w:pPr>
              <w:pStyle w:val="12"/>
            </w:pPr>
            <w:r>
              <w:t>人民防空办公室经费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用以开展人防知识宣传活动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1.保障人防工作顺利完成</w:t>
            </w:r>
          </w:p>
          <w:p>
            <w:pPr>
              <w:pStyle w:val="12"/>
            </w:pPr>
            <w:r>
              <w:t>2.保证人防知识宣传到位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人防知识宣传次数</w:t>
            </w:r>
          </w:p>
        </w:tc>
        <w:tc>
          <w:tcPr>
            <w:tcW w:w="5386" w:type="dxa"/>
            <w:vAlign w:val="center"/>
          </w:tcPr>
          <w:p>
            <w:pPr>
              <w:pStyle w:val="12"/>
            </w:pPr>
            <w:r>
              <w:t>实际宣传人防知识次数</w:t>
            </w:r>
          </w:p>
        </w:tc>
        <w:tc>
          <w:tcPr>
            <w:tcW w:w="2268" w:type="dxa"/>
            <w:vAlign w:val="center"/>
          </w:tcPr>
          <w:p>
            <w:pPr>
              <w:pStyle w:val="12"/>
            </w:pPr>
            <w:r>
              <w:t>≥2次</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人防知识覆盖率</w:t>
            </w:r>
          </w:p>
        </w:tc>
        <w:tc>
          <w:tcPr>
            <w:tcW w:w="5386" w:type="dxa"/>
            <w:vAlign w:val="center"/>
          </w:tcPr>
          <w:p>
            <w:pPr>
              <w:pStyle w:val="12"/>
            </w:pPr>
            <w:r>
              <w:t>组织开展人防防空知识宣传教育工作</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总资金成本</w:t>
            </w:r>
          </w:p>
        </w:tc>
        <w:tc>
          <w:tcPr>
            <w:tcW w:w="2268" w:type="dxa"/>
            <w:vAlign w:val="center"/>
          </w:tcPr>
          <w:p>
            <w:pPr>
              <w:pStyle w:val="12"/>
            </w:pPr>
            <w:r>
              <w:t>4万元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市民防空知识普遍提高</w:t>
            </w:r>
          </w:p>
        </w:tc>
        <w:tc>
          <w:tcPr>
            <w:tcW w:w="5386" w:type="dxa"/>
            <w:vAlign w:val="center"/>
          </w:tcPr>
          <w:p>
            <w:pPr>
              <w:pStyle w:val="12"/>
            </w:pPr>
            <w:r>
              <w:t>区域内市民防控知识提高率</w:t>
            </w:r>
          </w:p>
        </w:tc>
        <w:tc>
          <w:tcPr>
            <w:tcW w:w="2268" w:type="dxa"/>
            <w:vAlign w:val="center"/>
          </w:tcPr>
          <w:p>
            <w:pPr>
              <w:pStyle w:val="12"/>
            </w:pPr>
            <w:r>
              <w:t>≥3%</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群众满意数占总数的比例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13、退役人员相关费用绩效目标表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13018326P00032810333L</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33.33</w:t>
            </w:r>
          </w:p>
        </w:tc>
        <w:tc>
          <w:tcPr>
            <w:tcW w:w="2835" w:type="dxa"/>
            <w:vAlign w:val="center"/>
          </w:tcPr>
          <w:p>
            <w:pPr>
              <w:pStyle w:val="10"/>
            </w:pPr>
            <w:r>
              <w:t>其中：财政    资金</w:t>
            </w:r>
          </w:p>
        </w:tc>
        <w:tc>
          <w:tcPr>
            <w:tcW w:w="2551" w:type="dxa"/>
            <w:vAlign w:val="center"/>
          </w:tcPr>
          <w:p>
            <w:pPr>
              <w:pStyle w:val="12"/>
            </w:pPr>
            <w:r>
              <w:t>33.33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用于保障退役军人所需费用及时发放。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1.做好涉军维稳工作，保持社会稳定。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补贴人数</w:t>
            </w:r>
          </w:p>
        </w:tc>
        <w:tc>
          <w:tcPr>
            <w:tcW w:w="5386" w:type="dxa"/>
            <w:vAlign w:val="center"/>
          </w:tcPr>
          <w:p>
            <w:pPr>
              <w:pStyle w:val="12"/>
            </w:pPr>
            <w:r>
              <w:t>资金补贴的人数</w:t>
            </w:r>
          </w:p>
        </w:tc>
        <w:tc>
          <w:tcPr>
            <w:tcW w:w="2268" w:type="dxa"/>
            <w:vAlign w:val="center"/>
          </w:tcPr>
          <w:p>
            <w:pPr>
              <w:pStyle w:val="12"/>
            </w:pPr>
            <w:r>
              <w:t>12人</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资金发放率</w:t>
            </w:r>
          </w:p>
        </w:tc>
        <w:tc>
          <w:tcPr>
            <w:tcW w:w="5386" w:type="dxa"/>
            <w:vAlign w:val="center"/>
          </w:tcPr>
          <w:p>
            <w:pPr>
              <w:pStyle w:val="12"/>
            </w:pPr>
            <w:r>
              <w:t>资金发放率</w:t>
            </w:r>
          </w:p>
        </w:tc>
        <w:tc>
          <w:tcPr>
            <w:tcW w:w="2268" w:type="dxa"/>
            <w:vAlign w:val="center"/>
          </w:tcPr>
          <w:p>
            <w:pPr>
              <w:pStyle w:val="12"/>
            </w:pPr>
            <w:r>
              <w:t>≥100%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≥100%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资金总成本</w:t>
            </w:r>
          </w:p>
        </w:tc>
        <w:tc>
          <w:tcPr>
            <w:tcW w:w="2268" w:type="dxa"/>
            <w:vAlign w:val="center"/>
          </w:tcPr>
          <w:p>
            <w:pPr>
              <w:pStyle w:val="12"/>
            </w:pPr>
            <w:r>
              <w:t>33.33万元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去年同期维护社会稳定提升率</w:t>
            </w:r>
          </w:p>
        </w:tc>
        <w:tc>
          <w:tcPr>
            <w:tcW w:w="2268" w:type="dxa"/>
            <w:vAlign w:val="center"/>
          </w:tcPr>
          <w:p>
            <w:pPr>
              <w:pStyle w:val="12"/>
            </w:pPr>
            <w:r>
              <w:t>≥3%</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通过调查问卷满意和较满意的比率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14、刑事案件价格认定费绩效目标表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13018326P00032810045U</w:t>
            </w:r>
          </w:p>
        </w:tc>
        <w:tc>
          <w:tcPr>
            <w:tcW w:w="2835" w:type="dxa"/>
            <w:vAlign w:val="center"/>
          </w:tcPr>
          <w:p>
            <w:pPr>
              <w:pStyle w:val="10"/>
            </w:pPr>
            <w:r>
              <w:t>项目名称</w:t>
            </w:r>
          </w:p>
        </w:tc>
        <w:tc>
          <w:tcPr>
            <w:tcW w:w="6095" w:type="dxa"/>
            <w:gridSpan w:val="3"/>
            <w:vAlign w:val="center"/>
          </w:tcPr>
          <w:p>
            <w:pPr>
              <w:pStyle w:val="12"/>
            </w:pPr>
            <w:r>
              <w:t>刑事案件价格认定费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用以价格鉴定的复核裁定等一系列工作。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1.发挥价格系统价格事务所得整体优势。</w:t>
            </w:r>
          </w:p>
          <w:p>
            <w:pPr>
              <w:pStyle w:val="12"/>
            </w:pPr>
            <w:r>
              <w:t>2.提高工作质量和效率，努力减少价格鉴定的复核裁定。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实际办案量</w:t>
            </w:r>
          </w:p>
        </w:tc>
        <w:tc>
          <w:tcPr>
            <w:tcW w:w="5386" w:type="dxa"/>
            <w:vAlign w:val="center"/>
          </w:tcPr>
          <w:p>
            <w:pPr>
              <w:pStyle w:val="12"/>
            </w:pPr>
            <w:r>
              <w:t>实际办案数量</w:t>
            </w:r>
          </w:p>
        </w:tc>
        <w:tc>
          <w:tcPr>
            <w:tcW w:w="2268" w:type="dxa"/>
            <w:vAlign w:val="center"/>
          </w:tcPr>
          <w:p>
            <w:pPr>
              <w:pStyle w:val="12"/>
            </w:pPr>
            <w:r>
              <w:t>≥65件</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工作的按期完成率</w:t>
            </w:r>
          </w:p>
        </w:tc>
        <w:tc>
          <w:tcPr>
            <w:tcW w:w="5386" w:type="dxa"/>
            <w:vAlign w:val="center"/>
          </w:tcPr>
          <w:p>
            <w:pPr>
              <w:pStyle w:val="12"/>
            </w:pPr>
            <w:r>
              <w:t>按期完成工作量占总工作量的比率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实际完成时间占计划完成时间的比率</w:t>
            </w:r>
          </w:p>
        </w:tc>
        <w:tc>
          <w:tcPr>
            <w:tcW w:w="2268" w:type="dxa"/>
            <w:vAlign w:val="center"/>
          </w:tcPr>
          <w:p>
            <w:pPr>
              <w:pStyle w:val="12"/>
            </w:pPr>
            <w:r>
              <w:t>≥90%</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总资金成本</w:t>
            </w:r>
          </w:p>
        </w:tc>
        <w:tc>
          <w:tcPr>
            <w:tcW w:w="2268" w:type="dxa"/>
            <w:vAlign w:val="center"/>
          </w:tcPr>
          <w:p>
            <w:pPr>
              <w:pStyle w:val="12"/>
            </w:pPr>
            <w:r>
              <w:t>8万元</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有利于业务开展</w:t>
            </w:r>
          </w:p>
        </w:tc>
        <w:tc>
          <w:tcPr>
            <w:tcW w:w="5386" w:type="dxa"/>
            <w:vAlign w:val="center"/>
          </w:tcPr>
          <w:p>
            <w:pPr>
              <w:pStyle w:val="12"/>
            </w:pPr>
            <w:r>
              <w:t>有利于业务开展和业务水平提高</w:t>
            </w:r>
          </w:p>
        </w:tc>
        <w:tc>
          <w:tcPr>
            <w:tcW w:w="2268" w:type="dxa"/>
            <w:vAlign w:val="center"/>
          </w:tcPr>
          <w:p>
            <w:pPr>
              <w:pStyle w:val="12"/>
            </w:pPr>
            <w:r>
              <w:t>≥3%</w:t>
            </w:r>
          </w:p>
        </w:tc>
        <w:tc>
          <w:tcPr>
            <w:tcW w:w="1276" w:type="dxa"/>
            <w:vAlign w:val="center"/>
          </w:tcPr>
          <w:p>
            <w:pPr>
              <w:pStyle w:val="12"/>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通过问卷调查满意和较满意的比率</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303001晋州市发展和改革局本级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4.30</w:t>
            </w:r>
          </w:p>
        </w:tc>
        <w:tc>
          <w:tcPr>
            <w:tcW w:w="964" w:type="dxa"/>
            <w:vAlign w:val="center"/>
          </w:tcPr>
          <w:p>
            <w:pPr>
              <w:pStyle w:val="15"/>
            </w:pPr>
            <w:r>
              <w:t>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晋州市发展和改革局本级小计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4.30</w:t>
            </w:r>
          </w:p>
        </w:tc>
        <w:tc>
          <w:tcPr>
            <w:tcW w:w="964" w:type="dxa"/>
            <w:vAlign w:val="center"/>
          </w:tcPr>
          <w:p>
            <w:pPr>
              <w:pStyle w:val="15"/>
            </w:pPr>
            <w:r>
              <w:t>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26.91</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26.91</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公用经费一</w:t>
            </w:r>
          </w:p>
        </w:tc>
        <w:tc>
          <w:tcPr>
            <w:tcW w:w="964" w:type="dxa"/>
            <w:vAlign w:val="center"/>
          </w:tcPr>
          <w:p>
            <w:pPr>
              <w:pStyle w:val="11"/>
            </w:pPr>
            <w:r>
              <w:t>26.91</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0.08</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人民防空办公室经费</w:t>
            </w:r>
          </w:p>
        </w:tc>
        <w:tc>
          <w:tcPr>
            <w:tcW w:w="964" w:type="dxa"/>
            <w:vAlign w:val="center"/>
          </w:tcPr>
          <w:p>
            <w:pPr>
              <w:pStyle w:val="11"/>
            </w:pPr>
            <w:r>
              <w:t>4.00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0.60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晋州市发展和改革局本级上年末固定资产金额为984.55万元（详见下表）。本年度拟购置固定资产总额为0.00万元，已按要求列入政府采购预算，详见政府采购预算表。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303001晋州市发展和改革局本级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984.55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3208.84</w:t>
            </w:r>
          </w:p>
        </w:tc>
        <w:tc>
          <w:tcPr>
            <w:tcW w:w="2835" w:type="dxa"/>
            <w:vAlign w:val="center"/>
          </w:tcPr>
          <w:p>
            <w:pPr>
              <w:pStyle w:val="11"/>
            </w:pPr>
            <w:r>
              <w:t>532.17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500</w:t>
            </w:r>
          </w:p>
        </w:tc>
        <w:tc>
          <w:tcPr>
            <w:tcW w:w="2835" w:type="dxa"/>
            <w:vAlign w:val="center"/>
          </w:tcPr>
          <w:p>
            <w:pPr>
              <w:pStyle w:val="11"/>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536</w:t>
            </w:r>
          </w:p>
        </w:tc>
        <w:tc>
          <w:tcPr>
            <w:tcW w:w="2835" w:type="dxa"/>
            <w:vAlign w:val="center"/>
          </w:tcPr>
          <w:p>
            <w:pPr>
              <w:pStyle w:val="11"/>
            </w:pPr>
            <w:r>
              <w:t>408.74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4F496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49</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2026-03-02T14:29:00Z</dcterms:created>
  <dc:creator>Administrator</dc:creator>
  <cp:lastModifiedBy>Administrator</cp:lastModifiedBy>
  <dcterms:modified xsi:type="dcterms:W3CDTF">2026-03-02T08:38:49Z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