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12</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13</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56</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57</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58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303晋州市发展和改革局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2609.85</w:t>
            </w:r>
          </w:p>
        </w:tc>
        <w:tc>
          <w:tcPr>
            <w:tcW w:w="4535" w:type="dxa"/>
            <w:vAlign w:val="center"/>
          </w:tcPr>
          <w:p>
            <w:pPr>
              <w:pStyle w:val="13"/>
            </w:pPr>
            <w:r>
              <w:t>一、一般公共服务支出</w:t>
            </w:r>
          </w:p>
        </w:tc>
        <w:tc>
          <w:tcPr>
            <w:tcW w:w="2126" w:type="dxa"/>
            <w:vAlign w:val="center"/>
          </w:tcPr>
          <w:p>
            <w:pPr>
              <w:pStyle w:val="12"/>
            </w:pPr>
            <w:r>
              <w:t>1163.16</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1510.68</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2609.85</w:t>
            </w:r>
          </w:p>
        </w:tc>
        <w:tc>
          <w:tcPr>
            <w:tcW w:w="4535" w:type="dxa"/>
            <w:vAlign w:val="center"/>
          </w:tcPr>
          <w:p>
            <w:pPr>
              <w:pStyle w:val="15"/>
            </w:pPr>
            <w:r>
              <w:t>本年支出合计</w:t>
            </w:r>
          </w:p>
        </w:tc>
        <w:tc>
          <w:tcPr>
            <w:tcW w:w="2126" w:type="dxa"/>
            <w:vAlign w:val="center"/>
          </w:tcPr>
          <w:p>
            <w:pPr>
              <w:pStyle w:val="16"/>
            </w:pPr>
            <w:r>
              <w:t>3290.24</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680.39</w:t>
            </w:r>
          </w:p>
        </w:tc>
        <w:tc>
          <w:tcPr>
            <w:tcW w:w="4535" w:type="dxa"/>
            <w:vAlign w:val="center"/>
          </w:tcPr>
          <w:p>
            <w:pPr>
              <w:pStyle w:val="13"/>
            </w:pPr>
            <w:r>
              <w:t>年终结转结余</w:t>
            </w:r>
          </w:p>
        </w:tc>
        <w:tc>
          <w:tcPr>
            <w:tcW w:w="2126"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3290.24</w:t>
            </w:r>
          </w:p>
        </w:tc>
        <w:tc>
          <w:tcPr>
            <w:tcW w:w="4535" w:type="dxa"/>
            <w:vAlign w:val="center"/>
          </w:tcPr>
          <w:p>
            <w:pPr>
              <w:pStyle w:val="15"/>
            </w:pPr>
            <w:r>
              <w:t>支出总计</w:t>
            </w:r>
          </w:p>
        </w:tc>
        <w:tc>
          <w:tcPr>
            <w:tcW w:w="2126" w:type="dxa"/>
            <w:vAlign w:val="center"/>
          </w:tcPr>
          <w:p>
            <w:pPr>
              <w:pStyle w:val="16"/>
            </w:pPr>
            <w:r>
              <w:t>3290.24</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303晋州市发展和改革局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3290.24</w:t>
            </w:r>
          </w:p>
        </w:tc>
        <w:tc>
          <w:tcPr>
            <w:tcW w:w="1134" w:type="dxa"/>
            <w:vAlign w:val="center"/>
          </w:tcPr>
          <w:p>
            <w:pPr>
              <w:pStyle w:val="16"/>
            </w:pPr>
            <w:r>
              <w:t>2609.85</w:t>
            </w:r>
          </w:p>
        </w:tc>
        <w:tc>
          <w:tcPr>
            <w:tcW w:w="1134" w:type="dxa"/>
            <w:vAlign w:val="center"/>
          </w:tcPr>
          <w:p>
            <w:pPr>
              <w:pStyle w:val="16"/>
            </w:pPr>
            <w:r>
              <w:t>2609.85</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680.39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1163.16</w:t>
            </w:r>
          </w:p>
        </w:tc>
        <w:tc>
          <w:tcPr>
            <w:tcW w:w="1134" w:type="dxa"/>
            <w:vAlign w:val="center"/>
          </w:tcPr>
          <w:p>
            <w:pPr>
              <w:pStyle w:val="12"/>
            </w:pPr>
            <w:r>
              <w:t>1161.87</w:t>
            </w:r>
          </w:p>
        </w:tc>
        <w:tc>
          <w:tcPr>
            <w:tcW w:w="1134" w:type="dxa"/>
            <w:vAlign w:val="center"/>
          </w:tcPr>
          <w:p>
            <w:pPr>
              <w:pStyle w:val="12"/>
            </w:pPr>
            <w:r>
              <w:t>1161.87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20104</w:t>
            </w:r>
          </w:p>
        </w:tc>
        <w:tc>
          <w:tcPr>
            <w:tcW w:w="1559" w:type="dxa"/>
            <w:vAlign w:val="center"/>
          </w:tcPr>
          <w:p>
            <w:pPr>
              <w:pStyle w:val="13"/>
            </w:pPr>
            <w:r>
              <w:t>发展与改革事务</w:t>
            </w:r>
          </w:p>
        </w:tc>
        <w:tc>
          <w:tcPr>
            <w:tcW w:w="1134" w:type="dxa"/>
            <w:vAlign w:val="center"/>
          </w:tcPr>
          <w:p>
            <w:pPr>
              <w:pStyle w:val="12"/>
            </w:pPr>
            <w:r>
              <w:t>1163.16</w:t>
            </w:r>
          </w:p>
        </w:tc>
        <w:tc>
          <w:tcPr>
            <w:tcW w:w="1134" w:type="dxa"/>
            <w:vAlign w:val="center"/>
          </w:tcPr>
          <w:p>
            <w:pPr>
              <w:pStyle w:val="12"/>
            </w:pPr>
            <w:r>
              <w:t>1161.87</w:t>
            </w:r>
          </w:p>
        </w:tc>
        <w:tc>
          <w:tcPr>
            <w:tcW w:w="1134" w:type="dxa"/>
            <w:vAlign w:val="center"/>
          </w:tcPr>
          <w:p>
            <w:pPr>
              <w:pStyle w:val="12"/>
            </w:pPr>
            <w:r>
              <w:t>1161.87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2010401</w:t>
            </w:r>
          </w:p>
        </w:tc>
        <w:tc>
          <w:tcPr>
            <w:tcW w:w="1559" w:type="dxa"/>
            <w:vAlign w:val="center"/>
          </w:tcPr>
          <w:p>
            <w:pPr>
              <w:pStyle w:val="13"/>
            </w:pPr>
            <w:r>
              <w:t>行政运行</w:t>
            </w:r>
          </w:p>
        </w:tc>
        <w:tc>
          <w:tcPr>
            <w:tcW w:w="1134" w:type="dxa"/>
            <w:vAlign w:val="center"/>
          </w:tcPr>
          <w:p>
            <w:pPr>
              <w:pStyle w:val="12"/>
            </w:pPr>
            <w:r>
              <w:t>880.67</w:t>
            </w:r>
          </w:p>
        </w:tc>
        <w:tc>
          <w:tcPr>
            <w:tcW w:w="1134" w:type="dxa"/>
            <w:vAlign w:val="center"/>
          </w:tcPr>
          <w:p>
            <w:pPr>
              <w:pStyle w:val="12"/>
            </w:pPr>
            <w:r>
              <w:t>880.67</w:t>
            </w:r>
          </w:p>
        </w:tc>
        <w:tc>
          <w:tcPr>
            <w:tcW w:w="1134" w:type="dxa"/>
            <w:vAlign w:val="center"/>
          </w:tcPr>
          <w:p>
            <w:pPr>
              <w:pStyle w:val="12"/>
            </w:pPr>
            <w:r>
              <w:t>880.67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2010402</w:t>
            </w:r>
          </w:p>
        </w:tc>
        <w:tc>
          <w:tcPr>
            <w:tcW w:w="1559" w:type="dxa"/>
            <w:vAlign w:val="center"/>
          </w:tcPr>
          <w:p>
            <w:pPr>
              <w:pStyle w:val="13"/>
            </w:pPr>
            <w:r>
              <w:t>一般行政管理事务</w:t>
            </w:r>
          </w:p>
        </w:tc>
        <w:tc>
          <w:tcPr>
            <w:tcW w:w="1134" w:type="dxa"/>
            <w:vAlign w:val="center"/>
          </w:tcPr>
          <w:p>
            <w:pPr>
              <w:pStyle w:val="12"/>
            </w:pPr>
            <w:r>
              <w:t>265.67</w:t>
            </w:r>
          </w:p>
        </w:tc>
        <w:tc>
          <w:tcPr>
            <w:tcW w:w="1134" w:type="dxa"/>
            <w:vAlign w:val="center"/>
          </w:tcPr>
          <w:p>
            <w:pPr>
              <w:pStyle w:val="12"/>
            </w:pPr>
            <w:r>
              <w:t>265.67</w:t>
            </w:r>
          </w:p>
        </w:tc>
        <w:tc>
          <w:tcPr>
            <w:tcW w:w="1134" w:type="dxa"/>
            <w:vAlign w:val="center"/>
          </w:tcPr>
          <w:p>
            <w:pPr>
              <w:pStyle w:val="12"/>
            </w:pPr>
            <w:r>
              <w:t>265.67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2010408</w:t>
            </w:r>
          </w:p>
        </w:tc>
        <w:tc>
          <w:tcPr>
            <w:tcW w:w="1559" w:type="dxa"/>
            <w:vAlign w:val="center"/>
          </w:tcPr>
          <w:p>
            <w:pPr>
              <w:pStyle w:val="13"/>
            </w:pPr>
            <w:r>
              <w:t>物价管理</w:t>
            </w:r>
          </w:p>
        </w:tc>
        <w:tc>
          <w:tcPr>
            <w:tcW w:w="1134" w:type="dxa"/>
            <w:vAlign w:val="center"/>
          </w:tcPr>
          <w:p>
            <w:pPr>
              <w:pStyle w:val="12"/>
            </w:pPr>
            <w:r>
              <w:t>16.82</w:t>
            </w:r>
          </w:p>
        </w:tc>
        <w:tc>
          <w:tcPr>
            <w:tcW w:w="1134" w:type="dxa"/>
            <w:vAlign w:val="center"/>
          </w:tcPr>
          <w:p>
            <w:pPr>
              <w:pStyle w:val="12"/>
            </w:pPr>
            <w:r>
              <w:t>15.53</w:t>
            </w:r>
          </w:p>
        </w:tc>
        <w:tc>
          <w:tcPr>
            <w:tcW w:w="1134" w:type="dxa"/>
            <w:vAlign w:val="center"/>
          </w:tcPr>
          <w:p>
            <w:pPr>
              <w:pStyle w:val="12"/>
            </w:pPr>
            <w:r>
              <w:t>15.53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1510.68</w:t>
            </w:r>
          </w:p>
        </w:tc>
        <w:tc>
          <w:tcPr>
            <w:tcW w:w="1134" w:type="dxa"/>
            <w:vAlign w:val="center"/>
          </w:tcPr>
          <w:p>
            <w:pPr>
              <w:pStyle w:val="12"/>
            </w:pPr>
            <w:r>
              <w:t>1447.98</w:t>
            </w:r>
          </w:p>
        </w:tc>
        <w:tc>
          <w:tcPr>
            <w:tcW w:w="1134" w:type="dxa"/>
            <w:vAlign w:val="center"/>
          </w:tcPr>
          <w:p>
            <w:pPr>
              <w:pStyle w:val="12"/>
            </w:pPr>
            <w:r>
              <w:t>1447.98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21103</w:t>
            </w:r>
          </w:p>
        </w:tc>
        <w:tc>
          <w:tcPr>
            <w:tcW w:w="1559" w:type="dxa"/>
            <w:vAlign w:val="center"/>
          </w:tcPr>
          <w:p>
            <w:pPr>
              <w:pStyle w:val="13"/>
            </w:pPr>
            <w:r>
              <w:t>污染防治</w:t>
            </w:r>
          </w:p>
        </w:tc>
        <w:tc>
          <w:tcPr>
            <w:tcW w:w="1134" w:type="dxa"/>
            <w:vAlign w:val="center"/>
          </w:tcPr>
          <w:p>
            <w:pPr>
              <w:pStyle w:val="12"/>
            </w:pPr>
            <w:r>
              <w:t>1510.68</w:t>
            </w:r>
          </w:p>
        </w:tc>
        <w:tc>
          <w:tcPr>
            <w:tcW w:w="1134" w:type="dxa"/>
            <w:vAlign w:val="center"/>
          </w:tcPr>
          <w:p>
            <w:pPr>
              <w:pStyle w:val="12"/>
            </w:pPr>
            <w:r>
              <w:t>1447.98</w:t>
            </w:r>
          </w:p>
        </w:tc>
        <w:tc>
          <w:tcPr>
            <w:tcW w:w="1134" w:type="dxa"/>
            <w:vAlign w:val="center"/>
          </w:tcPr>
          <w:p>
            <w:pPr>
              <w:pStyle w:val="12"/>
            </w:pPr>
            <w:r>
              <w:t>1447.98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2110301</w:t>
            </w:r>
          </w:p>
        </w:tc>
        <w:tc>
          <w:tcPr>
            <w:tcW w:w="1559" w:type="dxa"/>
            <w:vAlign w:val="center"/>
          </w:tcPr>
          <w:p>
            <w:pPr>
              <w:pStyle w:val="13"/>
            </w:pPr>
            <w:r>
              <w:t>大气</w:t>
            </w:r>
          </w:p>
        </w:tc>
        <w:tc>
          <w:tcPr>
            <w:tcW w:w="1134" w:type="dxa"/>
            <w:vAlign w:val="center"/>
          </w:tcPr>
          <w:p>
            <w:pPr>
              <w:pStyle w:val="12"/>
            </w:pPr>
            <w:r>
              <w:t>1510.68</w:t>
            </w:r>
          </w:p>
        </w:tc>
        <w:tc>
          <w:tcPr>
            <w:tcW w:w="1134" w:type="dxa"/>
            <w:vAlign w:val="center"/>
          </w:tcPr>
          <w:p>
            <w:pPr>
              <w:pStyle w:val="12"/>
            </w:pPr>
            <w:r>
              <w:t>1447.98</w:t>
            </w:r>
          </w:p>
        </w:tc>
        <w:tc>
          <w:tcPr>
            <w:tcW w:w="1134" w:type="dxa"/>
            <w:vAlign w:val="center"/>
          </w:tcPr>
          <w:p>
            <w:pPr>
              <w:pStyle w:val="12"/>
            </w:pPr>
            <w:r>
              <w:t>1447.98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215</w:t>
            </w:r>
          </w:p>
        </w:tc>
        <w:tc>
          <w:tcPr>
            <w:tcW w:w="1559" w:type="dxa"/>
            <w:vAlign w:val="center"/>
          </w:tcPr>
          <w:p>
            <w:pPr>
              <w:pStyle w:val="13"/>
            </w:pPr>
            <w:r>
              <w:t>资源勘探工业信息等支出</w:t>
            </w:r>
          </w:p>
        </w:tc>
        <w:tc>
          <w:tcPr>
            <w:tcW w:w="1134" w:type="dxa"/>
            <w:vAlign w:val="center"/>
          </w:tcPr>
          <w:p>
            <w:pPr>
              <w:pStyle w:val="12"/>
            </w:pPr>
            <w:r>
              <w:t>616.40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21598</w:t>
            </w:r>
          </w:p>
        </w:tc>
        <w:tc>
          <w:tcPr>
            <w:tcW w:w="1559" w:type="dxa"/>
            <w:vAlign w:val="center"/>
          </w:tcPr>
          <w:p>
            <w:pPr>
              <w:pStyle w:val="13"/>
            </w:pPr>
            <w:r>
              <w:t>超长期特别国债安排的支出</w:t>
            </w:r>
          </w:p>
        </w:tc>
        <w:tc>
          <w:tcPr>
            <w:tcW w:w="1134" w:type="dxa"/>
            <w:vAlign w:val="center"/>
          </w:tcPr>
          <w:p>
            <w:pPr>
              <w:pStyle w:val="12"/>
            </w:pPr>
            <w:r>
              <w:t>616.40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2159802</w:t>
            </w:r>
          </w:p>
        </w:tc>
        <w:tc>
          <w:tcPr>
            <w:tcW w:w="1559" w:type="dxa"/>
            <w:vAlign w:val="center"/>
          </w:tcPr>
          <w:p>
            <w:pPr>
              <w:pStyle w:val="13"/>
            </w:pPr>
            <w:r>
              <w:t>制造业</w:t>
            </w:r>
          </w:p>
        </w:tc>
        <w:tc>
          <w:tcPr>
            <w:tcW w:w="1134" w:type="dxa"/>
            <w:vAlign w:val="center"/>
          </w:tcPr>
          <w:p>
            <w:pPr>
              <w:pStyle w:val="12"/>
            </w:pPr>
            <w:r>
              <w:t>616.40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616.40</w:t>
            </w: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3290.24</w:t>
            </w:r>
          </w:p>
        </w:tc>
        <w:tc>
          <w:tcPr>
            <w:tcW w:w="1361" w:type="dxa"/>
            <w:vAlign w:val="center"/>
          </w:tcPr>
          <w:p>
            <w:pPr>
              <w:pStyle w:val="16"/>
            </w:pPr>
            <w:r>
              <w:t>880.67</w:t>
            </w:r>
          </w:p>
        </w:tc>
        <w:tc>
          <w:tcPr>
            <w:tcW w:w="1361" w:type="dxa"/>
            <w:vAlign w:val="center"/>
          </w:tcPr>
          <w:p>
            <w:pPr>
              <w:pStyle w:val="16"/>
            </w:pPr>
            <w:r>
              <w:t>2409.57</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1163.16</w:t>
            </w:r>
          </w:p>
        </w:tc>
        <w:tc>
          <w:tcPr>
            <w:tcW w:w="1361" w:type="dxa"/>
            <w:vAlign w:val="center"/>
          </w:tcPr>
          <w:p>
            <w:pPr>
              <w:pStyle w:val="12"/>
            </w:pPr>
            <w:r>
              <w:t>880.67</w:t>
            </w:r>
          </w:p>
        </w:tc>
        <w:tc>
          <w:tcPr>
            <w:tcW w:w="1361" w:type="dxa"/>
            <w:vAlign w:val="center"/>
          </w:tcPr>
          <w:p>
            <w:pPr>
              <w:pStyle w:val="12"/>
            </w:pPr>
            <w:r>
              <w:t>282.49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20104</w:t>
            </w:r>
          </w:p>
        </w:tc>
        <w:tc>
          <w:tcPr>
            <w:tcW w:w="4535" w:type="dxa"/>
            <w:vAlign w:val="center"/>
          </w:tcPr>
          <w:p>
            <w:pPr>
              <w:pStyle w:val="13"/>
            </w:pPr>
            <w:r>
              <w:t>发展与改革事务</w:t>
            </w:r>
          </w:p>
        </w:tc>
        <w:tc>
          <w:tcPr>
            <w:tcW w:w="1361" w:type="dxa"/>
            <w:vAlign w:val="center"/>
          </w:tcPr>
          <w:p>
            <w:pPr>
              <w:pStyle w:val="12"/>
            </w:pPr>
            <w:r>
              <w:t>1163.16</w:t>
            </w:r>
          </w:p>
        </w:tc>
        <w:tc>
          <w:tcPr>
            <w:tcW w:w="1361" w:type="dxa"/>
            <w:vAlign w:val="center"/>
          </w:tcPr>
          <w:p>
            <w:pPr>
              <w:pStyle w:val="12"/>
            </w:pPr>
            <w:r>
              <w:t>880.67</w:t>
            </w:r>
          </w:p>
        </w:tc>
        <w:tc>
          <w:tcPr>
            <w:tcW w:w="1361" w:type="dxa"/>
            <w:vAlign w:val="center"/>
          </w:tcPr>
          <w:p>
            <w:pPr>
              <w:pStyle w:val="12"/>
            </w:pPr>
            <w:r>
              <w:t>282.49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2010401</w:t>
            </w:r>
          </w:p>
        </w:tc>
        <w:tc>
          <w:tcPr>
            <w:tcW w:w="4535" w:type="dxa"/>
            <w:vAlign w:val="center"/>
          </w:tcPr>
          <w:p>
            <w:pPr>
              <w:pStyle w:val="13"/>
            </w:pPr>
            <w:r>
              <w:t>行政运行</w:t>
            </w:r>
          </w:p>
        </w:tc>
        <w:tc>
          <w:tcPr>
            <w:tcW w:w="1361" w:type="dxa"/>
            <w:vAlign w:val="center"/>
          </w:tcPr>
          <w:p>
            <w:pPr>
              <w:pStyle w:val="12"/>
            </w:pPr>
            <w:r>
              <w:t>880.67</w:t>
            </w:r>
          </w:p>
        </w:tc>
        <w:tc>
          <w:tcPr>
            <w:tcW w:w="1361" w:type="dxa"/>
            <w:vAlign w:val="center"/>
          </w:tcPr>
          <w:p>
            <w:pPr>
              <w:pStyle w:val="12"/>
            </w:pPr>
            <w:r>
              <w:t>880.67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2010402</w:t>
            </w:r>
          </w:p>
        </w:tc>
        <w:tc>
          <w:tcPr>
            <w:tcW w:w="4535" w:type="dxa"/>
            <w:vAlign w:val="center"/>
          </w:tcPr>
          <w:p>
            <w:pPr>
              <w:pStyle w:val="13"/>
            </w:pPr>
            <w:r>
              <w:t>一般行政管理事务</w:t>
            </w:r>
          </w:p>
        </w:tc>
        <w:tc>
          <w:tcPr>
            <w:tcW w:w="1361" w:type="dxa"/>
            <w:vAlign w:val="center"/>
          </w:tcPr>
          <w:p>
            <w:pPr>
              <w:pStyle w:val="12"/>
            </w:pPr>
            <w:r>
              <w:t>265.67</w:t>
            </w:r>
          </w:p>
        </w:tc>
        <w:tc>
          <w:tcPr>
            <w:tcW w:w="1361" w:type="dxa"/>
            <w:vAlign w:val="center"/>
          </w:tcPr>
          <w:p>
            <w:pPr>
              <w:pStyle w:val="12"/>
            </w:pPr>
          </w:p>
        </w:tc>
        <w:tc>
          <w:tcPr>
            <w:tcW w:w="1361" w:type="dxa"/>
            <w:vAlign w:val="center"/>
          </w:tcPr>
          <w:p>
            <w:pPr>
              <w:pStyle w:val="12"/>
            </w:pPr>
            <w:r>
              <w:t>265.67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2010408</w:t>
            </w:r>
          </w:p>
        </w:tc>
        <w:tc>
          <w:tcPr>
            <w:tcW w:w="4535" w:type="dxa"/>
            <w:vAlign w:val="center"/>
          </w:tcPr>
          <w:p>
            <w:pPr>
              <w:pStyle w:val="13"/>
            </w:pPr>
            <w:r>
              <w:t>物价管理</w:t>
            </w:r>
          </w:p>
        </w:tc>
        <w:tc>
          <w:tcPr>
            <w:tcW w:w="1361" w:type="dxa"/>
            <w:vAlign w:val="center"/>
          </w:tcPr>
          <w:p>
            <w:pPr>
              <w:pStyle w:val="12"/>
            </w:pPr>
            <w:r>
              <w:t>16.82</w:t>
            </w:r>
          </w:p>
        </w:tc>
        <w:tc>
          <w:tcPr>
            <w:tcW w:w="1361" w:type="dxa"/>
            <w:vAlign w:val="center"/>
          </w:tcPr>
          <w:p>
            <w:pPr>
              <w:pStyle w:val="12"/>
            </w:pPr>
          </w:p>
        </w:tc>
        <w:tc>
          <w:tcPr>
            <w:tcW w:w="1361" w:type="dxa"/>
            <w:vAlign w:val="center"/>
          </w:tcPr>
          <w:p>
            <w:pPr>
              <w:pStyle w:val="12"/>
            </w:pPr>
            <w:r>
              <w:t>16.82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21103</w:t>
            </w:r>
          </w:p>
        </w:tc>
        <w:tc>
          <w:tcPr>
            <w:tcW w:w="4535" w:type="dxa"/>
            <w:vAlign w:val="center"/>
          </w:tcPr>
          <w:p>
            <w:pPr>
              <w:pStyle w:val="13"/>
            </w:pPr>
            <w:r>
              <w:t>污染防治</w:t>
            </w: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2110301</w:t>
            </w:r>
          </w:p>
        </w:tc>
        <w:tc>
          <w:tcPr>
            <w:tcW w:w="4535" w:type="dxa"/>
            <w:vAlign w:val="center"/>
          </w:tcPr>
          <w:p>
            <w:pPr>
              <w:pStyle w:val="13"/>
            </w:pPr>
            <w:r>
              <w:t>大气</w:t>
            </w: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r>
              <w:t>1510.68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215</w:t>
            </w:r>
          </w:p>
        </w:tc>
        <w:tc>
          <w:tcPr>
            <w:tcW w:w="4535" w:type="dxa"/>
            <w:vAlign w:val="center"/>
          </w:tcPr>
          <w:p>
            <w:pPr>
              <w:pStyle w:val="13"/>
            </w:pPr>
            <w:r>
              <w:t>资源勘探工业信息等支出</w:t>
            </w: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21598</w:t>
            </w:r>
          </w:p>
        </w:tc>
        <w:tc>
          <w:tcPr>
            <w:tcW w:w="4535" w:type="dxa"/>
            <w:vAlign w:val="center"/>
          </w:tcPr>
          <w:p>
            <w:pPr>
              <w:pStyle w:val="13"/>
            </w:pPr>
            <w:r>
              <w:t>超长期特别国债安排的支出</w:t>
            </w: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2159802</w:t>
            </w:r>
          </w:p>
        </w:tc>
        <w:tc>
          <w:tcPr>
            <w:tcW w:w="4535" w:type="dxa"/>
            <w:vAlign w:val="center"/>
          </w:tcPr>
          <w:p>
            <w:pPr>
              <w:pStyle w:val="13"/>
            </w:pPr>
            <w:r>
              <w:t>制造业</w:t>
            </w: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r>
              <w:t>616.40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2609.85</w:t>
            </w:r>
          </w:p>
        </w:tc>
        <w:tc>
          <w:tcPr>
            <w:tcW w:w="3402" w:type="dxa"/>
            <w:vAlign w:val="center"/>
          </w:tcPr>
          <w:p>
            <w:pPr>
              <w:pStyle w:val="13"/>
            </w:pPr>
            <w:r>
              <w:t>一、一般公共服务支出</w:t>
            </w:r>
          </w:p>
        </w:tc>
        <w:tc>
          <w:tcPr>
            <w:tcW w:w="1474" w:type="dxa"/>
            <w:vAlign w:val="center"/>
          </w:tcPr>
          <w:p>
            <w:pPr>
              <w:pStyle w:val="12"/>
            </w:pPr>
            <w:r>
              <w:t>1163.16</w:t>
            </w:r>
          </w:p>
        </w:tc>
        <w:tc>
          <w:tcPr>
            <w:tcW w:w="1474" w:type="dxa"/>
            <w:vAlign w:val="center"/>
          </w:tcPr>
          <w:p>
            <w:pPr>
              <w:pStyle w:val="12"/>
            </w:pPr>
            <w:r>
              <w:t>1163.16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1510.68</w:t>
            </w:r>
          </w:p>
        </w:tc>
        <w:tc>
          <w:tcPr>
            <w:tcW w:w="1474" w:type="dxa"/>
            <w:vAlign w:val="center"/>
          </w:tcPr>
          <w:p>
            <w:pPr>
              <w:pStyle w:val="12"/>
            </w:pPr>
            <w:r>
              <w:t>1510.68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r>
              <w:t>616.40</w:t>
            </w:r>
          </w:p>
        </w:tc>
        <w:tc>
          <w:tcPr>
            <w:tcW w:w="1474" w:type="dxa"/>
            <w:vAlign w:val="center"/>
          </w:tcPr>
          <w:p>
            <w:pPr>
              <w:pStyle w:val="12"/>
            </w:pPr>
          </w:p>
        </w:tc>
        <w:tc>
          <w:tcPr>
            <w:tcW w:w="1474" w:type="dxa"/>
            <w:vAlign w:val="center"/>
          </w:tcPr>
          <w:p>
            <w:pPr>
              <w:pStyle w:val="12"/>
            </w:pPr>
            <w:r>
              <w:t>616.40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2609.85</w:t>
            </w:r>
          </w:p>
        </w:tc>
        <w:tc>
          <w:tcPr>
            <w:tcW w:w="3402" w:type="dxa"/>
            <w:vAlign w:val="center"/>
          </w:tcPr>
          <w:p>
            <w:pPr>
              <w:pStyle w:val="15"/>
            </w:pPr>
            <w:r>
              <w:t>本年支出合计</w:t>
            </w:r>
          </w:p>
        </w:tc>
        <w:tc>
          <w:tcPr>
            <w:tcW w:w="1474" w:type="dxa"/>
            <w:vAlign w:val="center"/>
          </w:tcPr>
          <w:p>
            <w:pPr>
              <w:pStyle w:val="16"/>
            </w:pPr>
            <w:r>
              <w:t>3290.24</w:t>
            </w:r>
          </w:p>
        </w:tc>
        <w:tc>
          <w:tcPr>
            <w:tcW w:w="1474" w:type="dxa"/>
            <w:vAlign w:val="center"/>
          </w:tcPr>
          <w:p>
            <w:pPr>
              <w:pStyle w:val="16"/>
            </w:pPr>
            <w:r>
              <w:t>2673.84</w:t>
            </w:r>
          </w:p>
        </w:tc>
        <w:tc>
          <w:tcPr>
            <w:tcW w:w="1474" w:type="dxa"/>
            <w:vAlign w:val="center"/>
          </w:tcPr>
          <w:p>
            <w:pPr>
              <w:pStyle w:val="16"/>
            </w:pPr>
            <w:r>
              <w:t>616.40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680.39</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63.99</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r>
              <w:t>616.40</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3290.24</w:t>
            </w:r>
          </w:p>
        </w:tc>
        <w:tc>
          <w:tcPr>
            <w:tcW w:w="3402" w:type="dxa"/>
            <w:vAlign w:val="center"/>
          </w:tcPr>
          <w:p>
            <w:pPr>
              <w:pStyle w:val="15"/>
            </w:pPr>
            <w:r>
              <w:t>支出总计</w:t>
            </w:r>
          </w:p>
        </w:tc>
        <w:tc>
          <w:tcPr>
            <w:tcW w:w="1474" w:type="dxa"/>
            <w:vAlign w:val="center"/>
          </w:tcPr>
          <w:p>
            <w:pPr>
              <w:pStyle w:val="16"/>
            </w:pPr>
            <w:r>
              <w:t>3290.24</w:t>
            </w:r>
          </w:p>
        </w:tc>
        <w:tc>
          <w:tcPr>
            <w:tcW w:w="1474" w:type="dxa"/>
            <w:vAlign w:val="center"/>
          </w:tcPr>
          <w:p>
            <w:pPr>
              <w:pStyle w:val="16"/>
            </w:pPr>
            <w:r>
              <w:t>2673.84</w:t>
            </w:r>
          </w:p>
        </w:tc>
        <w:tc>
          <w:tcPr>
            <w:tcW w:w="1474" w:type="dxa"/>
            <w:vAlign w:val="center"/>
          </w:tcPr>
          <w:p>
            <w:pPr>
              <w:pStyle w:val="16"/>
            </w:pPr>
            <w:r>
              <w:t>616.40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2673.84</w:t>
            </w:r>
          </w:p>
        </w:tc>
        <w:tc>
          <w:tcPr>
            <w:tcW w:w="2551" w:type="dxa"/>
            <w:vAlign w:val="center"/>
          </w:tcPr>
          <w:p>
            <w:pPr>
              <w:pStyle w:val="16"/>
            </w:pPr>
            <w:r>
              <w:t>880.67</w:t>
            </w:r>
          </w:p>
        </w:tc>
        <w:tc>
          <w:tcPr>
            <w:tcW w:w="2551" w:type="dxa"/>
            <w:vAlign w:val="center"/>
          </w:tcPr>
          <w:p>
            <w:pPr>
              <w:pStyle w:val="16"/>
            </w:pPr>
            <w:r>
              <w:t>1793.17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1163.16</w:t>
            </w:r>
          </w:p>
        </w:tc>
        <w:tc>
          <w:tcPr>
            <w:tcW w:w="2551" w:type="dxa"/>
            <w:vAlign w:val="center"/>
          </w:tcPr>
          <w:p>
            <w:pPr>
              <w:pStyle w:val="12"/>
            </w:pPr>
            <w:r>
              <w:t>880.67</w:t>
            </w:r>
          </w:p>
        </w:tc>
        <w:tc>
          <w:tcPr>
            <w:tcW w:w="2551" w:type="dxa"/>
            <w:vAlign w:val="center"/>
          </w:tcPr>
          <w:p>
            <w:pPr>
              <w:pStyle w:val="12"/>
            </w:pPr>
            <w:r>
              <w:t>282.49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20104</w:t>
            </w:r>
          </w:p>
        </w:tc>
        <w:tc>
          <w:tcPr>
            <w:tcW w:w="4535" w:type="dxa"/>
            <w:vAlign w:val="center"/>
          </w:tcPr>
          <w:p>
            <w:pPr>
              <w:pStyle w:val="13"/>
            </w:pPr>
            <w:r>
              <w:t>发展与改革事务</w:t>
            </w:r>
          </w:p>
        </w:tc>
        <w:tc>
          <w:tcPr>
            <w:tcW w:w="2551" w:type="dxa"/>
            <w:vAlign w:val="center"/>
          </w:tcPr>
          <w:p>
            <w:pPr>
              <w:pStyle w:val="12"/>
            </w:pPr>
            <w:r>
              <w:t>1163.16</w:t>
            </w:r>
          </w:p>
        </w:tc>
        <w:tc>
          <w:tcPr>
            <w:tcW w:w="2551" w:type="dxa"/>
            <w:vAlign w:val="center"/>
          </w:tcPr>
          <w:p>
            <w:pPr>
              <w:pStyle w:val="12"/>
            </w:pPr>
            <w:r>
              <w:t>880.67</w:t>
            </w:r>
          </w:p>
        </w:tc>
        <w:tc>
          <w:tcPr>
            <w:tcW w:w="2551" w:type="dxa"/>
            <w:vAlign w:val="center"/>
          </w:tcPr>
          <w:p>
            <w:pPr>
              <w:pStyle w:val="12"/>
            </w:pPr>
            <w:r>
              <w:t>282.49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2010401</w:t>
            </w:r>
          </w:p>
        </w:tc>
        <w:tc>
          <w:tcPr>
            <w:tcW w:w="4535" w:type="dxa"/>
            <w:vAlign w:val="center"/>
          </w:tcPr>
          <w:p>
            <w:pPr>
              <w:pStyle w:val="13"/>
            </w:pPr>
            <w:r>
              <w:t>行政运行</w:t>
            </w:r>
          </w:p>
        </w:tc>
        <w:tc>
          <w:tcPr>
            <w:tcW w:w="2551" w:type="dxa"/>
            <w:vAlign w:val="center"/>
          </w:tcPr>
          <w:p>
            <w:pPr>
              <w:pStyle w:val="12"/>
            </w:pPr>
            <w:r>
              <w:t>880.67</w:t>
            </w:r>
          </w:p>
        </w:tc>
        <w:tc>
          <w:tcPr>
            <w:tcW w:w="2551" w:type="dxa"/>
            <w:vAlign w:val="center"/>
          </w:tcPr>
          <w:p>
            <w:pPr>
              <w:pStyle w:val="12"/>
            </w:pPr>
            <w:r>
              <w:t>880.67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2010402</w:t>
            </w:r>
          </w:p>
        </w:tc>
        <w:tc>
          <w:tcPr>
            <w:tcW w:w="4535" w:type="dxa"/>
            <w:vAlign w:val="center"/>
          </w:tcPr>
          <w:p>
            <w:pPr>
              <w:pStyle w:val="13"/>
            </w:pPr>
            <w:r>
              <w:t>一般行政管理事务</w:t>
            </w:r>
          </w:p>
        </w:tc>
        <w:tc>
          <w:tcPr>
            <w:tcW w:w="2551" w:type="dxa"/>
            <w:vAlign w:val="center"/>
          </w:tcPr>
          <w:p>
            <w:pPr>
              <w:pStyle w:val="12"/>
            </w:pPr>
            <w:r>
              <w:t>265.67</w:t>
            </w:r>
          </w:p>
        </w:tc>
        <w:tc>
          <w:tcPr>
            <w:tcW w:w="2551" w:type="dxa"/>
            <w:vAlign w:val="center"/>
          </w:tcPr>
          <w:p>
            <w:pPr>
              <w:pStyle w:val="12"/>
            </w:pPr>
          </w:p>
        </w:tc>
        <w:tc>
          <w:tcPr>
            <w:tcW w:w="2551" w:type="dxa"/>
            <w:vAlign w:val="center"/>
          </w:tcPr>
          <w:p>
            <w:pPr>
              <w:pStyle w:val="12"/>
            </w:pPr>
            <w:r>
              <w:t>265.67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2010408</w:t>
            </w:r>
          </w:p>
        </w:tc>
        <w:tc>
          <w:tcPr>
            <w:tcW w:w="4535" w:type="dxa"/>
            <w:vAlign w:val="center"/>
          </w:tcPr>
          <w:p>
            <w:pPr>
              <w:pStyle w:val="13"/>
            </w:pPr>
            <w:r>
              <w:t>物价管理</w:t>
            </w:r>
          </w:p>
        </w:tc>
        <w:tc>
          <w:tcPr>
            <w:tcW w:w="2551" w:type="dxa"/>
            <w:vAlign w:val="center"/>
          </w:tcPr>
          <w:p>
            <w:pPr>
              <w:pStyle w:val="12"/>
            </w:pPr>
            <w:r>
              <w:t>16.82</w:t>
            </w:r>
          </w:p>
        </w:tc>
        <w:tc>
          <w:tcPr>
            <w:tcW w:w="2551" w:type="dxa"/>
            <w:vAlign w:val="center"/>
          </w:tcPr>
          <w:p>
            <w:pPr>
              <w:pStyle w:val="12"/>
            </w:pPr>
          </w:p>
        </w:tc>
        <w:tc>
          <w:tcPr>
            <w:tcW w:w="2551" w:type="dxa"/>
            <w:vAlign w:val="center"/>
          </w:tcPr>
          <w:p>
            <w:pPr>
              <w:pStyle w:val="12"/>
            </w:pPr>
            <w:r>
              <w:t>16.82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1510.68</w:t>
            </w:r>
          </w:p>
        </w:tc>
        <w:tc>
          <w:tcPr>
            <w:tcW w:w="2551" w:type="dxa"/>
            <w:vAlign w:val="center"/>
          </w:tcPr>
          <w:p>
            <w:pPr>
              <w:pStyle w:val="12"/>
            </w:pPr>
          </w:p>
        </w:tc>
        <w:tc>
          <w:tcPr>
            <w:tcW w:w="2551" w:type="dxa"/>
            <w:vAlign w:val="center"/>
          </w:tcPr>
          <w:p>
            <w:pPr>
              <w:pStyle w:val="12"/>
            </w:pPr>
            <w:r>
              <w:t>1510.68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21103</w:t>
            </w:r>
          </w:p>
        </w:tc>
        <w:tc>
          <w:tcPr>
            <w:tcW w:w="4535" w:type="dxa"/>
            <w:vAlign w:val="center"/>
          </w:tcPr>
          <w:p>
            <w:pPr>
              <w:pStyle w:val="13"/>
            </w:pPr>
            <w:r>
              <w:t>污染防治</w:t>
            </w:r>
          </w:p>
        </w:tc>
        <w:tc>
          <w:tcPr>
            <w:tcW w:w="2551" w:type="dxa"/>
            <w:vAlign w:val="center"/>
          </w:tcPr>
          <w:p>
            <w:pPr>
              <w:pStyle w:val="12"/>
            </w:pPr>
            <w:r>
              <w:t>1510.68</w:t>
            </w:r>
          </w:p>
        </w:tc>
        <w:tc>
          <w:tcPr>
            <w:tcW w:w="2551" w:type="dxa"/>
            <w:vAlign w:val="center"/>
          </w:tcPr>
          <w:p>
            <w:pPr>
              <w:pStyle w:val="12"/>
            </w:pPr>
          </w:p>
        </w:tc>
        <w:tc>
          <w:tcPr>
            <w:tcW w:w="2551" w:type="dxa"/>
            <w:vAlign w:val="center"/>
          </w:tcPr>
          <w:p>
            <w:pPr>
              <w:pStyle w:val="12"/>
            </w:pPr>
            <w:r>
              <w:t>1510.68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2110301</w:t>
            </w:r>
          </w:p>
        </w:tc>
        <w:tc>
          <w:tcPr>
            <w:tcW w:w="4535" w:type="dxa"/>
            <w:vAlign w:val="center"/>
          </w:tcPr>
          <w:p>
            <w:pPr>
              <w:pStyle w:val="13"/>
            </w:pPr>
            <w:r>
              <w:t>大气</w:t>
            </w:r>
          </w:p>
        </w:tc>
        <w:tc>
          <w:tcPr>
            <w:tcW w:w="2551" w:type="dxa"/>
            <w:vAlign w:val="center"/>
          </w:tcPr>
          <w:p>
            <w:pPr>
              <w:pStyle w:val="12"/>
            </w:pPr>
            <w:r>
              <w:t>1510.68</w:t>
            </w:r>
          </w:p>
        </w:tc>
        <w:tc>
          <w:tcPr>
            <w:tcW w:w="2551" w:type="dxa"/>
            <w:vAlign w:val="center"/>
          </w:tcPr>
          <w:p>
            <w:pPr>
              <w:pStyle w:val="12"/>
            </w:pPr>
          </w:p>
        </w:tc>
        <w:tc>
          <w:tcPr>
            <w:tcW w:w="2551" w:type="dxa"/>
            <w:vAlign w:val="center"/>
          </w:tcPr>
          <w:p>
            <w:pPr>
              <w:pStyle w:val="12"/>
            </w:pPr>
            <w:r>
              <w:t>1510.68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880.67</w:t>
            </w:r>
          </w:p>
        </w:tc>
        <w:tc>
          <w:tcPr>
            <w:tcW w:w="2551" w:type="dxa"/>
            <w:vAlign w:val="center"/>
          </w:tcPr>
          <w:p>
            <w:pPr>
              <w:pStyle w:val="16"/>
            </w:pPr>
            <w:r>
              <w:t>790.01</w:t>
            </w:r>
          </w:p>
        </w:tc>
        <w:tc>
          <w:tcPr>
            <w:tcW w:w="2551" w:type="dxa"/>
            <w:vAlign w:val="center"/>
          </w:tcPr>
          <w:p>
            <w:pPr>
              <w:pStyle w:val="16"/>
            </w:pPr>
            <w:r>
              <w:t>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577.06</w:t>
            </w:r>
          </w:p>
        </w:tc>
        <w:tc>
          <w:tcPr>
            <w:tcW w:w="2551" w:type="dxa"/>
            <w:vAlign w:val="center"/>
          </w:tcPr>
          <w:p>
            <w:pPr>
              <w:pStyle w:val="12"/>
            </w:pPr>
            <w:r>
              <w:t>577.06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220.10</w:t>
            </w:r>
          </w:p>
        </w:tc>
        <w:tc>
          <w:tcPr>
            <w:tcW w:w="2551" w:type="dxa"/>
            <w:vAlign w:val="center"/>
          </w:tcPr>
          <w:p>
            <w:pPr>
              <w:pStyle w:val="12"/>
            </w:pPr>
            <w:r>
              <w:t>220.10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86.31</w:t>
            </w:r>
          </w:p>
        </w:tc>
        <w:tc>
          <w:tcPr>
            <w:tcW w:w="2551" w:type="dxa"/>
            <w:vAlign w:val="center"/>
          </w:tcPr>
          <w:p>
            <w:pPr>
              <w:pStyle w:val="12"/>
            </w:pPr>
            <w:r>
              <w:t>86.31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74.16</w:t>
            </w:r>
          </w:p>
        </w:tc>
        <w:tc>
          <w:tcPr>
            <w:tcW w:w="2551" w:type="dxa"/>
            <w:vAlign w:val="center"/>
          </w:tcPr>
          <w:p>
            <w:pPr>
              <w:pStyle w:val="12"/>
            </w:pPr>
            <w:r>
              <w:t>74.16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45.00</w:t>
            </w:r>
          </w:p>
        </w:tc>
        <w:tc>
          <w:tcPr>
            <w:tcW w:w="2551" w:type="dxa"/>
            <w:vAlign w:val="center"/>
          </w:tcPr>
          <w:p>
            <w:pPr>
              <w:pStyle w:val="12"/>
            </w:pPr>
            <w:r>
              <w:t>45.00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59.62</w:t>
            </w:r>
          </w:p>
        </w:tc>
        <w:tc>
          <w:tcPr>
            <w:tcW w:w="2551" w:type="dxa"/>
            <w:vAlign w:val="center"/>
          </w:tcPr>
          <w:p>
            <w:pPr>
              <w:pStyle w:val="12"/>
            </w:pPr>
            <w:r>
              <w:t>59.62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23.96</w:t>
            </w:r>
          </w:p>
        </w:tc>
        <w:tc>
          <w:tcPr>
            <w:tcW w:w="2551" w:type="dxa"/>
            <w:vAlign w:val="center"/>
          </w:tcPr>
          <w:p>
            <w:pPr>
              <w:pStyle w:val="12"/>
            </w:pPr>
            <w:r>
              <w:t>23.96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12.18</w:t>
            </w:r>
          </w:p>
        </w:tc>
        <w:tc>
          <w:tcPr>
            <w:tcW w:w="2551" w:type="dxa"/>
            <w:vAlign w:val="center"/>
          </w:tcPr>
          <w:p>
            <w:pPr>
              <w:pStyle w:val="12"/>
            </w:pPr>
            <w:r>
              <w:t>12.18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2.51</w:t>
            </w:r>
          </w:p>
        </w:tc>
        <w:tc>
          <w:tcPr>
            <w:tcW w:w="2551" w:type="dxa"/>
            <w:vAlign w:val="center"/>
          </w:tcPr>
          <w:p>
            <w:pPr>
              <w:pStyle w:val="12"/>
            </w:pPr>
            <w:r>
              <w:t>2.51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47.79</w:t>
            </w:r>
          </w:p>
        </w:tc>
        <w:tc>
          <w:tcPr>
            <w:tcW w:w="2551" w:type="dxa"/>
            <w:vAlign w:val="center"/>
          </w:tcPr>
          <w:p>
            <w:pPr>
              <w:pStyle w:val="12"/>
            </w:pPr>
            <w:r>
              <w:t>47.79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5.43</w:t>
            </w:r>
          </w:p>
        </w:tc>
        <w:tc>
          <w:tcPr>
            <w:tcW w:w="2551" w:type="dxa"/>
            <w:vAlign w:val="center"/>
          </w:tcPr>
          <w:p>
            <w:pPr>
              <w:pStyle w:val="12"/>
            </w:pPr>
            <w:r>
              <w:t>5.43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90.66</w:t>
            </w:r>
          </w:p>
        </w:tc>
        <w:tc>
          <w:tcPr>
            <w:tcW w:w="2551" w:type="dxa"/>
            <w:vAlign w:val="center"/>
          </w:tcPr>
          <w:p>
            <w:pPr>
              <w:pStyle w:val="12"/>
            </w:pPr>
          </w:p>
        </w:tc>
        <w:tc>
          <w:tcPr>
            <w:tcW w:w="2551" w:type="dxa"/>
            <w:vAlign w:val="center"/>
          </w:tcPr>
          <w:p>
            <w:pPr>
              <w:pStyle w:val="12"/>
            </w:pPr>
            <w:r>
              <w:t>90.66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24.00</w:t>
            </w:r>
          </w:p>
        </w:tc>
        <w:tc>
          <w:tcPr>
            <w:tcW w:w="2551" w:type="dxa"/>
            <w:vAlign w:val="center"/>
          </w:tcPr>
          <w:p>
            <w:pPr>
              <w:pStyle w:val="12"/>
            </w:pPr>
          </w:p>
        </w:tc>
        <w:tc>
          <w:tcPr>
            <w:tcW w:w="2551" w:type="dxa"/>
            <w:vAlign w:val="center"/>
          </w:tcPr>
          <w:p>
            <w:pPr>
              <w:pStyle w:val="12"/>
            </w:pPr>
            <w:r>
              <w:t>24.00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2.91</w:t>
            </w:r>
          </w:p>
        </w:tc>
        <w:tc>
          <w:tcPr>
            <w:tcW w:w="2551" w:type="dxa"/>
            <w:vAlign w:val="center"/>
          </w:tcPr>
          <w:p>
            <w:pPr>
              <w:pStyle w:val="12"/>
            </w:pPr>
          </w:p>
        </w:tc>
        <w:tc>
          <w:tcPr>
            <w:tcW w:w="2551" w:type="dxa"/>
            <w:vAlign w:val="center"/>
          </w:tcPr>
          <w:p>
            <w:pPr>
              <w:pStyle w:val="12"/>
            </w:pPr>
            <w:r>
              <w:t>2.91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15.84</w:t>
            </w:r>
          </w:p>
        </w:tc>
        <w:tc>
          <w:tcPr>
            <w:tcW w:w="2551" w:type="dxa"/>
            <w:vAlign w:val="center"/>
          </w:tcPr>
          <w:p>
            <w:pPr>
              <w:pStyle w:val="12"/>
            </w:pPr>
          </w:p>
        </w:tc>
        <w:tc>
          <w:tcPr>
            <w:tcW w:w="2551" w:type="dxa"/>
            <w:vAlign w:val="center"/>
          </w:tcPr>
          <w:p>
            <w:pPr>
              <w:pStyle w:val="12"/>
            </w:pPr>
            <w:r>
              <w:t>15.84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7.57</w:t>
            </w:r>
          </w:p>
        </w:tc>
        <w:tc>
          <w:tcPr>
            <w:tcW w:w="2551" w:type="dxa"/>
            <w:vAlign w:val="center"/>
          </w:tcPr>
          <w:p>
            <w:pPr>
              <w:pStyle w:val="12"/>
            </w:pPr>
          </w:p>
        </w:tc>
        <w:tc>
          <w:tcPr>
            <w:tcW w:w="2551" w:type="dxa"/>
            <w:vAlign w:val="center"/>
          </w:tcPr>
          <w:p>
            <w:pPr>
              <w:pStyle w:val="12"/>
            </w:pPr>
            <w:r>
              <w:t>7.57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4.47</w:t>
            </w:r>
          </w:p>
        </w:tc>
        <w:tc>
          <w:tcPr>
            <w:tcW w:w="2551" w:type="dxa"/>
            <w:vAlign w:val="center"/>
          </w:tcPr>
          <w:p>
            <w:pPr>
              <w:pStyle w:val="12"/>
            </w:pPr>
          </w:p>
        </w:tc>
        <w:tc>
          <w:tcPr>
            <w:tcW w:w="2551" w:type="dxa"/>
            <w:vAlign w:val="center"/>
          </w:tcPr>
          <w:p>
            <w:pPr>
              <w:pStyle w:val="12"/>
            </w:pPr>
            <w:r>
              <w:t>4.47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8.73</w:t>
            </w:r>
          </w:p>
        </w:tc>
        <w:tc>
          <w:tcPr>
            <w:tcW w:w="2551" w:type="dxa"/>
            <w:vAlign w:val="center"/>
          </w:tcPr>
          <w:p>
            <w:pPr>
              <w:pStyle w:val="12"/>
            </w:pPr>
          </w:p>
        </w:tc>
        <w:tc>
          <w:tcPr>
            <w:tcW w:w="2551" w:type="dxa"/>
            <w:vAlign w:val="center"/>
          </w:tcPr>
          <w:p>
            <w:pPr>
              <w:pStyle w:val="12"/>
            </w:pPr>
            <w:r>
              <w:t>8.73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21.00</w:t>
            </w:r>
          </w:p>
        </w:tc>
        <w:tc>
          <w:tcPr>
            <w:tcW w:w="2551" w:type="dxa"/>
            <w:vAlign w:val="center"/>
          </w:tcPr>
          <w:p>
            <w:pPr>
              <w:pStyle w:val="12"/>
            </w:pPr>
          </w:p>
        </w:tc>
        <w:tc>
          <w:tcPr>
            <w:tcW w:w="2551" w:type="dxa"/>
            <w:vAlign w:val="center"/>
          </w:tcPr>
          <w:p>
            <w:pPr>
              <w:pStyle w:val="12"/>
            </w:pPr>
            <w:r>
              <w:t>21.00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6.14</w:t>
            </w:r>
          </w:p>
        </w:tc>
        <w:tc>
          <w:tcPr>
            <w:tcW w:w="2551" w:type="dxa"/>
            <w:vAlign w:val="center"/>
          </w:tcPr>
          <w:p>
            <w:pPr>
              <w:pStyle w:val="12"/>
            </w:pPr>
          </w:p>
        </w:tc>
        <w:tc>
          <w:tcPr>
            <w:tcW w:w="2551" w:type="dxa"/>
            <w:vAlign w:val="center"/>
          </w:tcPr>
          <w:p>
            <w:pPr>
              <w:pStyle w:val="12"/>
            </w:pPr>
            <w:r>
              <w:t>6.14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212.95</w:t>
            </w:r>
          </w:p>
        </w:tc>
        <w:tc>
          <w:tcPr>
            <w:tcW w:w="2551" w:type="dxa"/>
            <w:vAlign w:val="center"/>
          </w:tcPr>
          <w:p>
            <w:pPr>
              <w:pStyle w:val="12"/>
            </w:pPr>
            <w:r>
              <w:t>212.95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199.79</w:t>
            </w:r>
          </w:p>
        </w:tc>
        <w:tc>
          <w:tcPr>
            <w:tcW w:w="2551" w:type="dxa"/>
            <w:vAlign w:val="center"/>
          </w:tcPr>
          <w:p>
            <w:pPr>
              <w:pStyle w:val="12"/>
            </w:pPr>
            <w:r>
              <w:t>199.79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13.16</w:t>
            </w:r>
          </w:p>
        </w:tc>
        <w:tc>
          <w:tcPr>
            <w:tcW w:w="2551" w:type="dxa"/>
            <w:vAlign w:val="center"/>
          </w:tcPr>
          <w:p>
            <w:pPr>
              <w:pStyle w:val="12"/>
            </w:pPr>
            <w:r>
              <w:t>13.16</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616.40</w:t>
            </w:r>
          </w:p>
        </w:tc>
        <w:tc>
          <w:tcPr>
            <w:tcW w:w="2551" w:type="dxa"/>
            <w:vAlign w:val="center"/>
          </w:tcPr>
          <w:p>
            <w:pPr>
              <w:pStyle w:val="16"/>
            </w:pPr>
          </w:p>
        </w:tc>
        <w:tc>
          <w:tcPr>
            <w:tcW w:w="2551" w:type="dxa"/>
            <w:vAlign w:val="center"/>
          </w:tcPr>
          <w:p>
            <w:pPr>
              <w:pStyle w:val="16"/>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215</w:t>
            </w:r>
          </w:p>
        </w:tc>
        <w:tc>
          <w:tcPr>
            <w:tcW w:w="4535" w:type="dxa"/>
            <w:vAlign w:val="center"/>
          </w:tcPr>
          <w:p>
            <w:pPr>
              <w:pStyle w:val="13"/>
            </w:pPr>
            <w:r>
              <w:t>资源勘探工业信息等支出</w:t>
            </w:r>
          </w:p>
        </w:tc>
        <w:tc>
          <w:tcPr>
            <w:tcW w:w="2551" w:type="dxa"/>
            <w:vAlign w:val="center"/>
          </w:tcPr>
          <w:p>
            <w:pPr>
              <w:pStyle w:val="12"/>
            </w:pPr>
            <w:r>
              <w:t>616.40</w:t>
            </w:r>
          </w:p>
        </w:tc>
        <w:tc>
          <w:tcPr>
            <w:tcW w:w="2551" w:type="dxa"/>
            <w:vAlign w:val="center"/>
          </w:tcPr>
          <w:p>
            <w:pPr>
              <w:pStyle w:val="12"/>
            </w:pPr>
          </w:p>
        </w:tc>
        <w:tc>
          <w:tcPr>
            <w:tcW w:w="2551" w:type="dxa"/>
            <w:vAlign w:val="center"/>
          </w:tcPr>
          <w:p>
            <w:pPr>
              <w:pStyle w:val="12"/>
            </w:pPr>
            <w:r>
              <w:t>616.40</w:t>
            </w: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21598</w:t>
            </w:r>
          </w:p>
        </w:tc>
        <w:tc>
          <w:tcPr>
            <w:tcW w:w="4535" w:type="dxa"/>
            <w:vAlign w:val="center"/>
          </w:tcPr>
          <w:p>
            <w:pPr>
              <w:pStyle w:val="13"/>
            </w:pPr>
            <w:r>
              <w:t>超长期特别国债安排的支出</w:t>
            </w:r>
          </w:p>
        </w:tc>
        <w:tc>
          <w:tcPr>
            <w:tcW w:w="2551" w:type="dxa"/>
            <w:vAlign w:val="center"/>
          </w:tcPr>
          <w:p>
            <w:pPr>
              <w:pStyle w:val="12"/>
            </w:pPr>
            <w:r>
              <w:t>616.40</w:t>
            </w:r>
          </w:p>
        </w:tc>
        <w:tc>
          <w:tcPr>
            <w:tcW w:w="2551" w:type="dxa"/>
            <w:vAlign w:val="center"/>
          </w:tcPr>
          <w:p>
            <w:pPr>
              <w:pStyle w:val="12"/>
            </w:pPr>
          </w:p>
        </w:tc>
        <w:tc>
          <w:tcPr>
            <w:tcW w:w="2551" w:type="dxa"/>
            <w:vAlign w:val="center"/>
          </w:tcPr>
          <w:p>
            <w:pPr>
              <w:pStyle w:val="12"/>
            </w:pPr>
            <w:r>
              <w:t>616.40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2159802</w:t>
            </w:r>
          </w:p>
        </w:tc>
        <w:tc>
          <w:tcPr>
            <w:tcW w:w="4535" w:type="dxa"/>
            <w:vAlign w:val="center"/>
          </w:tcPr>
          <w:p>
            <w:pPr>
              <w:pStyle w:val="13"/>
            </w:pPr>
            <w:r>
              <w:t>制造业</w:t>
            </w:r>
          </w:p>
        </w:tc>
        <w:tc>
          <w:tcPr>
            <w:tcW w:w="2551" w:type="dxa"/>
            <w:vAlign w:val="center"/>
          </w:tcPr>
          <w:p>
            <w:pPr>
              <w:pStyle w:val="12"/>
            </w:pPr>
            <w:r>
              <w:t>616.40</w:t>
            </w:r>
          </w:p>
        </w:tc>
        <w:tc>
          <w:tcPr>
            <w:tcW w:w="2551" w:type="dxa"/>
            <w:vAlign w:val="center"/>
          </w:tcPr>
          <w:p>
            <w:pPr>
              <w:pStyle w:val="12"/>
            </w:pPr>
          </w:p>
        </w:tc>
        <w:tc>
          <w:tcPr>
            <w:tcW w:w="2551" w:type="dxa"/>
            <w:vAlign w:val="center"/>
          </w:tcPr>
          <w:p>
            <w:pPr>
              <w:pStyle w:val="12"/>
            </w:pPr>
            <w:r>
              <w:t>616.40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303晋州市发展和改革局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“三公”经费小计</w:t>
            </w:r>
          </w:p>
        </w:tc>
        <w:tc>
          <w:tcPr>
            <w:tcW w:w="2381" w:type="dxa"/>
            <w:vAlign w:val="center"/>
          </w:tcPr>
          <w:p>
            <w:pPr>
              <w:pStyle w:val="16"/>
            </w:pPr>
            <w:r>
              <w:t>8.73</w:t>
            </w:r>
          </w:p>
        </w:tc>
        <w:tc>
          <w:tcPr>
            <w:tcW w:w="2381" w:type="dxa"/>
            <w:vAlign w:val="center"/>
          </w:tcPr>
          <w:p>
            <w:pPr>
              <w:pStyle w:val="16"/>
            </w:pPr>
            <w:r>
              <w:t>8.73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二、公务用车购置及运维费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公务用车运行维护费</w:t>
            </w:r>
          </w:p>
        </w:tc>
        <w:tc>
          <w:tcPr>
            <w:tcW w:w="2381" w:type="dxa"/>
            <w:vAlign w:val="center"/>
          </w:tcPr>
          <w:p>
            <w:pPr>
              <w:pStyle w:val="12"/>
            </w:pPr>
            <w:r>
              <w:t>8.73</w:t>
            </w:r>
          </w:p>
        </w:tc>
        <w:tc>
          <w:tcPr>
            <w:tcW w:w="2381" w:type="dxa"/>
            <w:vAlign w:val="center"/>
          </w:tcPr>
          <w:p>
            <w:pPr>
              <w:pStyle w:val="12"/>
            </w:pPr>
            <w:r>
              <w:t>8.73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晋州市发展和改革局2026年部门预算信息公开情况说明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晋州市发展和改革局2026年部门预算信息公开情况说明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按照《中华人民共和国预算法》、《地方预决算公开操作规程》和《关于进一步推进预算公开工作的实施意见》规定，现将晋州市发展和改革局2026年部门预算公开如下：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一）拟订并组织实施全市国民经济和社会发展战略、中长期规划和年度计划。牵头组织统一规划体系建设。负责市级专项规划、区域规划、空间规划与全市发展规划的统筹衔接。贯彻落实国民经济和社会发展、经济体制改革和对外开放的有关地方性法规，政府规章，制定规范性文件。</w:t>
      </w:r>
    </w:p>
    <w:p>
      <w:pPr>
        <w:pStyle w:val="18"/>
      </w:pPr>
      <w:r>
        <w:t>（二）提出加快建设全市现代化经济体系、推动高质量发展的总体目标、重大任务以及相关政策。组织开展重大战略规划、重大政策、重大工程等的评估督导，提出相关调整建议。</w:t>
      </w:r>
    </w:p>
    <w:p>
      <w:pPr>
        <w:pStyle w:val="18"/>
      </w:pPr>
      <w:r>
        <w:t>（三）贯彻落实国家、省、石家庄市宏观调控政策，统筹提出全市国民经济和社会发展主要目标，监测预测预警宏观经济和社会发展态势趋势，提出经济调节政策建议。综合协调经济调节政策，牵头研究应对措施。调节经济运行，协调解决经济运行中的重大问题。参与贯彻落实国家、省、石家庄市财政政策、货币政策和土地政策。</w:t>
      </w:r>
    </w:p>
    <w:p>
      <w:pPr>
        <w:pStyle w:val="18"/>
      </w:pPr>
      <w:r>
        <w:t>（四）指导推进和综合协调经济体制改革有关工作，提出相关改革建议。牵头推进供给侧结构性改革。协调推进产权制度和要素市场化配置改革。落实国家、省、石家庄市完善基本经济制度政策，推动现代化市场体系建设，会同有关部门组织实施市场准入负面清单制度。牵头推进优化营商环境工作。负责生产经营类事业单位管理体制改革工作。</w:t>
      </w:r>
    </w:p>
    <w:p>
      <w:pPr>
        <w:pStyle w:val="18"/>
      </w:pPr>
      <w:r>
        <w:t>（五）提出全市利用外资和境外投资的战略、规划、总量平衡和结构优化政策。牵头推进实施全市“一带一路”建设有关工作。承担统筹协调走出去有关工作。负责全市全口径外债的总量控制、结构优化和监测工作。</w:t>
      </w:r>
    </w:p>
    <w:p>
      <w:pPr>
        <w:pStyle w:val="18"/>
      </w:pPr>
      <w:r>
        <w:t>（六）负责全市投资综合管理。拟订全市固定资产投资总规模、结构调控目标和政策，规划全市重点建设项目和生产力布局，组织推动重点建设项目。拟订并推动落实鼓励民间投资政策措施。</w:t>
      </w:r>
    </w:p>
    <w:p>
      <w:pPr>
        <w:pStyle w:val="18"/>
      </w:pPr>
      <w:r>
        <w:t>（七）推进落实区域协调发展战略、新型城镇化战略和重大政策，组织拟订相关区域规划和政策。落实推进实施京津冀协同发展等区域发展战略。组织编制并推动实施新型城镇化规划。</w:t>
      </w:r>
    </w:p>
    <w:p>
      <w:pPr>
        <w:pStyle w:val="18"/>
      </w:pPr>
      <w:r>
        <w:t>（八）贯彻实施国家、省、石家庄市产业政策，拟订全市综合性产业政策。协调一二三产业发展重大问题并统筹衔接相关发展规划和重大政策。协调推进重大基础设施建设发展，拟订服务业及现代物流业战略规划和重大政策并组织实施。综合研判消费变动趋势，拟订实施促进消费的综合性政策措施。</w:t>
      </w:r>
    </w:p>
    <w:p>
      <w:pPr>
        <w:pStyle w:val="18"/>
      </w:pPr>
      <w:r>
        <w:t>（九）推动实施全市创新驱动发展战略。会同相关部门拟订全市推进创新创业的规划和政策，提出创新发展和培育经济发展新动能的政策。会同相关部门规划布局市级重大科技基础设施。组织拟订并推动实施高技术产业和战略性新兴产业及数字经济发展规划政策，协调产业升级、重大技术装备推广应用等方面重大问题。</w:t>
      </w:r>
    </w:p>
    <w:p>
      <w:pPr>
        <w:pStyle w:val="18"/>
      </w:pPr>
      <w:r>
        <w:t>（十）跟踪研判涉及经济安全、生态安全、资源安全、科技安全、社会安全等各类风险隐患，提出相关工作建议。协调落实重要工业品、原材料和重要农产品进出口调控措施。会同有关部门拟订全市储备物资品种目录、总体发展规划。</w:t>
      </w:r>
    </w:p>
    <w:p>
      <w:pPr>
        <w:pStyle w:val="18"/>
      </w:pPr>
      <w:r>
        <w:t>（十一）负责全市社会发展与国民经济发展的政策衔接，协调有关重大问题。拟订社会发展战略、总体规划，统筹推进基本公共服务体系建设和收入分配制度改革，提出促进就业、完善社会保障与经济协调发展的政策建议。</w:t>
      </w:r>
    </w:p>
    <w:p>
      <w:pPr>
        <w:pStyle w:val="18"/>
      </w:pPr>
      <w:r>
        <w:t>（十二）推进实施可持续发展战略，推动生态文明建设和改革，协调生态环境保护与修复、能源资源节约和综合利用等工作。提出健全生态保护补偿机制的政策措施，综合协调环保产业和清洁生产促进有关工作。提出全市能源消费控制目标、任务并组织实施。</w:t>
      </w:r>
    </w:p>
    <w:p>
      <w:pPr>
        <w:pStyle w:val="18"/>
      </w:pPr>
      <w:r>
        <w:t>（十三）组织拟订推进全市经济建设与国防建设协调发展的战略和规划，组织推进经济建设项目贯彻国防要求。</w:t>
      </w:r>
    </w:p>
    <w:p>
      <w:pPr>
        <w:pStyle w:val="18"/>
      </w:pPr>
      <w:r>
        <w:t>（十四）拟订并组织实施有关价格政策，组织制定由市级管理的重要商品、服务价格和重要收费标准。负责价格（收费）申诉案件行政复议和裁决，负责对司法、纪检监察、行政机关及仲裁机构办理的各种案件涉案物品进行价格鉴定。</w:t>
      </w:r>
    </w:p>
    <w:p>
      <w:pPr>
        <w:pStyle w:val="18"/>
      </w:pPr>
      <w:r>
        <w:t>（十五）提出全市能源发展战略建议，拟订能源发展规划、产业政策和年度制定计划并组织实施。负责能源行业节能和资源综合利用。负责冶金矿产品生产经营监督管理工作;负责煤炭、天然气等能源市场监管职责；负责散装水泥推广管理工作。</w:t>
      </w:r>
    </w:p>
    <w:p>
      <w:pPr>
        <w:pStyle w:val="18"/>
      </w:pPr>
      <w:r>
        <w:t>（十六）拟订全市粮食流通规划并组织实施。负责粮食行业发展和粮食流通设施建设，承担全市粮食流通宏观调控，落实国家、省、石家庄市粮食购销政策和粮食质量标准。负责粮食流通、加工行业安全生产的监督管理，负责粮食流通监督检查，负责粮食收购、储存、运输环节粮食质量安全和原粮卫生的监督管理，组织实施全市粮食库存检查工作。承担粮食安全市长责任制考核日常工作。</w:t>
      </w:r>
    </w:p>
    <w:p>
      <w:pPr>
        <w:pStyle w:val="18"/>
      </w:pPr>
      <w:r>
        <w:t>（十七）拟订市级粮食、食糖、食盐和救灾物资储备规划、储备品种目录并组织实施，负责物资储备基础设施建设以及收储、轮换和日常管理工作，承担物资承储企业以及物资储备承储单位安全的监管责任，落实有关动用计划和指令。监测粮食、食糖、食盐等物资供求变化并预测预警；会同有关部门管理棉花等重要商品储备工作。</w:t>
      </w:r>
    </w:p>
    <w:p>
      <w:pPr>
        <w:pStyle w:val="18"/>
      </w:pPr>
      <w:r>
        <w:t>（十八）协调、管理、推动口岸建设和物流业发展，以及重大物流园区和物流项目建设等相关工作。</w:t>
      </w:r>
    </w:p>
    <w:p>
      <w:pPr>
        <w:pStyle w:val="18"/>
      </w:pPr>
      <w:r>
        <w:t>(十九)贯彻落实党中央和省委、市委关于人防工作的方针政策和决策部署，坚持和加强党对人防工作的集中统一领导。拟订全市人民防空发展规划、年度工作计划并组织实施。</w:t>
      </w:r>
    </w:p>
    <w:p>
      <w:pPr>
        <w:pStyle w:val="18"/>
      </w:pPr>
      <w:r>
        <w:t>（二十）组织实施国民经济、装备动员，交通战备保障等工作。</w:t>
      </w:r>
    </w:p>
    <w:p>
      <w:pPr>
        <w:pStyle w:val="18"/>
      </w:pPr>
      <w:r>
        <w:t>（二十一）完成市委、市政府交办的其他任务。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晋州市发展和改革局本级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按照预算管理有关规定，目前部门预算的编制实行综合预算管理，即全部收入和支出都反映在预算中。晋州市发展和改革局机关及所属事业单位的收支包含在部门预算中。</w:t>
      </w:r>
    </w:p>
    <w:p>
      <w:pPr>
        <w:pStyle w:val="19"/>
      </w:pPr>
      <w:r>
        <w:t>1、收入说明</w:t>
      </w:r>
    </w:p>
    <w:p>
      <w:pPr>
        <w:pStyle w:val="19"/>
      </w:pPr>
      <w:r>
        <w:t>反映本部门当年全部收入。2026年预算收入3290.24万元，其中：一般公共预算收入2609.85万元，基金预算收入0.00万元，国有资本经营预算收入0.00万元，财政专户核拨收入0.00万元，单位资金收入0.00万元，上年结转结余680.39万元。</w:t>
      </w:r>
    </w:p>
    <w:p>
      <w:pPr>
        <w:pStyle w:val="19"/>
      </w:pPr>
      <w:r>
        <w:t>2、支出说明</w:t>
      </w:r>
    </w:p>
    <w:p>
      <w:pPr>
        <w:pStyle w:val="19"/>
      </w:pPr>
      <w:r>
        <w:t>收支预算总表支出栏、基本支出表、项目支出表按经济分类和支出功能分类科目编制，反映晋州市发展和改革局年度部门预算中支出预算的总体情况。2026年支出预算3290.24万元，其中基本支出880.67万元，包括人员经费790.01万元和日常公用经费90.66万元；项目支出2409.57万元，主要为大气污染防治资金1344.78万元；2024年中央第二批超长期特别国债616.4万元；粮食企业人员安置费用190万元；2025-2026年采暖季农村煤改气用户天然气销售价格补贴165.9万元；退役军人相关费用33.33万元；其他劳务派遣人员31.34万元；农产品调查和重要商品应急价格调查资金8.82万元；刑事案件价格认定费用8万元；救灾物资保管费4万元；人民防空办公室经费4万元；粮食执法经费3万元；预计下年使用的单位资金结余0.00万元。委托业务费共计安排31.34万元，主要用于因技术原因确需对外委托的辅助性工作和确有必要对外委托开展咨询、评审、规划等工作。</w:t>
      </w:r>
    </w:p>
    <w:p>
      <w:pPr>
        <w:pStyle w:val="19"/>
      </w:pPr>
      <w:r>
        <w:t>3、比上年增减情况</w:t>
      </w:r>
    </w:p>
    <w:p>
      <w:pPr>
        <w:pStyle w:val="19"/>
      </w:pPr>
      <w:r>
        <w:t>2026年预算收支安排3290.24万元，较2025年预算减少1799.66万元，其中：基本支出减少14.84万元，主要为人员比去年同期减少，致使基本支出减少。项目支出减少1784.82万元，主要为一是减少超长期特别国债资金，二是上级减少了大气污染防治资金的下达。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2026年，我部门机关运行经费共计安排90.66万元，主要用于日常维修、办公用房水电费、办公用房取暖费、办公用房物业管理费等日常运行支出。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8.73万元，其中因公出国（境）费0.00万元；公务用车购置及运维费8.73万元（其中：公务用车购置费为0.00万元，公务用车运维费8.73万元)；公务接待费0.00万元。与2025年相比减少0.27万元，增减变化的主要原因是厉行节俭，减少公车运行维护费用。</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贯彻落实党中央、省、石家庄市和晋州市委关于发展改革工作的方针政策和决策部署，坚持和加强党对发展改革工作的集中统一领导。拟订并组织实施全县经济和社会发展战略、中长期规划和年度计划。研究分析县内外经济形势和发展情况，进行宏观经济的预测、预警。组织对全县经济和社会发展中的重大问题和热点、难点问题的调查研究，提出对策建议。负责汇总和分析全县财政、金融等方面的情况。研究全县经济体制改革和对外开放的综合性、全局性问题及对策，提出以改革开放促进发展的建议，协调发展与改革中的重大问题。提出全县全社会固定资产投资总规模、投资结构，编制年度投资计划；研究提出有关重大投资政策，规划重大项目和生产力布局。负责指导和协调全县招标投标工作。负责承办重大建设项目稽察工作有关事项。研究分析全县经济结构的状况，提出优化所有制结构的建议，研究分析县域经济和城镇化发展情况，提出县域经济协调发展和实施西部大开发战略的规划，提出城镇化发展战略和政策措施建议。研究分析县内外市场状况。做好人口和计划生育、科学技术、教育、文化、卫生等社会事业以及国防动员与经济发展的衔接平衡。推进可持续发展战略，研究拟订全县资源开发与综合利用、环境保护、生态建设等规划，参与组织协调规划的实施。研究提出促进就业、调整收入分配、完善社会保障与经济协调发展的政策措施。指导和协调物价、粮食综合平衡与宏观调控工作。归口管理全县经济信息产业和工程咨询行业。拟订全市粮食流通规划并组织实施。拟订市级粮食、食糖、食盐和救灾物资储备规划、储备品种目录并组织实施。承担粮食安全市长责任制考核日常工作。拟订全市人民防空发展规划、年度工作计划并组织实施。组织实施国民经济、装备动员，交通战备保障等工作。承办县政府交办的其他事项。</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组织编制经济社会发展规划和计划,拟定全市经济社会发展中长期规划，对规划执行情况监测预测、中期评估及动态调整，统筹协调市级专项规划和区域规划；研究分析全市经济和社会发展重大战略与布局，拟定全市年度经济社会发展计划，并受市政府委托向县人大作全市国民经济和社会发展计划报告。编制和拟订全市重点领域、重要产业和县域发展等战略规划和计划，研究提出落实措施等建议。</w:t>
      </w:r>
    </w:p>
    <w:p>
      <w:pPr>
        <w:pStyle w:val="23"/>
      </w:pPr>
      <w:r>
        <w:t>绩效目标：增强规划和计划的前瞻性、科学性、可操作性；规划目标全面、先进、可行；组织落实措施得力，调度有序。</w:t>
      </w:r>
      <w:r>
        <w:tab/>
      </w:r>
    </w:p>
    <w:p>
      <w:pPr>
        <w:pStyle w:val="23"/>
      </w:pPr>
      <w:r>
        <w:t>绩效指标：各类经济社会发展中长期规划编制完成率≥95%。</w:t>
      </w:r>
    </w:p>
    <w:p>
      <w:pPr>
        <w:pStyle w:val="23"/>
      </w:pPr>
      <w:r>
        <w:t>（二）推进全市改革开放经济及合作，实施综合性改革方案，组织实施重要改革事项，统筹推动全市综合配套改革试点和专项改革试点。统筹全市重大公共服务资源布局和相关项目的计划实施，促进公共服务资源有效整合和协调配置。</w:t>
      </w:r>
    </w:p>
    <w:p>
      <w:pPr>
        <w:pStyle w:val="23"/>
      </w:pPr>
      <w:r>
        <w:t>绩效目标：推进经济体制改革，实施经济体制改革、对外开放有关地方性法规，以及对相关规章的起草和实施。</w:t>
      </w:r>
    </w:p>
    <w:p>
      <w:pPr>
        <w:pStyle w:val="23"/>
      </w:pPr>
      <w:r>
        <w:t>绩效指标：推进全市社会信用体系建设、公共服务均等化评估结果，均实现完成规划目标。</w:t>
      </w:r>
    </w:p>
    <w:p>
      <w:pPr>
        <w:pStyle w:val="23"/>
      </w:pPr>
      <w:r>
        <w:t>（三）经济社会发展形势监测分析、运行调节和政策建议，负责全市经济社会发展运行调节、监测，综合协调经济社会发展，进行区域经济的预测、预警；负责日常经济和社会事业发展运行的调节，组织解决经济运行和社会事业发展中重大问题；组织实施全市国民经济、装备动员潜力调查、预案编制、专业队伍组建、动员中心建设。</w:t>
      </w:r>
    </w:p>
    <w:p>
      <w:pPr>
        <w:pStyle w:val="23"/>
      </w:pPr>
      <w:r>
        <w:t>绩效目标：做好经济运行监测分析，协调经济社会运行平稳有序和健康发展，提升全市经济、装备动员能力。</w:t>
      </w:r>
    </w:p>
    <w:p>
      <w:pPr>
        <w:pStyle w:val="23"/>
      </w:pPr>
      <w:r>
        <w:t>绩效指标：调研次数、形势分析或调研报告数量≥2次。</w:t>
      </w:r>
    </w:p>
    <w:p>
      <w:pPr>
        <w:pStyle w:val="23"/>
      </w:pPr>
      <w:r>
        <w:t>（四）经济运行综合协调保障负责煤炭、电力、石油、天然气调度和保障工作，协调解决重大问题，抓好供需总量平衡，保障经济社会发展和人民生活需要；制订经济运行和能源供应预警和应急预案，适时组织能源、运输及重要物资、商品的紧急调度，提出安排和动用应急物资和商品储备的建议；做好粮棉等商品进出口配额的审核上报工作；做好国防建设和国民经济发展的衔接。</w:t>
      </w:r>
    </w:p>
    <w:p>
      <w:pPr>
        <w:pStyle w:val="23"/>
      </w:pPr>
    </w:p>
    <w:p>
      <w:pPr>
        <w:pStyle w:val="23"/>
      </w:pPr>
      <w:r>
        <w:t>绩效目标：做好运行分析、数据上报、要素保障、应急处置、安全管理矿山管理等工作，确保经济社会运行平稳有序和健康发展。</w:t>
      </w:r>
    </w:p>
    <w:p>
      <w:pPr>
        <w:pStyle w:val="23"/>
      </w:pPr>
      <w:r>
        <w:t>绩效指标：月度分析和数据统计报告完成（期）＝12个月。</w:t>
      </w:r>
    </w:p>
    <w:p>
      <w:pPr>
        <w:pStyle w:val="23"/>
      </w:pPr>
      <w:r>
        <w:t>（五）促进全市区域经济发展，加快城镇化、市域经济发展；负责区域经济合作统筹协调；推动沿海、京津冀两大区域发展。</w:t>
      </w:r>
    </w:p>
    <w:p>
      <w:pPr>
        <w:pStyle w:val="23"/>
      </w:pPr>
      <w:r>
        <w:t>绩效目标：促进沿海地区实现率先发展，推动京津冀协同发展。</w:t>
      </w:r>
    </w:p>
    <w:p>
      <w:pPr>
        <w:pStyle w:val="23"/>
      </w:pPr>
      <w:r>
        <w:t>绩效指标：区域经济可持续发展规划实际完成数占区域经济可持续发展规划总数≥90%。</w:t>
      </w:r>
    </w:p>
    <w:p>
      <w:pPr>
        <w:pStyle w:val="23"/>
      </w:pPr>
      <w:r>
        <w:t>（六）推进全市产业结构和转型升级</w:t>
      </w:r>
    </w:p>
    <w:p>
      <w:pPr>
        <w:pStyle w:val="23"/>
      </w:pPr>
      <w:r>
        <w:t>1、促进战略性新兴产业发展，组织实施战略性新兴产业发展战略、规划、政策措施；宣传展示我县战略性新兴产业发展成果。</w:t>
      </w:r>
    </w:p>
    <w:p>
      <w:pPr>
        <w:pStyle w:val="23"/>
      </w:pPr>
      <w:r>
        <w:t>绩效目标：推动产业规模不断壮大，促进产业聚集发展，提升产业竞争力。创新能力稳步提升，协同创新取得成效，创新改革不断变化，创新创业生态环境进一步改善。</w:t>
      </w:r>
    </w:p>
    <w:p>
      <w:pPr>
        <w:pStyle w:val="23"/>
      </w:pPr>
      <w:r>
        <w:t>绩效指标：战略性新兴产业增加值占GDP总值的比重逐年增加。</w:t>
      </w:r>
    </w:p>
    <w:p>
      <w:pPr>
        <w:pStyle w:val="23"/>
      </w:pPr>
      <w:r>
        <w:t>2、推进物流业服务业发展，制定并组织实施加快服务业发展的战略规划，落实有关政策措施，推进服务业项目建设。落实现代物流业发展的相关政策，支持县级物流产业聚集区发展和物流项目建设，进一步完善全县物流基础设施，增强物流企业竞争力。</w:t>
      </w:r>
    </w:p>
    <w:p>
      <w:pPr>
        <w:pStyle w:val="23"/>
      </w:pPr>
      <w:r>
        <w:t>绩效目标：加快市级物流业聚集区建设；加快实际物流产业聚集区、已列入物流发展规划的重点项目、农产品物流项目交易设施改造升级及大型冷链物流项目建设。</w:t>
      </w:r>
    </w:p>
    <w:p>
      <w:pPr>
        <w:pStyle w:val="23"/>
      </w:pPr>
      <w:r>
        <w:t>绩效指标：市级物流产业聚集区、已列入物流发展规划的重点项目、农产品物流项目交易设施改造升级及大型冷链物流项目建设完成率≥90%。</w:t>
      </w:r>
    </w:p>
    <w:p>
      <w:pPr>
        <w:pStyle w:val="23"/>
      </w:pPr>
      <w:r>
        <w:t>3、组织推进物流业及服务业发展，制定并组织实施加快服务业发展的战略规划，落实有关政策措施，推进服务业项目建设。研究提出促进现代物流业发展的相关政策，支持省级物流产业聚集区发展和物流项目建设，进一步完善全省物流基础设施，增强物流企业竞争力，着力推动钢铁、煤炭、农产品三大宗商品交易平台形成规模。</w:t>
      </w:r>
    </w:p>
    <w:p>
      <w:pPr>
        <w:pStyle w:val="23"/>
      </w:pPr>
      <w:r>
        <w:t>绩效目标：加快省级物流产业聚集区建设，争取国家经贸流通领域和服务业产业发展引导资金；加快省级物流产业聚集区、已列入物流发展规划的重点项目、农产品物流项目交易设施改造升级及大型冷链物流项目建设。</w:t>
      </w:r>
    </w:p>
    <w:p>
      <w:pPr>
        <w:pStyle w:val="23"/>
      </w:pPr>
      <w:r>
        <w:t>绩效指标：服务业增加值增长率≥90%。</w:t>
      </w:r>
    </w:p>
    <w:p>
      <w:pPr>
        <w:pStyle w:val="23"/>
      </w:pPr>
      <w:r>
        <w:t>4、促进节能降耗、资源综合利用和生态建设，推进可持续发展战略，组织拟订发展循环经济、全社会资源节约和综合利用、省应对气候变化政策并组织实施；协调生态建设、能源资源节约和综合利用、环保产业和清洁生产促进等工作；推进综合协调节能减排工作，利用专项资金对节能技改、合同能源管理、重点用电行业（领域）和项目电力需求侧管理实施引导和扶持；开展节能监察、监测，加强节能宣传培训，建立碳排放报告、核算、考核及碳排放权交易制度，确保完成节能、削煤、降碳约束性指标；加强散装水泥、新型墙体材料和冶金矿产资源管理。</w:t>
      </w:r>
    </w:p>
    <w:p>
      <w:pPr>
        <w:pStyle w:val="23"/>
      </w:pPr>
      <w:r>
        <w:t>绩效目标：发挥专项资金的引导和激励的作用，通过采取补助、奖励等方式调动企业节能降耗的积极性，确保完成节能、削煤、降碳目标任务；电能使用效率不断提高；积极助推节能减排和大气污染防治；确保实现年度单位GDP能耗下降率。</w:t>
      </w:r>
    </w:p>
    <w:p>
      <w:pPr>
        <w:pStyle w:val="23"/>
      </w:pPr>
      <w:r>
        <w:t>绩效指标：单位GDP能耗下降率≥3%。</w:t>
      </w:r>
    </w:p>
    <w:p>
      <w:pPr>
        <w:pStyle w:val="23"/>
      </w:pPr>
      <w:r>
        <w:t>（七）固定资产投资调控与管理</w:t>
      </w:r>
    </w:p>
    <w:p>
      <w:pPr>
        <w:pStyle w:val="23"/>
      </w:pPr>
      <w:r>
        <w:t>1、拟订社会固定资产投资规模和投资结构的调控目标及措施，衔接政府投资和重大建设项目的专项规划；提出预算内基建建设项目安排建议；开展重点建设项目管理。</w:t>
      </w:r>
    </w:p>
    <w:p>
      <w:pPr>
        <w:pStyle w:val="23"/>
      </w:pPr>
      <w:r>
        <w:t>绩效目标：落实市固定资产投资目标；指导政策性贷款使用，有限引导民间资金用于我市固定资产投资。按时编制并提交年度预算内基建项目安排建议，并落实到具体项目；足额保证市委、市政府确定的重点基建投资项目；落实与中央、省市投资项目配套；及时下达预算内基建项目投资计划，提高市级政务设施服务保障能力。</w:t>
      </w:r>
    </w:p>
    <w:p>
      <w:pPr>
        <w:pStyle w:val="23"/>
      </w:pPr>
      <w:r>
        <w:t>绩效指标：预算内基本建设投资计划执行率95%，预算内基本建设资金完成率≥95%，固定资产投资计划完成率≥95%。</w:t>
      </w:r>
    </w:p>
    <w:p>
      <w:pPr>
        <w:pStyle w:val="23"/>
      </w:pPr>
      <w:r>
        <w:t>2、组织实施全县重点项目和管理，实施县级重点建设项目，编制全县重点建设项目年度工作计划并执行；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对市、县投资政策、投资计划执行情况的监督检查。</w:t>
      </w:r>
    </w:p>
    <w:p>
      <w:pPr>
        <w:pStyle w:val="23"/>
      </w:pPr>
      <w:r>
        <w:t>绩效目标：加强重点项目谋划、协调，推动重点项目顺利实施。加强项目监管，推动项目梳理实施，处罚项目建设中重大突出违法问题。</w:t>
      </w:r>
    </w:p>
    <w:p>
      <w:pPr>
        <w:pStyle w:val="23"/>
      </w:pPr>
      <w:r>
        <w:t>绩效指标：重点项目监督检查覆盖率≥90%。</w:t>
      </w:r>
    </w:p>
    <w:p>
      <w:pPr>
        <w:pStyle w:val="23"/>
      </w:pPr>
      <w:r>
        <w:t>（八）价格总水平调控和价格管理</w:t>
      </w:r>
    </w:p>
    <w:p>
      <w:pPr>
        <w:pStyle w:val="23"/>
      </w:pPr>
      <w:r>
        <w:t>1、涉案资产价格鉴定、认证，办理刑事案件涉案资产价格鉴定；办理民事、经济、仲裁案件涉案资产价格鉴定；对市场主体价格行为的合法性、价格水平的合理性公正性认证；对我市市级价格认证机构出具的价格结论存在异议的案件复核裁定。</w:t>
      </w:r>
    </w:p>
    <w:p>
      <w:pPr>
        <w:pStyle w:val="23"/>
      </w:pPr>
      <w:r>
        <w:t>绩效目标：客观、公正、合理出具价格鉴证结论，维护司法机关公平公正和当事人的合法权益。</w:t>
      </w:r>
    </w:p>
    <w:p>
      <w:pPr>
        <w:pStyle w:val="23"/>
      </w:pPr>
      <w:r>
        <w:t>绩效指标：办案准确率≥95%。</w:t>
      </w:r>
    </w:p>
    <w:p>
      <w:pPr>
        <w:pStyle w:val="23"/>
      </w:pPr>
      <w:r>
        <w:t>2、价格认定，对纪检监察机关查办案件过程中价格不明、价格有争议的涉案财物进行价格认定；接受税务、民政等部门委托，对依法计征的应税物、低保户家庭收入和财产进行价格认证。</w:t>
      </w:r>
    </w:p>
    <w:p>
      <w:pPr>
        <w:pStyle w:val="23"/>
      </w:pPr>
      <w:r>
        <w:t>绩效目标：客观、公正、合理出具价格认证结论，为纪检监察机关、税务机关、民政部门等办理案件提供依据，维护公正公平，保护国家、公民、法人和其他组织的合法权益。</w:t>
      </w:r>
    </w:p>
    <w:p>
      <w:pPr>
        <w:pStyle w:val="23"/>
      </w:pPr>
      <w:r>
        <w:t>绩效指标：案件复核维持率≥95%。</w:t>
      </w:r>
    </w:p>
    <w:p>
      <w:pPr>
        <w:pStyle w:val="23"/>
      </w:pPr>
      <w:r>
        <w:t>（九）价格成本调查和监审</w:t>
      </w:r>
    </w:p>
    <w:p>
      <w:pPr>
        <w:pStyle w:val="23"/>
      </w:pPr>
      <w:r>
        <w:t>1、实施全市农产品成本调查，确定调查品种、调查县、调查户，进行组织实施和检查监督,并对调查品种数据进行收集、审核、汇总、分析。</w:t>
      </w:r>
    </w:p>
    <w:p>
      <w:pPr>
        <w:pStyle w:val="23"/>
      </w:pPr>
      <w:r>
        <w:t>绩效目标：确保农产品调查合理布局，样本具有代表性，提高调查数据的科学性，为国家和省政府提供成本数据、分析预测趋势，为制定宏观经济政策、价格政策、稳定市场物价服务。</w:t>
      </w:r>
    </w:p>
    <w:p>
      <w:pPr>
        <w:pStyle w:val="23"/>
      </w:pPr>
      <w:r>
        <w:t>绩效指标：调查品种样本率≥95%。</w:t>
      </w:r>
    </w:p>
    <w:p>
      <w:pPr>
        <w:pStyle w:val="23"/>
      </w:pPr>
      <w:r>
        <w:t>2、价格成本调查和定价成本监审，建立健全成本信息网络，组织成本汇总和成本分析；对列入《晋州市价格成本监审管理目录》的商品和收费项目进行调定价监审。</w:t>
      </w:r>
    </w:p>
    <w:p>
      <w:pPr>
        <w:pStyle w:val="23"/>
      </w:pPr>
      <w:r>
        <w:t>绩效目标：使成本监审工作规范化、程序化，确保全市成本监审工作依法有序开展，为政府制定价格提供成本数据支撑。</w:t>
      </w:r>
    </w:p>
    <w:p>
      <w:pPr>
        <w:pStyle w:val="23"/>
      </w:pPr>
      <w:r>
        <w:t>绩效指标：商品和收费定价监审率≥95%。</w:t>
      </w:r>
    </w:p>
    <w:p>
      <w:pPr>
        <w:pStyle w:val="23"/>
      </w:pPr>
      <w:r>
        <w:t>（十）粮食调控管理</w:t>
      </w:r>
    </w:p>
    <w:p>
      <w:pPr>
        <w:pStyle w:val="23"/>
      </w:pPr>
      <w:r>
        <w:t>1、粮食统计调查，全面掌握全市粮食流通、仓储设施、粮油加工、粮食库存、国有企业及国有资产运营状况等情况，及时反映粮食市场总体供需状况，为政府制定宏观调控政策提供数字依据。</w:t>
      </w:r>
    </w:p>
    <w:p>
      <w:pPr>
        <w:pStyle w:val="23"/>
      </w:pPr>
      <w:r>
        <w:t>绩效目标：确保粮食产、购、销、存等数据以及仓储设施、国有资产、经济效益等宏观信息及时上报、汇总，保证数据信息全面、完整、准确、及时。</w:t>
      </w:r>
    </w:p>
    <w:p>
      <w:pPr>
        <w:pStyle w:val="23"/>
      </w:pPr>
      <w:r>
        <w:t>绩效指标：数据报送及时率95%。</w:t>
      </w:r>
    </w:p>
    <w:p>
      <w:pPr>
        <w:pStyle w:val="23"/>
      </w:pPr>
      <w:r>
        <w:t>2、储备粮管理，监督检查县级储备粮的数量、质量和储存安全；提出县级储备粮规模、布局、轮换、动用建议；制定县级储备粮各项业务管理制度和相关技术规范并监督执行；审核上报中央储备粮代储企业承储资格；指导地方粮食储备。</w:t>
      </w:r>
    </w:p>
    <w:p>
      <w:pPr>
        <w:pStyle w:val="23"/>
      </w:pPr>
      <w:r>
        <w:t>绩效目标：确保粮食收的进、储的好、用的上。</w:t>
      </w:r>
    </w:p>
    <w:p>
      <w:pPr>
        <w:pStyle w:val="23"/>
      </w:pPr>
      <w:r>
        <w:t>绩效指标：计划落实率95%，质量良好率95%，数量真实率95%。</w:t>
      </w:r>
    </w:p>
    <w:p>
      <w:pPr>
        <w:pStyle w:val="23"/>
      </w:pPr>
      <w:r>
        <w:t>3、粮食流通基础设施建设，制定全市、县粮食现代物流体系、粮食市场体系、粮食流通设施建设规划并组织实施，督导落实计划周期内粮食流通基础设施建设。</w:t>
      </w:r>
    </w:p>
    <w:p>
      <w:pPr>
        <w:pStyle w:val="23"/>
      </w:pPr>
      <w:r>
        <w:t>绩效目标：粮食基础设施与粮食流通需求相匹配，粮食仓储损耗控制在国家标准范围内，科学储粮率技术应用得到基本普及。</w:t>
      </w:r>
    </w:p>
    <w:p>
      <w:pPr>
        <w:pStyle w:val="23"/>
      </w:pPr>
      <w:r>
        <w:t>绩效指标：仓容利用率95%，粮食仓储损耗率低于2.5‰，科学储粮率95%。</w:t>
      </w:r>
    </w:p>
    <w:p>
      <w:pPr>
        <w:pStyle w:val="23"/>
      </w:pPr>
      <w:r>
        <w:t>（十一）粮食质量安全监管</w:t>
      </w:r>
    </w:p>
    <w:p>
      <w:pPr>
        <w:pStyle w:val="23"/>
      </w:pPr>
      <w:r>
        <w:t>1、粮食质量安全监测与体系建设，完善全县粮食质检体系。对粮食收购、储存环节，以及储备粮、军供粮等政策性粮食的质量进行安全、品质检测和信息发布。</w:t>
      </w:r>
    </w:p>
    <w:p>
      <w:pPr>
        <w:pStyle w:val="23"/>
      </w:pPr>
      <w:r>
        <w:t>绩效目标：及时掌握收获、收购、储存、政策性粮食质量安全和品质情况，及时送省市质检机构监测，为制定粮食收购政策提供依据；掌握重点和骨干企业粮食质量状况地方标准符合县情。</w:t>
      </w:r>
    </w:p>
    <w:p>
      <w:pPr>
        <w:pStyle w:val="23"/>
      </w:pPr>
      <w:r>
        <w:t>绩效指标：检测率95%，监管率95%。</w:t>
      </w:r>
    </w:p>
    <w:p>
      <w:pPr>
        <w:pStyle w:val="23"/>
      </w:pPr>
      <w:r>
        <w:t>2、粮食市场监测预警，健全和完善粮食市场价格动态监测平台，提高粮食市场价格监测的准确性和及时性，为政府制定应急措施提供依据。</w:t>
      </w:r>
    </w:p>
    <w:p>
      <w:pPr>
        <w:pStyle w:val="23"/>
      </w:pPr>
      <w:r>
        <w:t>绩效目标：粮食价格监测点布局合理，粮食市场监测预警信息上报及时，预警分析准确、及时。</w:t>
      </w:r>
    </w:p>
    <w:p>
      <w:pPr>
        <w:pStyle w:val="23"/>
      </w:pPr>
      <w:r>
        <w:t>绩效指标：上报及时率95%，预警分析准确率95%。</w:t>
      </w:r>
    </w:p>
    <w:p>
      <w:pPr>
        <w:pStyle w:val="23"/>
      </w:pPr>
      <w:r>
        <w:t>（十二）粮食流通行政执法</w:t>
      </w:r>
    </w:p>
    <w:p>
      <w:pPr>
        <w:pStyle w:val="23"/>
      </w:pPr>
      <w:r>
        <w:t>1、法规建设与监督检查，规范粮食行政执法程序，健全行政执法相关制度；提高执法水平，推动粮食行政执法规范化、制度化；开展粮食政策、法规制度执法检查，对粮食行政执法主体进行监督和责任制考核。</w:t>
      </w:r>
    </w:p>
    <w:p>
      <w:pPr>
        <w:pStyle w:val="23"/>
      </w:pPr>
      <w:r>
        <w:t>绩效目标：执法检查常规化；执法人员持证上岗率100%；落实行政执法责任制，规范粮食行政执法行为，提高行政执法水平。</w:t>
      </w:r>
    </w:p>
    <w:p>
      <w:pPr>
        <w:pStyle w:val="23"/>
      </w:pPr>
      <w:r>
        <w:t>绩效指标：案件查处率95%，案件查处准确率95%，执法人员培训率95%,持证上岗率100%。</w:t>
      </w:r>
    </w:p>
    <w:p>
      <w:pPr>
        <w:pStyle w:val="23"/>
      </w:pPr>
      <w:r>
        <w:t>2、全市粮食库存检查，监督检查政策性粮食的数量、质量、存储安全以及粮食经营者的最高、最低粮食库存。</w:t>
      </w:r>
    </w:p>
    <w:p>
      <w:pPr>
        <w:pStyle w:val="23"/>
      </w:pPr>
      <w:r>
        <w:t>绩效目标：促进粮食企业合法经营，确保粮食数量真实、质量良好。</w:t>
      </w:r>
    </w:p>
    <w:p>
      <w:pPr>
        <w:pStyle w:val="23"/>
      </w:pPr>
      <w:r>
        <w:t>绩效指标：监察覆盖率95%，整改率95%。</w:t>
      </w:r>
    </w:p>
    <w:p>
      <w:pPr>
        <w:pStyle w:val="23"/>
      </w:pPr>
      <w:r>
        <w:t>3、粮食仓储单位备案管理，对粮食仓储企业进行仓储备案工作。</w:t>
      </w:r>
    </w:p>
    <w:p>
      <w:pPr>
        <w:pStyle w:val="23"/>
      </w:pPr>
      <w:r>
        <w:t>绩效目标：是否执行国家粮食仓储的技术标准；仓储设施、设备是否符合有关标准和技术规范；是否建立并执行了粮食出库质量检验制度；严格审核，规范程序，保证备案信息真实、有效。</w:t>
      </w:r>
    </w:p>
    <w:p>
      <w:pPr>
        <w:pStyle w:val="23"/>
      </w:pPr>
      <w:r>
        <w:t>绩效指标:监管率95%，检查覆盖率95%。</w:t>
      </w:r>
    </w:p>
    <w:p>
      <w:pPr>
        <w:pStyle w:val="23"/>
      </w:pPr>
      <w:r>
        <w:t>4、粮食收购资格监督检查，粮食经营者关于国家有关法律、法规、规章和政策的执行情况。</w:t>
      </w:r>
    </w:p>
    <w:p>
      <w:pPr>
        <w:pStyle w:val="23"/>
      </w:pPr>
      <w:r>
        <w:t>绩效目标：对《粮食收购许可证》申办资格进行现场核查和年度核查。</w:t>
      </w:r>
    </w:p>
    <w:p>
      <w:pPr>
        <w:pStyle w:val="23"/>
      </w:pPr>
      <w:r>
        <w:t>绩效指标：检查覆盖率95%。</w:t>
      </w:r>
    </w:p>
    <w:p>
      <w:pPr>
        <w:pStyle w:val="23"/>
      </w:pPr>
      <w:r>
        <w:t>5、粮食经营者规范化情况监督检查，粮食经营者关于国家有关法律、法规、规章和政策的执行情况。</w:t>
      </w:r>
    </w:p>
    <w:p>
      <w:pPr>
        <w:pStyle w:val="23"/>
      </w:pPr>
      <w:r>
        <w:t>绩效目标：是否按规定执行了国家粮食质量标准；其收购、储存的原粮是否符合执行了国家陈化粮销售处理有关规定；是否依照粮食应急预案。</w:t>
      </w:r>
    </w:p>
    <w:p>
      <w:pPr>
        <w:pStyle w:val="23"/>
      </w:pPr>
      <w:r>
        <w:t>绩效指标：检查覆盖率95%，整改率95%。</w:t>
      </w: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pStyle w:val="24"/>
        <w:sectPr>
          <w:pgSz w:w="16840" w:h="11900" w:orient="landscape"/>
          <w:pgMar w:top="1361" w:right="1020" w:bottom="1361" w:left="1020" w:header="720" w:footer="720" w:gutter="0"/>
          <w:cols w:space="720" w:num="1"/>
        </w:sectPr>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1、冀财建[2024]207号2024年中央第二批超长期特别国债（推动大规模设备更新和消费品以旧换新领域）绩效目标表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13018325P00006411875D</w:t>
            </w:r>
          </w:p>
        </w:tc>
        <w:tc>
          <w:tcPr>
            <w:tcW w:w="2835" w:type="dxa"/>
            <w:vAlign w:val="center"/>
          </w:tcPr>
          <w:p>
            <w:pPr>
              <w:pStyle w:val="11"/>
            </w:pPr>
            <w:r>
              <w:t>项目名称</w:t>
            </w:r>
          </w:p>
        </w:tc>
        <w:tc>
          <w:tcPr>
            <w:tcW w:w="6095" w:type="dxa"/>
            <w:gridSpan w:val="3"/>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616.40</w:t>
            </w:r>
          </w:p>
        </w:tc>
        <w:tc>
          <w:tcPr>
            <w:tcW w:w="2835" w:type="dxa"/>
            <w:vAlign w:val="center"/>
          </w:tcPr>
          <w:p>
            <w:pPr>
              <w:pStyle w:val="11"/>
            </w:pPr>
            <w:r>
              <w:t>其中：财政    资金</w:t>
            </w:r>
          </w:p>
        </w:tc>
        <w:tc>
          <w:tcPr>
            <w:tcW w:w="2551" w:type="dxa"/>
            <w:vAlign w:val="center"/>
          </w:tcPr>
          <w:p>
            <w:pPr>
              <w:pStyle w:val="13"/>
            </w:pPr>
            <w:r>
              <w:t>616.40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资金用途：用于企业设备更新。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1.我市经济持续稳步上升。</w:t>
            </w:r>
          </w:p>
          <w:p>
            <w:pPr>
              <w:pStyle w:val="13"/>
            </w:pPr>
            <w:r>
              <w:t>2.扩大生产线，从而实现规模经济。</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补助企业数量</w:t>
            </w:r>
          </w:p>
        </w:tc>
        <w:tc>
          <w:tcPr>
            <w:tcW w:w="5386" w:type="dxa"/>
            <w:vAlign w:val="center"/>
          </w:tcPr>
          <w:p>
            <w:pPr>
              <w:pStyle w:val="13"/>
            </w:pPr>
            <w:r>
              <w:t>补助企业数量</w:t>
            </w:r>
          </w:p>
        </w:tc>
        <w:tc>
          <w:tcPr>
            <w:tcW w:w="2268" w:type="dxa"/>
            <w:vAlign w:val="center"/>
          </w:tcPr>
          <w:p>
            <w:pPr>
              <w:pStyle w:val="13"/>
            </w:pPr>
            <w:r>
              <w:t>1个</w:t>
            </w:r>
          </w:p>
        </w:tc>
        <w:tc>
          <w:tcPr>
            <w:tcW w:w="1276" w:type="dxa"/>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616.4万元</w:t>
            </w:r>
          </w:p>
        </w:tc>
        <w:tc>
          <w:tcPr>
            <w:tcW w:w="1276" w:type="dxa"/>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有效提升区域内经济效益</w:t>
            </w:r>
          </w:p>
        </w:tc>
        <w:tc>
          <w:tcPr>
            <w:tcW w:w="5386" w:type="dxa"/>
            <w:vAlign w:val="center"/>
          </w:tcPr>
          <w:p>
            <w:pPr>
              <w:pStyle w:val="13"/>
            </w:pPr>
            <w:r>
              <w:t>有效提升区域内经济效益</w:t>
            </w:r>
          </w:p>
        </w:tc>
        <w:tc>
          <w:tcPr>
            <w:tcW w:w="2268" w:type="dxa"/>
            <w:vAlign w:val="center"/>
          </w:tcPr>
          <w:p>
            <w:pPr>
              <w:pStyle w:val="13"/>
            </w:pPr>
            <w:r>
              <w:t>有效提升</w:t>
            </w:r>
          </w:p>
        </w:tc>
        <w:tc>
          <w:tcPr>
            <w:tcW w:w="1276" w:type="dxa"/>
            <w:vAlign w:val="center"/>
          </w:tcPr>
          <w:p>
            <w:pPr>
              <w:pStyle w:val="13"/>
            </w:pPr>
            <w:r>
              <w:t>冀财建[2024]207号2024年中央第二批超长期特别国债（推动大规模设备更新和消费品以旧换新领域）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≥90%</w:t>
            </w:r>
          </w:p>
        </w:tc>
        <w:tc>
          <w:tcPr>
            <w:tcW w:w="1276" w:type="dxa"/>
            <w:vAlign w:val="center"/>
          </w:tcPr>
          <w:p>
            <w:pPr>
              <w:pStyle w:val="13"/>
            </w:pPr>
            <w:r>
              <w:t>访问调查</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2、冀财建[2024]237号提前下达2025年中央大气污染防治资金[用于农村地区气代煤电代煤改造任务运行补助]绩效目标表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13018325P00000710007R</w:t>
            </w:r>
          </w:p>
        </w:tc>
        <w:tc>
          <w:tcPr>
            <w:tcW w:w="2835" w:type="dxa"/>
            <w:vAlign w:val="center"/>
          </w:tcPr>
          <w:p>
            <w:pPr>
              <w:pStyle w:val="11"/>
            </w:pPr>
            <w:r>
              <w:t>项目名称</w:t>
            </w:r>
          </w:p>
        </w:tc>
        <w:tc>
          <w:tcPr>
            <w:tcW w:w="6095" w:type="dxa"/>
            <w:gridSpan w:val="3"/>
            <w:vAlign w:val="center"/>
          </w:tcPr>
          <w:p>
            <w:pPr>
              <w:pStyle w:val="13"/>
            </w:pPr>
            <w:r>
              <w:t>冀财建[2024]237号提前下达2025年中央大气污染防治资金[用于农村地区气代煤电代煤改造任务运行补助]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62.70</w:t>
            </w:r>
          </w:p>
        </w:tc>
        <w:tc>
          <w:tcPr>
            <w:tcW w:w="2835" w:type="dxa"/>
            <w:vAlign w:val="center"/>
          </w:tcPr>
          <w:p>
            <w:pPr>
              <w:pStyle w:val="11"/>
            </w:pPr>
            <w:r>
              <w:t>其中：财政    资金</w:t>
            </w:r>
          </w:p>
        </w:tc>
        <w:tc>
          <w:tcPr>
            <w:tcW w:w="2551" w:type="dxa"/>
            <w:vAlign w:val="center"/>
          </w:tcPr>
          <w:p>
            <w:pPr>
              <w:pStyle w:val="13"/>
            </w:pPr>
            <w:r>
              <w:t>62.70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让人民群众温暖过冬;把农村地区清洁取暖作为第一首要任务。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1.让人民群众温暖过冬。</w:t>
            </w:r>
          </w:p>
          <w:p>
            <w:pPr>
              <w:pStyle w:val="13"/>
            </w:pPr>
            <w:r>
              <w:t>2.把农村地区清洁取暖作为第一首要任务。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补贴户数</w:t>
            </w:r>
          </w:p>
        </w:tc>
        <w:tc>
          <w:tcPr>
            <w:tcW w:w="5386" w:type="dxa"/>
            <w:vAlign w:val="center"/>
          </w:tcPr>
          <w:p>
            <w:pPr>
              <w:pStyle w:val="13"/>
            </w:pPr>
            <w:r>
              <w:t>补贴户数</w:t>
            </w:r>
          </w:p>
        </w:tc>
        <w:tc>
          <w:tcPr>
            <w:tcW w:w="2268" w:type="dxa"/>
            <w:vAlign w:val="center"/>
          </w:tcPr>
          <w:p>
            <w:pPr>
              <w:pStyle w:val="13"/>
            </w:pPr>
            <w:r>
              <w:t>66628户</w:t>
            </w:r>
          </w:p>
        </w:tc>
        <w:tc>
          <w:tcPr>
            <w:tcW w:w="1276" w:type="dxa"/>
            <w:vAlign w:val="center"/>
          </w:tcPr>
          <w:p>
            <w:pPr>
              <w:pStyle w:val="13"/>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空气质量综合指数城市空气质量优良天数情况</w:t>
            </w:r>
          </w:p>
        </w:tc>
        <w:tc>
          <w:tcPr>
            <w:tcW w:w="5386" w:type="dxa"/>
            <w:vAlign w:val="center"/>
          </w:tcPr>
          <w:p>
            <w:pPr>
              <w:pStyle w:val="13"/>
            </w:pPr>
            <w:r>
              <w:t>城市空气质量优良天数情况</w:t>
            </w:r>
          </w:p>
        </w:tc>
        <w:tc>
          <w:tcPr>
            <w:tcW w:w="2268" w:type="dxa"/>
            <w:vAlign w:val="center"/>
          </w:tcPr>
          <w:p>
            <w:pPr>
              <w:pStyle w:val="13"/>
            </w:pPr>
            <w:r>
              <w:t>≥200天</w:t>
            </w:r>
          </w:p>
        </w:tc>
        <w:tc>
          <w:tcPr>
            <w:tcW w:w="1276" w:type="dxa"/>
            <w:vAlign w:val="center"/>
          </w:tcPr>
          <w:p>
            <w:pPr>
              <w:pStyle w:val="13"/>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及时补贴占总补贴数量的比例</w:t>
            </w:r>
          </w:p>
        </w:tc>
        <w:tc>
          <w:tcPr>
            <w:tcW w:w="2268" w:type="dxa"/>
            <w:vAlign w:val="center"/>
          </w:tcPr>
          <w:p>
            <w:pPr>
              <w:pStyle w:val="13"/>
            </w:pPr>
            <w:r>
              <w:t>≥95％</w:t>
            </w:r>
          </w:p>
        </w:tc>
        <w:tc>
          <w:tcPr>
            <w:tcW w:w="1276" w:type="dxa"/>
            <w:vAlign w:val="center"/>
          </w:tcPr>
          <w:p>
            <w:pPr>
              <w:pStyle w:val="13"/>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补贴总金额</w:t>
            </w:r>
          </w:p>
        </w:tc>
        <w:tc>
          <w:tcPr>
            <w:tcW w:w="5386" w:type="dxa"/>
            <w:vAlign w:val="center"/>
          </w:tcPr>
          <w:p>
            <w:pPr>
              <w:pStyle w:val="13"/>
            </w:pPr>
            <w:r>
              <w:t>补贴总资金额</w:t>
            </w:r>
          </w:p>
        </w:tc>
        <w:tc>
          <w:tcPr>
            <w:tcW w:w="2268" w:type="dxa"/>
            <w:vAlign w:val="center"/>
          </w:tcPr>
          <w:p>
            <w:pPr>
              <w:pStyle w:val="13"/>
            </w:pPr>
            <w:r>
              <w:t>200万元</w:t>
            </w:r>
          </w:p>
        </w:tc>
        <w:tc>
          <w:tcPr>
            <w:tcW w:w="1276" w:type="dxa"/>
            <w:vAlign w:val="center"/>
          </w:tcPr>
          <w:p>
            <w:pPr>
              <w:pStyle w:val="13"/>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污染物下降比率</w:t>
            </w:r>
          </w:p>
        </w:tc>
        <w:tc>
          <w:tcPr>
            <w:tcW w:w="5386" w:type="dxa"/>
            <w:vAlign w:val="center"/>
          </w:tcPr>
          <w:p>
            <w:pPr>
              <w:pStyle w:val="13"/>
            </w:pPr>
            <w:r>
              <w:t>与去年同期相比污染物下降的比率</w:t>
            </w:r>
          </w:p>
        </w:tc>
        <w:tc>
          <w:tcPr>
            <w:tcW w:w="2268" w:type="dxa"/>
            <w:vAlign w:val="center"/>
          </w:tcPr>
          <w:p>
            <w:pPr>
              <w:pStyle w:val="13"/>
            </w:pPr>
            <w:r>
              <w:t>≥3％</w:t>
            </w:r>
          </w:p>
        </w:tc>
        <w:tc>
          <w:tcPr>
            <w:tcW w:w="1276" w:type="dxa"/>
            <w:vAlign w:val="center"/>
          </w:tcPr>
          <w:p>
            <w:pPr>
              <w:pStyle w:val="13"/>
            </w:pPr>
            <w:r>
              <w:t>冀财建【2024】237号关于提前下达2025年中央大气污染防治资金（用于农村地区气代煤电代煤改造任务运行补助）预算的通知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3、冀财建[2025]187号提前下达2026年中央大气污染防治资金（用于农村地区气代煤电代煤改造任务运行补助）绩效目标表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13018326P000001100076</w:t>
            </w:r>
          </w:p>
        </w:tc>
        <w:tc>
          <w:tcPr>
            <w:tcW w:w="2835" w:type="dxa"/>
            <w:vAlign w:val="center"/>
          </w:tcPr>
          <w:p>
            <w:pPr>
              <w:pStyle w:val="11"/>
            </w:pPr>
            <w:r>
              <w:t>项目名称</w:t>
            </w:r>
          </w:p>
        </w:tc>
        <w:tc>
          <w:tcPr>
            <w:tcW w:w="6095" w:type="dxa"/>
            <w:gridSpan w:val="3"/>
            <w:vAlign w:val="center"/>
          </w:tcPr>
          <w:p>
            <w:pPr>
              <w:pStyle w:val="13"/>
            </w:pPr>
            <w:r>
              <w:t>冀财建[2025]187号提前下达2026年中央大气污染防治资金（用于农村地区气代煤电代煤改造任务运行补助）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286.00</w:t>
            </w:r>
          </w:p>
        </w:tc>
        <w:tc>
          <w:tcPr>
            <w:tcW w:w="2835" w:type="dxa"/>
            <w:vAlign w:val="center"/>
          </w:tcPr>
          <w:p>
            <w:pPr>
              <w:pStyle w:val="11"/>
            </w:pPr>
            <w:r>
              <w:t>其中：财政    资金</w:t>
            </w:r>
          </w:p>
        </w:tc>
        <w:tc>
          <w:tcPr>
            <w:tcW w:w="2551" w:type="dxa"/>
            <w:vAlign w:val="center"/>
          </w:tcPr>
          <w:p>
            <w:pPr>
              <w:pStyle w:val="13"/>
            </w:pPr>
            <w:r>
              <w:t>286.00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用于农村地区清洁取暖运行补助。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1.把农村地区清洁取暖作为第一首要任务。</w:t>
            </w:r>
          </w:p>
          <w:p>
            <w:pPr>
              <w:pStyle w:val="13"/>
            </w:pPr>
            <w:r>
              <w:t>2.让人民群众温暖过冬。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补贴户数</w:t>
            </w:r>
          </w:p>
        </w:tc>
        <w:tc>
          <w:tcPr>
            <w:tcW w:w="5386" w:type="dxa"/>
            <w:vAlign w:val="center"/>
          </w:tcPr>
          <w:p>
            <w:pPr>
              <w:pStyle w:val="13"/>
            </w:pPr>
            <w:r>
              <w:t>补贴户数</w:t>
            </w:r>
          </w:p>
        </w:tc>
        <w:tc>
          <w:tcPr>
            <w:tcW w:w="2268" w:type="dxa"/>
            <w:vAlign w:val="center"/>
          </w:tcPr>
          <w:p>
            <w:pPr>
              <w:pStyle w:val="13"/>
            </w:pPr>
            <w:r>
              <w:t>66628户</w:t>
            </w:r>
          </w:p>
        </w:tc>
        <w:tc>
          <w:tcPr>
            <w:tcW w:w="1276" w:type="dxa"/>
            <w:vAlign w:val="center"/>
          </w:tcPr>
          <w:p>
            <w:pPr>
              <w:pStyle w:val="13"/>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空气质量综合指数城市空气质量优良天数情况</w:t>
            </w:r>
          </w:p>
        </w:tc>
        <w:tc>
          <w:tcPr>
            <w:tcW w:w="5386" w:type="dxa"/>
            <w:vAlign w:val="center"/>
          </w:tcPr>
          <w:p>
            <w:pPr>
              <w:pStyle w:val="13"/>
            </w:pPr>
            <w:r>
              <w:t>城市空气质量优良天数情况</w:t>
            </w:r>
          </w:p>
        </w:tc>
        <w:tc>
          <w:tcPr>
            <w:tcW w:w="2268" w:type="dxa"/>
            <w:vAlign w:val="center"/>
          </w:tcPr>
          <w:p>
            <w:pPr>
              <w:pStyle w:val="13"/>
            </w:pPr>
            <w:r>
              <w:t>≥200天</w:t>
            </w:r>
          </w:p>
        </w:tc>
        <w:tc>
          <w:tcPr>
            <w:tcW w:w="1276" w:type="dxa"/>
            <w:vAlign w:val="center"/>
          </w:tcPr>
          <w:p>
            <w:pPr>
              <w:pStyle w:val="13"/>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及时补贴占总补贴数量的比例</w:t>
            </w:r>
          </w:p>
        </w:tc>
        <w:tc>
          <w:tcPr>
            <w:tcW w:w="2268" w:type="dxa"/>
            <w:vAlign w:val="center"/>
          </w:tcPr>
          <w:p>
            <w:pPr>
              <w:pStyle w:val="13"/>
            </w:pPr>
            <w:r>
              <w:t>≥95％</w:t>
            </w:r>
          </w:p>
        </w:tc>
        <w:tc>
          <w:tcPr>
            <w:tcW w:w="1276" w:type="dxa"/>
            <w:vAlign w:val="center"/>
          </w:tcPr>
          <w:p>
            <w:pPr>
              <w:pStyle w:val="13"/>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补贴总金额</w:t>
            </w:r>
          </w:p>
        </w:tc>
        <w:tc>
          <w:tcPr>
            <w:tcW w:w="5386" w:type="dxa"/>
            <w:vAlign w:val="center"/>
          </w:tcPr>
          <w:p>
            <w:pPr>
              <w:pStyle w:val="13"/>
            </w:pPr>
            <w:r>
              <w:t>补贴总资金额</w:t>
            </w:r>
          </w:p>
        </w:tc>
        <w:tc>
          <w:tcPr>
            <w:tcW w:w="2268" w:type="dxa"/>
            <w:vAlign w:val="center"/>
          </w:tcPr>
          <w:p>
            <w:pPr>
              <w:pStyle w:val="13"/>
            </w:pPr>
            <w:r>
              <w:t>286万元</w:t>
            </w:r>
          </w:p>
        </w:tc>
        <w:tc>
          <w:tcPr>
            <w:tcW w:w="1276" w:type="dxa"/>
            <w:vAlign w:val="center"/>
          </w:tcPr>
          <w:p>
            <w:pPr>
              <w:pStyle w:val="13"/>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污染物下降比率</w:t>
            </w:r>
          </w:p>
        </w:tc>
        <w:tc>
          <w:tcPr>
            <w:tcW w:w="5386" w:type="dxa"/>
            <w:vAlign w:val="center"/>
          </w:tcPr>
          <w:p>
            <w:pPr>
              <w:pStyle w:val="13"/>
            </w:pPr>
            <w:r>
              <w:t>与去年同期相比污染物下降的比率</w:t>
            </w:r>
          </w:p>
        </w:tc>
        <w:tc>
          <w:tcPr>
            <w:tcW w:w="2268" w:type="dxa"/>
            <w:vAlign w:val="center"/>
          </w:tcPr>
          <w:p>
            <w:pPr>
              <w:pStyle w:val="13"/>
            </w:pPr>
            <w:r>
              <w:t>≥3％</w:t>
            </w:r>
          </w:p>
        </w:tc>
        <w:tc>
          <w:tcPr>
            <w:tcW w:w="1276" w:type="dxa"/>
            <w:vAlign w:val="center"/>
          </w:tcPr>
          <w:p>
            <w:pPr>
              <w:pStyle w:val="13"/>
            </w:pPr>
            <w:r>
              <w:t>冀财建[2025]187号关于提前下达2026年中央大气污染防治资金（用于农村地区气代煤电代煤改造任务运行补助）预算的通知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4、冀财建[2025]224号中央提前下达2026年农产品成本调查和价格监测补助资金绩效目标表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13018326P000327100095</w:t>
            </w:r>
          </w:p>
        </w:tc>
        <w:tc>
          <w:tcPr>
            <w:tcW w:w="2835" w:type="dxa"/>
            <w:vAlign w:val="center"/>
          </w:tcPr>
          <w:p>
            <w:pPr>
              <w:pStyle w:val="11"/>
            </w:pPr>
            <w:r>
              <w:t>项目名称</w:t>
            </w:r>
          </w:p>
        </w:tc>
        <w:tc>
          <w:tcPr>
            <w:tcW w:w="6095" w:type="dxa"/>
            <w:gridSpan w:val="3"/>
            <w:vAlign w:val="center"/>
          </w:tcPr>
          <w:p>
            <w:pPr>
              <w:pStyle w:val="13"/>
            </w:pPr>
            <w:r>
              <w:t>冀财建[2025]224号中央提前下达2026年农产品成本调查和价格监测补助资金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7.53</w:t>
            </w:r>
          </w:p>
        </w:tc>
        <w:tc>
          <w:tcPr>
            <w:tcW w:w="2835" w:type="dxa"/>
            <w:vAlign w:val="center"/>
          </w:tcPr>
          <w:p>
            <w:pPr>
              <w:pStyle w:val="11"/>
            </w:pPr>
            <w:r>
              <w:t>其中：财政    资金</w:t>
            </w:r>
          </w:p>
        </w:tc>
        <w:tc>
          <w:tcPr>
            <w:tcW w:w="2551" w:type="dxa"/>
            <w:vAlign w:val="center"/>
          </w:tcPr>
          <w:p>
            <w:pPr>
              <w:pStyle w:val="13"/>
            </w:pPr>
            <w:r>
              <w:t>7.53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用于成本调查和价格监测补助。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1.为国家完善农产品价格形成机制（包括最低收购价、目标价格、市场调节价格等）服务。</w:t>
            </w:r>
          </w:p>
          <w:p>
            <w:pPr>
              <w:pStyle w:val="13"/>
            </w:pPr>
            <w:r>
              <w:t>2.为国家制定农业补贴、推动农村土地制度改革和土地经营权流转服务。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调查品种</w:t>
            </w:r>
          </w:p>
        </w:tc>
        <w:tc>
          <w:tcPr>
            <w:tcW w:w="5386" w:type="dxa"/>
            <w:vAlign w:val="center"/>
          </w:tcPr>
          <w:p>
            <w:pPr>
              <w:pStyle w:val="13"/>
            </w:pPr>
            <w:r>
              <w:t>调查品种</w:t>
            </w:r>
          </w:p>
        </w:tc>
        <w:tc>
          <w:tcPr>
            <w:tcW w:w="2268" w:type="dxa"/>
            <w:vAlign w:val="center"/>
          </w:tcPr>
          <w:p>
            <w:pPr>
              <w:pStyle w:val="13"/>
            </w:pPr>
            <w:r>
              <w:t>≥28个</w:t>
            </w:r>
          </w:p>
        </w:tc>
        <w:tc>
          <w:tcPr>
            <w:tcW w:w="1276" w:type="dxa"/>
            <w:vAlign w:val="center"/>
          </w:tcPr>
          <w:p>
            <w:pPr>
              <w:pStyle w:val="13"/>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上报调查样本覆盖率</w:t>
            </w:r>
          </w:p>
        </w:tc>
        <w:tc>
          <w:tcPr>
            <w:tcW w:w="5386" w:type="dxa"/>
            <w:vAlign w:val="center"/>
          </w:tcPr>
          <w:p>
            <w:pPr>
              <w:pStyle w:val="13"/>
            </w:pPr>
            <w:r>
              <w:t>上报调查样本覆盖率</w:t>
            </w:r>
          </w:p>
        </w:tc>
        <w:tc>
          <w:tcPr>
            <w:tcW w:w="2268" w:type="dxa"/>
            <w:vAlign w:val="center"/>
          </w:tcPr>
          <w:p>
            <w:pPr>
              <w:pStyle w:val="13"/>
            </w:pPr>
            <w:r>
              <w:t>≥90%</w:t>
            </w:r>
          </w:p>
        </w:tc>
        <w:tc>
          <w:tcPr>
            <w:tcW w:w="1276" w:type="dxa"/>
            <w:vAlign w:val="center"/>
          </w:tcPr>
          <w:p>
            <w:pPr>
              <w:pStyle w:val="13"/>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按照工作计划时间节点完成率</w:t>
            </w:r>
          </w:p>
        </w:tc>
        <w:tc>
          <w:tcPr>
            <w:tcW w:w="5386" w:type="dxa"/>
            <w:vAlign w:val="center"/>
          </w:tcPr>
          <w:p>
            <w:pPr>
              <w:pStyle w:val="13"/>
            </w:pPr>
            <w:r>
              <w:t>按照工作计划时间节点完成率</w:t>
            </w:r>
          </w:p>
        </w:tc>
        <w:tc>
          <w:tcPr>
            <w:tcW w:w="2268" w:type="dxa"/>
            <w:vAlign w:val="center"/>
          </w:tcPr>
          <w:p>
            <w:pPr>
              <w:pStyle w:val="13"/>
            </w:pPr>
            <w:r>
              <w:t>≥90%</w:t>
            </w:r>
          </w:p>
        </w:tc>
        <w:tc>
          <w:tcPr>
            <w:tcW w:w="1276" w:type="dxa"/>
            <w:vAlign w:val="center"/>
          </w:tcPr>
          <w:p>
            <w:pPr>
              <w:pStyle w:val="13"/>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w:t>
            </w:r>
          </w:p>
        </w:tc>
        <w:tc>
          <w:tcPr>
            <w:tcW w:w="5386" w:type="dxa"/>
            <w:vAlign w:val="center"/>
          </w:tcPr>
          <w:p>
            <w:pPr>
              <w:pStyle w:val="13"/>
            </w:pPr>
            <w:r>
              <w:t>项目实际支出</w:t>
            </w:r>
          </w:p>
        </w:tc>
        <w:tc>
          <w:tcPr>
            <w:tcW w:w="2268" w:type="dxa"/>
            <w:vAlign w:val="center"/>
          </w:tcPr>
          <w:p>
            <w:pPr>
              <w:pStyle w:val="13"/>
            </w:pPr>
            <w:r>
              <w:t>75282元</w:t>
            </w:r>
          </w:p>
        </w:tc>
        <w:tc>
          <w:tcPr>
            <w:tcW w:w="1276" w:type="dxa"/>
            <w:vAlign w:val="center"/>
          </w:tcPr>
          <w:p>
            <w:pPr>
              <w:pStyle w:val="13"/>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为国家完善农产品价格形成机制服务，提供数据支持</w:t>
            </w:r>
          </w:p>
        </w:tc>
        <w:tc>
          <w:tcPr>
            <w:tcW w:w="5386" w:type="dxa"/>
            <w:vAlign w:val="center"/>
          </w:tcPr>
          <w:p>
            <w:pPr>
              <w:pStyle w:val="13"/>
            </w:pPr>
            <w:r>
              <w:t>为国家完善农产品价格形成机制服务，提供数据支持</w:t>
            </w:r>
          </w:p>
        </w:tc>
        <w:tc>
          <w:tcPr>
            <w:tcW w:w="2268" w:type="dxa"/>
            <w:vAlign w:val="center"/>
          </w:tcPr>
          <w:p>
            <w:pPr>
              <w:pStyle w:val="13"/>
            </w:pPr>
            <w:r>
              <w:t>为国家完善农产品价格形成机制服务，提供数据支持</w:t>
            </w:r>
          </w:p>
        </w:tc>
        <w:tc>
          <w:tcPr>
            <w:tcW w:w="1276" w:type="dxa"/>
            <w:vAlign w:val="center"/>
          </w:tcPr>
          <w:p>
            <w:pPr>
              <w:pStyle w:val="13"/>
            </w:pPr>
            <w:r>
              <w:t>冀财建[2025]224号关于提前下达2026年农产品成本调查和价格监测补助资金预算的通知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5、冀财建[2025]57号下达2025年中央农产品成本调查补助资金绩效目标表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13018325P000064112304</w:t>
            </w:r>
          </w:p>
        </w:tc>
        <w:tc>
          <w:tcPr>
            <w:tcW w:w="2835" w:type="dxa"/>
            <w:vAlign w:val="center"/>
          </w:tcPr>
          <w:p>
            <w:pPr>
              <w:pStyle w:val="11"/>
            </w:pPr>
            <w:r>
              <w:t>项目名称</w:t>
            </w:r>
          </w:p>
        </w:tc>
        <w:tc>
          <w:tcPr>
            <w:tcW w:w="6095" w:type="dxa"/>
            <w:gridSpan w:val="3"/>
            <w:vAlign w:val="center"/>
          </w:tcPr>
          <w:p>
            <w:pPr>
              <w:pStyle w:val="13"/>
            </w:pPr>
            <w:r>
              <w:t>冀财建[2025]57号下达2025年中央农产品成本调查补助资金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w:t>
            </w:r>
          </w:p>
        </w:tc>
        <w:tc>
          <w:tcPr>
            <w:tcW w:w="2835" w:type="dxa"/>
            <w:vAlign w:val="center"/>
          </w:tcPr>
          <w:p>
            <w:pPr>
              <w:pStyle w:val="11"/>
            </w:pPr>
            <w:r>
              <w:t>其中：财政    资金</w:t>
            </w:r>
          </w:p>
        </w:tc>
        <w:tc>
          <w:tcPr>
            <w:tcW w:w="2551" w:type="dxa"/>
            <w:vAlign w:val="center"/>
          </w:tcPr>
          <w:p>
            <w:pPr>
              <w:pStyle w:val="13"/>
            </w:pPr>
            <w:r>
              <w:t>1.29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为国家完善农产品价格形成机制（包括最低收购价、目标价格、市场调节价格等）服务,为国家制定农业补贴、推动农村土地制度改革和土地经营权流转服务。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1.为国家完善农产品价格形成机制（包括最低收购价、目标价格、市场调节价格等）服务。</w:t>
            </w:r>
          </w:p>
          <w:p>
            <w:pPr>
              <w:pStyle w:val="13"/>
            </w:pPr>
            <w:r>
              <w:t>2.为国家制定农业补贴、推动农村土地制度改革和土地经营权流转服务。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调查品种</w:t>
            </w:r>
          </w:p>
        </w:tc>
        <w:tc>
          <w:tcPr>
            <w:tcW w:w="5386" w:type="dxa"/>
            <w:vAlign w:val="center"/>
          </w:tcPr>
          <w:p>
            <w:pPr>
              <w:pStyle w:val="13"/>
            </w:pPr>
            <w:r>
              <w:t>调查品种</w:t>
            </w:r>
          </w:p>
        </w:tc>
        <w:tc>
          <w:tcPr>
            <w:tcW w:w="2268" w:type="dxa"/>
            <w:vAlign w:val="center"/>
          </w:tcPr>
          <w:p>
            <w:pPr>
              <w:pStyle w:val="13"/>
            </w:pPr>
            <w:r>
              <w:t>≥28个</w:t>
            </w:r>
          </w:p>
        </w:tc>
        <w:tc>
          <w:tcPr>
            <w:tcW w:w="1276" w:type="dxa"/>
            <w:vAlign w:val="center"/>
          </w:tcPr>
          <w:p>
            <w:pPr>
              <w:pStyle w:val="13"/>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上报调查样本覆盖率</w:t>
            </w:r>
          </w:p>
        </w:tc>
        <w:tc>
          <w:tcPr>
            <w:tcW w:w="5386" w:type="dxa"/>
            <w:vAlign w:val="center"/>
          </w:tcPr>
          <w:p>
            <w:pPr>
              <w:pStyle w:val="13"/>
            </w:pPr>
            <w:r>
              <w:t>上报调查样本覆盖率</w:t>
            </w:r>
          </w:p>
        </w:tc>
        <w:tc>
          <w:tcPr>
            <w:tcW w:w="2268" w:type="dxa"/>
            <w:vAlign w:val="center"/>
          </w:tcPr>
          <w:p>
            <w:pPr>
              <w:pStyle w:val="13"/>
            </w:pPr>
            <w:r>
              <w:t>≥90%</w:t>
            </w:r>
          </w:p>
        </w:tc>
        <w:tc>
          <w:tcPr>
            <w:tcW w:w="1276" w:type="dxa"/>
            <w:vAlign w:val="center"/>
          </w:tcPr>
          <w:p>
            <w:pPr>
              <w:pStyle w:val="13"/>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按照工作计划时间节点完成率</w:t>
            </w:r>
          </w:p>
        </w:tc>
        <w:tc>
          <w:tcPr>
            <w:tcW w:w="5386" w:type="dxa"/>
            <w:vAlign w:val="center"/>
          </w:tcPr>
          <w:p>
            <w:pPr>
              <w:pStyle w:val="13"/>
            </w:pPr>
            <w:r>
              <w:t>按照工作计划时间节点完成率</w:t>
            </w:r>
          </w:p>
        </w:tc>
        <w:tc>
          <w:tcPr>
            <w:tcW w:w="2268" w:type="dxa"/>
            <w:vAlign w:val="center"/>
          </w:tcPr>
          <w:p>
            <w:pPr>
              <w:pStyle w:val="13"/>
            </w:pPr>
            <w:r>
              <w:t>≥90%</w:t>
            </w:r>
          </w:p>
        </w:tc>
        <w:tc>
          <w:tcPr>
            <w:tcW w:w="1276" w:type="dxa"/>
            <w:vAlign w:val="center"/>
          </w:tcPr>
          <w:p>
            <w:pPr>
              <w:pStyle w:val="13"/>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项目实际支出</w:t>
            </w:r>
          </w:p>
        </w:tc>
        <w:tc>
          <w:tcPr>
            <w:tcW w:w="5386" w:type="dxa"/>
            <w:vAlign w:val="center"/>
          </w:tcPr>
          <w:p>
            <w:pPr>
              <w:pStyle w:val="13"/>
            </w:pPr>
            <w:r>
              <w:t>项目实际支出</w:t>
            </w:r>
          </w:p>
        </w:tc>
        <w:tc>
          <w:tcPr>
            <w:tcW w:w="2268" w:type="dxa"/>
            <w:vAlign w:val="center"/>
          </w:tcPr>
          <w:p>
            <w:pPr>
              <w:pStyle w:val="13"/>
            </w:pPr>
            <w:r>
              <w:t>3.68万元</w:t>
            </w:r>
          </w:p>
        </w:tc>
        <w:tc>
          <w:tcPr>
            <w:tcW w:w="1276" w:type="dxa"/>
            <w:vAlign w:val="center"/>
          </w:tcPr>
          <w:p>
            <w:pPr>
              <w:pStyle w:val="13"/>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为国家完善农产品价格形成机制服务，提供数据支持</w:t>
            </w:r>
          </w:p>
        </w:tc>
        <w:tc>
          <w:tcPr>
            <w:tcW w:w="5386" w:type="dxa"/>
            <w:vAlign w:val="center"/>
          </w:tcPr>
          <w:p>
            <w:pPr>
              <w:pStyle w:val="13"/>
            </w:pPr>
            <w:r>
              <w:t>为国家完善农产品价格形成机制服务，提供数据支持</w:t>
            </w:r>
          </w:p>
        </w:tc>
        <w:tc>
          <w:tcPr>
            <w:tcW w:w="2268" w:type="dxa"/>
            <w:vAlign w:val="center"/>
          </w:tcPr>
          <w:p>
            <w:pPr>
              <w:pStyle w:val="13"/>
            </w:pPr>
            <w:r>
              <w:t>为国家完善农产品价格形成机制服务，提供数据支持</w:t>
            </w:r>
          </w:p>
        </w:tc>
        <w:tc>
          <w:tcPr>
            <w:tcW w:w="1276" w:type="dxa"/>
            <w:vAlign w:val="center"/>
          </w:tcPr>
          <w:p>
            <w:pPr>
              <w:pStyle w:val="13"/>
            </w:pPr>
            <w:r>
              <w:t>冀财建[2025]57号关于下达2025年农产品成本调查补助资金预算的通知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6、冀财建[2026]3号省级提前下达2025-2026年采暖季农村煤改气用户天然气终端销售价格补贴绩效目标表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13018326P00032910020P</w:t>
            </w:r>
          </w:p>
        </w:tc>
        <w:tc>
          <w:tcPr>
            <w:tcW w:w="2835" w:type="dxa"/>
            <w:vAlign w:val="center"/>
          </w:tcPr>
          <w:p>
            <w:pPr>
              <w:pStyle w:val="11"/>
            </w:pPr>
            <w:r>
              <w:t>项目名称</w:t>
            </w:r>
          </w:p>
        </w:tc>
        <w:tc>
          <w:tcPr>
            <w:tcW w:w="6095" w:type="dxa"/>
            <w:gridSpan w:val="3"/>
            <w:vAlign w:val="center"/>
          </w:tcPr>
          <w:p>
            <w:pPr>
              <w:pStyle w:val="13"/>
            </w:pPr>
            <w:r>
              <w:t>冀财建[2026]3号省级提前下达2025-2026年采暖季农村煤改气用户天然气终端销售价格补贴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165.90</w:t>
            </w:r>
          </w:p>
        </w:tc>
        <w:tc>
          <w:tcPr>
            <w:tcW w:w="2835" w:type="dxa"/>
            <w:vAlign w:val="center"/>
          </w:tcPr>
          <w:p>
            <w:pPr>
              <w:pStyle w:val="11"/>
            </w:pPr>
            <w:r>
              <w:t>其中：财政    资金</w:t>
            </w:r>
          </w:p>
        </w:tc>
        <w:tc>
          <w:tcPr>
            <w:tcW w:w="2551" w:type="dxa"/>
            <w:vAlign w:val="center"/>
          </w:tcPr>
          <w:p>
            <w:pPr>
              <w:pStyle w:val="13"/>
            </w:pPr>
            <w:r>
              <w:t>165.90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终端销售价格补贴。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1.把确保人民群众温暖过冬作为当前第一位的民生工作。</w:t>
            </w:r>
          </w:p>
          <w:p>
            <w:pPr>
              <w:pStyle w:val="13"/>
            </w:pPr>
            <w:r>
              <w:t>2.为促进大气质量改善，做好冬季群众取暖工作。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户数比率</w:t>
            </w:r>
          </w:p>
        </w:tc>
        <w:tc>
          <w:tcPr>
            <w:tcW w:w="5386" w:type="dxa"/>
            <w:vAlign w:val="center"/>
          </w:tcPr>
          <w:p>
            <w:pPr>
              <w:pStyle w:val="13"/>
            </w:pPr>
            <w:r>
              <w:t>补贴户数占应补贴户数的比率</w:t>
            </w:r>
          </w:p>
        </w:tc>
        <w:tc>
          <w:tcPr>
            <w:tcW w:w="2268" w:type="dxa"/>
            <w:vAlign w:val="center"/>
          </w:tcPr>
          <w:p>
            <w:pPr>
              <w:pStyle w:val="13"/>
            </w:pPr>
            <w:r>
              <w:t>100%</w:t>
            </w:r>
          </w:p>
        </w:tc>
        <w:tc>
          <w:tcPr>
            <w:tcW w:w="1276" w:type="dxa"/>
            <w:vAlign w:val="center"/>
          </w:tcPr>
          <w:p>
            <w:pPr>
              <w:pStyle w:val="13"/>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空气质量综合指数</w:t>
            </w:r>
          </w:p>
        </w:tc>
        <w:tc>
          <w:tcPr>
            <w:tcW w:w="5386" w:type="dxa"/>
            <w:vAlign w:val="center"/>
          </w:tcPr>
          <w:p>
            <w:pPr>
              <w:pStyle w:val="13"/>
            </w:pPr>
            <w:r>
              <w:t>城市空气质量优良天数情况</w:t>
            </w:r>
          </w:p>
        </w:tc>
        <w:tc>
          <w:tcPr>
            <w:tcW w:w="2268" w:type="dxa"/>
            <w:vAlign w:val="center"/>
          </w:tcPr>
          <w:p>
            <w:pPr>
              <w:pStyle w:val="13"/>
            </w:pPr>
            <w:r>
              <w:t>≥300天</w:t>
            </w:r>
          </w:p>
        </w:tc>
        <w:tc>
          <w:tcPr>
            <w:tcW w:w="1276" w:type="dxa"/>
            <w:vAlign w:val="center"/>
          </w:tcPr>
          <w:p>
            <w:pPr>
              <w:pStyle w:val="13"/>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补贴及时率</w:t>
            </w:r>
          </w:p>
        </w:tc>
        <w:tc>
          <w:tcPr>
            <w:tcW w:w="5386" w:type="dxa"/>
            <w:vAlign w:val="center"/>
          </w:tcPr>
          <w:p>
            <w:pPr>
              <w:pStyle w:val="13"/>
            </w:pPr>
            <w:r>
              <w:t>按时补贴占计划补贴的比率</w:t>
            </w:r>
          </w:p>
        </w:tc>
        <w:tc>
          <w:tcPr>
            <w:tcW w:w="2268" w:type="dxa"/>
            <w:vAlign w:val="center"/>
          </w:tcPr>
          <w:p>
            <w:pPr>
              <w:pStyle w:val="13"/>
            </w:pPr>
            <w:r>
              <w:t>&gt;90%</w:t>
            </w:r>
          </w:p>
        </w:tc>
        <w:tc>
          <w:tcPr>
            <w:tcW w:w="1276" w:type="dxa"/>
            <w:vAlign w:val="center"/>
          </w:tcPr>
          <w:p>
            <w:pPr>
              <w:pStyle w:val="13"/>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总资金成本</w:t>
            </w:r>
          </w:p>
        </w:tc>
        <w:tc>
          <w:tcPr>
            <w:tcW w:w="2268" w:type="dxa"/>
            <w:vAlign w:val="center"/>
          </w:tcPr>
          <w:p>
            <w:pPr>
              <w:pStyle w:val="13"/>
            </w:pPr>
            <w:r>
              <w:t>1658971元</w:t>
            </w:r>
          </w:p>
        </w:tc>
        <w:tc>
          <w:tcPr>
            <w:tcW w:w="1276" w:type="dxa"/>
            <w:vAlign w:val="center"/>
          </w:tcPr>
          <w:p>
            <w:pPr>
              <w:pStyle w:val="13"/>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污染物排放降低率</w:t>
            </w:r>
          </w:p>
        </w:tc>
        <w:tc>
          <w:tcPr>
            <w:tcW w:w="5386" w:type="dxa"/>
            <w:vAlign w:val="center"/>
          </w:tcPr>
          <w:p>
            <w:pPr>
              <w:pStyle w:val="13"/>
            </w:pPr>
            <w:r>
              <w:t>污染物排放总量与去年同期下降比率</w:t>
            </w:r>
          </w:p>
        </w:tc>
        <w:tc>
          <w:tcPr>
            <w:tcW w:w="2268" w:type="dxa"/>
            <w:vAlign w:val="center"/>
          </w:tcPr>
          <w:p>
            <w:pPr>
              <w:pStyle w:val="13"/>
            </w:pPr>
            <w:r>
              <w:t>&gt;3%</w:t>
            </w:r>
          </w:p>
        </w:tc>
        <w:tc>
          <w:tcPr>
            <w:tcW w:w="1276" w:type="dxa"/>
            <w:vAlign w:val="center"/>
          </w:tcPr>
          <w:p>
            <w:pPr>
              <w:pStyle w:val="13"/>
            </w:pPr>
            <w:r>
              <w:t>冀财建[2026]3号关于提前下达2025-2026年采暖季农村煤改气用户天然气终端销售价格补贴预算的通知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通过调查问卷满意和较满意的比率</w:t>
            </w:r>
          </w:p>
        </w:tc>
        <w:tc>
          <w:tcPr>
            <w:tcW w:w="2268" w:type="dxa"/>
            <w:vAlign w:val="center"/>
          </w:tcPr>
          <w:p>
            <w:pPr>
              <w:pStyle w:val="13"/>
            </w:pPr>
            <w:r>
              <w:t>&gt;90%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7、冀财资环[2025]70号提前下达2026年中央大气污染防治资金绩效目标表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13018326P000001100120</w:t>
            </w:r>
          </w:p>
        </w:tc>
        <w:tc>
          <w:tcPr>
            <w:tcW w:w="2835" w:type="dxa"/>
            <w:vAlign w:val="center"/>
          </w:tcPr>
          <w:p>
            <w:pPr>
              <w:pStyle w:val="11"/>
            </w:pPr>
            <w:r>
              <w:t>项目名称</w:t>
            </w:r>
          </w:p>
        </w:tc>
        <w:tc>
          <w:tcPr>
            <w:tcW w:w="6095" w:type="dxa"/>
            <w:gridSpan w:val="3"/>
            <w:vAlign w:val="center"/>
          </w:tcPr>
          <w:p>
            <w:pPr>
              <w:pStyle w:val="13"/>
            </w:pPr>
            <w:r>
              <w:t>冀财资环[2025]70号提前下达2026年中央大气污染防治资金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996.08</w:t>
            </w:r>
          </w:p>
        </w:tc>
        <w:tc>
          <w:tcPr>
            <w:tcW w:w="2835" w:type="dxa"/>
            <w:vAlign w:val="center"/>
          </w:tcPr>
          <w:p>
            <w:pPr>
              <w:pStyle w:val="11"/>
            </w:pPr>
            <w:r>
              <w:t>其中：财政    资金</w:t>
            </w:r>
          </w:p>
        </w:tc>
        <w:tc>
          <w:tcPr>
            <w:tcW w:w="2551" w:type="dxa"/>
            <w:vAlign w:val="center"/>
          </w:tcPr>
          <w:p>
            <w:pPr>
              <w:pStyle w:val="13"/>
            </w:pPr>
            <w:r>
              <w:t>996.08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用于农村采暖季补贴。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1.把农村地区清洁取暖作为第一首要任务。</w:t>
            </w:r>
          </w:p>
          <w:p>
            <w:pPr>
              <w:pStyle w:val="13"/>
            </w:pPr>
            <w:r>
              <w:t>2.让人民群众温暖过冬。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补贴户数</w:t>
            </w:r>
          </w:p>
        </w:tc>
        <w:tc>
          <w:tcPr>
            <w:tcW w:w="5386" w:type="dxa"/>
            <w:vAlign w:val="center"/>
          </w:tcPr>
          <w:p>
            <w:pPr>
              <w:pStyle w:val="13"/>
            </w:pPr>
            <w:r>
              <w:t>补贴户数</w:t>
            </w:r>
          </w:p>
        </w:tc>
        <w:tc>
          <w:tcPr>
            <w:tcW w:w="2268" w:type="dxa"/>
            <w:vAlign w:val="center"/>
          </w:tcPr>
          <w:p>
            <w:pPr>
              <w:pStyle w:val="13"/>
            </w:pPr>
            <w:r>
              <w:t>66628户</w:t>
            </w:r>
          </w:p>
        </w:tc>
        <w:tc>
          <w:tcPr>
            <w:tcW w:w="1276" w:type="dxa"/>
            <w:vAlign w:val="center"/>
          </w:tcPr>
          <w:p>
            <w:pPr>
              <w:pStyle w:val="13"/>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空气质量综合指数城市空气质量优良天数情况</w:t>
            </w:r>
          </w:p>
        </w:tc>
        <w:tc>
          <w:tcPr>
            <w:tcW w:w="5386" w:type="dxa"/>
            <w:vAlign w:val="center"/>
          </w:tcPr>
          <w:p>
            <w:pPr>
              <w:pStyle w:val="13"/>
            </w:pPr>
            <w:r>
              <w:t>城市空气质量优良天数情况</w:t>
            </w:r>
          </w:p>
        </w:tc>
        <w:tc>
          <w:tcPr>
            <w:tcW w:w="2268" w:type="dxa"/>
            <w:vAlign w:val="center"/>
          </w:tcPr>
          <w:p>
            <w:pPr>
              <w:pStyle w:val="13"/>
            </w:pPr>
            <w:r>
              <w:t>≥200天</w:t>
            </w:r>
          </w:p>
        </w:tc>
        <w:tc>
          <w:tcPr>
            <w:tcW w:w="1276" w:type="dxa"/>
            <w:vAlign w:val="center"/>
          </w:tcPr>
          <w:p>
            <w:pPr>
              <w:pStyle w:val="13"/>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及时补贴占总补贴数量的比例</w:t>
            </w:r>
          </w:p>
        </w:tc>
        <w:tc>
          <w:tcPr>
            <w:tcW w:w="2268" w:type="dxa"/>
            <w:vAlign w:val="center"/>
          </w:tcPr>
          <w:p>
            <w:pPr>
              <w:pStyle w:val="13"/>
            </w:pPr>
            <w:r>
              <w:t>≥95％</w:t>
            </w:r>
          </w:p>
        </w:tc>
        <w:tc>
          <w:tcPr>
            <w:tcW w:w="1276" w:type="dxa"/>
            <w:vAlign w:val="center"/>
          </w:tcPr>
          <w:p>
            <w:pPr>
              <w:pStyle w:val="13"/>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补贴总金额</w:t>
            </w:r>
          </w:p>
        </w:tc>
        <w:tc>
          <w:tcPr>
            <w:tcW w:w="5386" w:type="dxa"/>
            <w:vAlign w:val="center"/>
          </w:tcPr>
          <w:p>
            <w:pPr>
              <w:pStyle w:val="13"/>
            </w:pPr>
            <w:r>
              <w:t>补贴总资金额</w:t>
            </w:r>
          </w:p>
        </w:tc>
        <w:tc>
          <w:tcPr>
            <w:tcW w:w="2268" w:type="dxa"/>
            <w:vAlign w:val="center"/>
          </w:tcPr>
          <w:p>
            <w:pPr>
              <w:pStyle w:val="13"/>
            </w:pPr>
            <w:r>
              <w:t>996.08万元</w:t>
            </w:r>
          </w:p>
        </w:tc>
        <w:tc>
          <w:tcPr>
            <w:tcW w:w="1276" w:type="dxa"/>
            <w:vAlign w:val="center"/>
          </w:tcPr>
          <w:p>
            <w:pPr>
              <w:pStyle w:val="13"/>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污染物下降比率</w:t>
            </w:r>
          </w:p>
        </w:tc>
        <w:tc>
          <w:tcPr>
            <w:tcW w:w="5386" w:type="dxa"/>
            <w:vAlign w:val="center"/>
          </w:tcPr>
          <w:p>
            <w:pPr>
              <w:pStyle w:val="13"/>
            </w:pPr>
            <w:r>
              <w:t>与去年同期相比污染物下降的比率</w:t>
            </w:r>
          </w:p>
        </w:tc>
        <w:tc>
          <w:tcPr>
            <w:tcW w:w="2268" w:type="dxa"/>
            <w:vAlign w:val="center"/>
          </w:tcPr>
          <w:p>
            <w:pPr>
              <w:pStyle w:val="13"/>
            </w:pPr>
            <w:r>
              <w:t>≥3％</w:t>
            </w:r>
          </w:p>
        </w:tc>
        <w:tc>
          <w:tcPr>
            <w:tcW w:w="1276" w:type="dxa"/>
            <w:vAlign w:val="center"/>
          </w:tcPr>
          <w:p>
            <w:pPr>
              <w:pStyle w:val="13"/>
            </w:pPr>
            <w:r>
              <w:t>冀财资环【2025】70号关于提前下达2026年中央大气污染防治资金预算的通知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8、救灾物资保管费绩效目标表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13018326P000328100229</w:t>
            </w:r>
          </w:p>
        </w:tc>
        <w:tc>
          <w:tcPr>
            <w:tcW w:w="2835" w:type="dxa"/>
            <w:vAlign w:val="center"/>
          </w:tcPr>
          <w:p>
            <w:pPr>
              <w:pStyle w:val="11"/>
            </w:pPr>
            <w:r>
              <w:t>项目名称</w:t>
            </w:r>
          </w:p>
        </w:tc>
        <w:tc>
          <w:tcPr>
            <w:tcW w:w="6095" w:type="dxa"/>
            <w:gridSpan w:val="3"/>
            <w:vAlign w:val="center"/>
          </w:tcPr>
          <w:p>
            <w:pPr>
              <w:pStyle w:val="13"/>
            </w:pPr>
            <w:r>
              <w:t>救灾物资保管费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用于规范管理救灾物资出入库、保管、储存安全。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1.把救灾物资存放期间做好相关安保工作。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救灾帐篷占号备物资费比例</w:t>
            </w:r>
          </w:p>
        </w:tc>
        <w:tc>
          <w:tcPr>
            <w:tcW w:w="5386" w:type="dxa"/>
            <w:vAlign w:val="center"/>
          </w:tcPr>
          <w:p>
            <w:pPr>
              <w:pStyle w:val="13"/>
            </w:pPr>
            <w:r>
              <w:t>救灾帐篷占号备物资费比例</w:t>
            </w:r>
          </w:p>
        </w:tc>
        <w:tc>
          <w:tcPr>
            <w:tcW w:w="2268" w:type="dxa"/>
            <w:vAlign w:val="center"/>
          </w:tcPr>
          <w:p>
            <w:pPr>
              <w:pStyle w:val="13"/>
            </w:pPr>
            <w:r>
              <w:t>≥35%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物资保管良好率</w:t>
            </w:r>
          </w:p>
        </w:tc>
        <w:tc>
          <w:tcPr>
            <w:tcW w:w="5386" w:type="dxa"/>
            <w:vAlign w:val="center"/>
          </w:tcPr>
          <w:p>
            <w:pPr>
              <w:pStyle w:val="13"/>
            </w:pPr>
            <w:r>
              <w:t>保证物资保管良好、归类清晰率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完成工作任务及时性</w:t>
            </w:r>
          </w:p>
        </w:tc>
        <w:tc>
          <w:tcPr>
            <w:tcW w:w="5386" w:type="dxa"/>
            <w:vAlign w:val="center"/>
          </w:tcPr>
          <w:p>
            <w:pPr>
              <w:pStyle w:val="13"/>
            </w:pPr>
            <w:r>
              <w:t>完成出入库工作任务及时性</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成本金额</w:t>
            </w:r>
          </w:p>
        </w:tc>
        <w:tc>
          <w:tcPr>
            <w:tcW w:w="5386" w:type="dxa"/>
            <w:vAlign w:val="center"/>
          </w:tcPr>
          <w:p>
            <w:pPr>
              <w:pStyle w:val="13"/>
            </w:pPr>
            <w:r>
              <w:t>成本总金额</w:t>
            </w:r>
          </w:p>
        </w:tc>
        <w:tc>
          <w:tcPr>
            <w:tcW w:w="2268" w:type="dxa"/>
            <w:vAlign w:val="center"/>
          </w:tcPr>
          <w:p>
            <w:pPr>
              <w:pStyle w:val="13"/>
            </w:pPr>
            <w:r>
              <w:t>4万元</w:t>
            </w:r>
          </w:p>
        </w:tc>
        <w:tc>
          <w:tcPr>
            <w:tcW w:w="1276" w:type="dxa"/>
            <w:vAlign w:val="center"/>
          </w:tcPr>
          <w:p>
            <w:pPr>
              <w:pStyle w:val="13"/>
            </w:pPr>
            <w:r>
              <w:t>依据往年预算费用安排</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储备物资应急保障率</w:t>
            </w:r>
          </w:p>
        </w:tc>
        <w:tc>
          <w:tcPr>
            <w:tcW w:w="5386" w:type="dxa"/>
            <w:vAlign w:val="center"/>
          </w:tcPr>
          <w:p>
            <w:pPr>
              <w:pStyle w:val="13"/>
            </w:pPr>
            <w:r>
              <w:t>储备物资应急保障率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9、粮食企业人员费用绩效目标表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13018326P000328100325</w:t>
            </w:r>
          </w:p>
        </w:tc>
        <w:tc>
          <w:tcPr>
            <w:tcW w:w="2835" w:type="dxa"/>
            <w:vAlign w:val="center"/>
          </w:tcPr>
          <w:p>
            <w:pPr>
              <w:pStyle w:val="11"/>
            </w:pPr>
            <w:r>
              <w:t>项目名称</w:t>
            </w:r>
          </w:p>
        </w:tc>
        <w:tc>
          <w:tcPr>
            <w:tcW w:w="6095" w:type="dxa"/>
            <w:gridSpan w:val="3"/>
            <w:vAlign w:val="center"/>
          </w:tcPr>
          <w:p>
            <w:pPr>
              <w:pStyle w:val="13"/>
            </w:pPr>
            <w:r>
              <w:t>粮食企业人员费用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190.00</w:t>
            </w:r>
          </w:p>
        </w:tc>
        <w:tc>
          <w:tcPr>
            <w:tcW w:w="2835" w:type="dxa"/>
            <w:vAlign w:val="center"/>
          </w:tcPr>
          <w:p>
            <w:pPr>
              <w:pStyle w:val="11"/>
            </w:pPr>
            <w:r>
              <w:t>其中：财政    资金</w:t>
            </w:r>
          </w:p>
        </w:tc>
        <w:tc>
          <w:tcPr>
            <w:tcW w:w="2551" w:type="dxa"/>
            <w:vAlign w:val="center"/>
          </w:tcPr>
          <w:p>
            <w:pPr>
              <w:pStyle w:val="13"/>
            </w:pPr>
            <w:r>
              <w:t>190.00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保障职工各项保险、生活费等费用及时发放。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1.确定职工稳定，促进社会和谐。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拨付企业数量</w:t>
            </w:r>
          </w:p>
        </w:tc>
        <w:tc>
          <w:tcPr>
            <w:tcW w:w="5386" w:type="dxa"/>
            <w:vAlign w:val="center"/>
          </w:tcPr>
          <w:p>
            <w:pPr>
              <w:pStyle w:val="13"/>
            </w:pPr>
            <w:r>
              <w:t>拨付企业数量</w:t>
            </w:r>
          </w:p>
        </w:tc>
        <w:tc>
          <w:tcPr>
            <w:tcW w:w="2268" w:type="dxa"/>
            <w:vAlign w:val="center"/>
          </w:tcPr>
          <w:p>
            <w:pPr>
              <w:pStyle w:val="13"/>
            </w:pPr>
            <w:r>
              <w:t>1个</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补助发放效率</w:t>
            </w:r>
          </w:p>
        </w:tc>
        <w:tc>
          <w:tcPr>
            <w:tcW w:w="5386" w:type="dxa"/>
            <w:vAlign w:val="center"/>
          </w:tcPr>
          <w:p>
            <w:pPr>
              <w:pStyle w:val="13"/>
            </w:pPr>
            <w:r>
              <w:t>补助发放效率</w:t>
            </w:r>
          </w:p>
        </w:tc>
        <w:tc>
          <w:tcPr>
            <w:tcW w:w="2268" w:type="dxa"/>
            <w:vAlign w:val="center"/>
          </w:tcPr>
          <w:p>
            <w:pPr>
              <w:pStyle w:val="13"/>
            </w:pPr>
            <w:r>
              <w:t>≥100%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支付及时率</w:t>
            </w:r>
          </w:p>
        </w:tc>
        <w:tc>
          <w:tcPr>
            <w:tcW w:w="5386" w:type="dxa"/>
            <w:vAlign w:val="center"/>
          </w:tcPr>
          <w:p>
            <w:pPr>
              <w:pStyle w:val="13"/>
            </w:pPr>
            <w:r>
              <w:t>支付及时率</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190万元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社会效益显著</w:t>
            </w:r>
          </w:p>
        </w:tc>
        <w:tc>
          <w:tcPr>
            <w:tcW w:w="5386" w:type="dxa"/>
            <w:vAlign w:val="center"/>
          </w:tcPr>
          <w:p>
            <w:pPr>
              <w:pStyle w:val="13"/>
            </w:pPr>
            <w:r>
              <w:t>社会效益显著</w:t>
            </w:r>
          </w:p>
        </w:tc>
        <w:tc>
          <w:tcPr>
            <w:tcW w:w="2268" w:type="dxa"/>
            <w:vAlign w:val="center"/>
          </w:tcPr>
          <w:p>
            <w:pPr>
              <w:pStyle w:val="13"/>
            </w:pPr>
            <w:r>
              <w:t>保障了社会稳定，促进社会和谐，增加人民幸福指数。</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企业满意度</w:t>
            </w:r>
          </w:p>
        </w:tc>
        <w:tc>
          <w:tcPr>
            <w:tcW w:w="5386" w:type="dxa"/>
            <w:vAlign w:val="center"/>
          </w:tcPr>
          <w:p>
            <w:pPr>
              <w:pStyle w:val="13"/>
            </w:pPr>
            <w:r>
              <w:t>企业满意度</w:t>
            </w:r>
          </w:p>
        </w:tc>
        <w:tc>
          <w:tcPr>
            <w:tcW w:w="2268" w:type="dxa"/>
            <w:vAlign w:val="center"/>
          </w:tcPr>
          <w:p>
            <w:pPr>
              <w:pStyle w:val="13"/>
            </w:pPr>
            <w:r>
              <w:t>≥95问卷调查</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10、粮食行政执法经费绩效目标表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13018326P00032810036K</w:t>
            </w:r>
          </w:p>
        </w:tc>
        <w:tc>
          <w:tcPr>
            <w:tcW w:w="2835" w:type="dxa"/>
            <w:vAlign w:val="center"/>
          </w:tcPr>
          <w:p>
            <w:pPr>
              <w:pStyle w:val="11"/>
            </w:pPr>
            <w:r>
              <w:t>项目名称</w:t>
            </w:r>
          </w:p>
        </w:tc>
        <w:tc>
          <w:tcPr>
            <w:tcW w:w="6095" w:type="dxa"/>
            <w:gridSpan w:val="3"/>
            <w:vAlign w:val="center"/>
          </w:tcPr>
          <w:p>
            <w:pPr>
              <w:pStyle w:val="13"/>
            </w:pPr>
            <w:r>
              <w:t>粮食行政执法经费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用以监督检查政策性粮食各项数据指标；做好仓储备案工作和粮食资格稽查工作。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1.监督检查政策性粮食的数量、质量、存储安全以及粮食经营者的最高、最低粮食库存；对粮食仓储企业进行仓储备案工作，粮食收购者是否具备粮食资格进行稽查。</w:t>
            </w:r>
          </w:p>
          <w:p>
            <w:pPr>
              <w:pStyle w:val="13"/>
            </w:pPr>
            <w:r>
              <w:t>2.维持粮食市场稳定。确保消费安全。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持证上岗率</w:t>
            </w:r>
          </w:p>
        </w:tc>
        <w:tc>
          <w:tcPr>
            <w:tcW w:w="5386" w:type="dxa"/>
            <w:vAlign w:val="center"/>
          </w:tcPr>
          <w:p>
            <w:pPr>
              <w:pStyle w:val="13"/>
            </w:pPr>
            <w:r>
              <w:t>持证上岗率</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案件办理率</w:t>
            </w:r>
          </w:p>
        </w:tc>
        <w:tc>
          <w:tcPr>
            <w:tcW w:w="5386" w:type="dxa"/>
            <w:vAlign w:val="center"/>
          </w:tcPr>
          <w:p>
            <w:pPr>
              <w:pStyle w:val="13"/>
            </w:pPr>
            <w:r>
              <w:t>案件办理率</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办结时限</w:t>
            </w:r>
          </w:p>
        </w:tc>
        <w:tc>
          <w:tcPr>
            <w:tcW w:w="5386" w:type="dxa"/>
            <w:vAlign w:val="center"/>
          </w:tcPr>
          <w:p>
            <w:pPr>
              <w:pStyle w:val="13"/>
            </w:pPr>
            <w:r>
              <w:t>办结时限</w:t>
            </w:r>
          </w:p>
        </w:tc>
        <w:tc>
          <w:tcPr>
            <w:tcW w:w="2268" w:type="dxa"/>
            <w:vAlign w:val="center"/>
          </w:tcPr>
          <w:p>
            <w:pPr>
              <w:pStyle w:val="13"/>
            </w:pPr>
            <w:r>
              <w:t>≤15天</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3万元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综合利用率</w:t>
            </w:r>
          </w:p>
        </w:tc>
        <w:tc>
          <w:tcPr>
            <w:tcW w:w="5386" w:type="dxa"/>
            <w:vAlign w:val="center"/>
          </w:tcPr>
          <w:p>
            <w:pPr>
              <w:pStyle w:val="13"/>
            </w:pPr>
            <w:r>
              <w:t>综合利用率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11、其他劳务派遣人员绩效目标表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13018326P00032810026P</w:t>
            </w:r>
          </w:p>
        </w:tc>
        <w:tc>
          <w:tcPr>
            <w:tcW w:w="2835" w:type="dxa"/>
            <w:vAlign w:val="center"/>
          </w:tcPr>
          <w:p>
            <w:pPr>
              <w:pStyle w:val="11"/>
            </w:pPr>
            <w:r>
              <w:t>项目名称</w:t>
            </w:r>
          </w:p>
        </w:tc>
        <w:tc>
          <w:tcPr>
            <w:tcW w:w="6095" w:type="dxa"/>
            <w:gridSpan w:val="3"/>
            <w:vAlign w:val="center"/>
          </w:tcPr>
          <w:p>
            <w:pPr>
              <w:pStyle w:val="13"/>
            </w:pPr>
            <w:r>
              <w:t>其他劳务派遣人员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31.34</w:t>
            </w:r>
          </w:p>
        </w:tc>
        <w:tc>
          <w:tcPr>
            <w:tcW w:w="2835" w:type="dxa"/>
            <w:vAlign w:val="center"/>
          </w:tcPr>
          <w:p>
            <w:pPr>
              <w:pStyle w:val="11"/>
            </w:pPr>
            <w:r>
              <w:t>其中：财政    资金</w:t>
            </w:r>
          </w:p>
        </w:tc>
        <w:tc>
          <w:tcPr>
            <w:tcW w:w="2551" w:type="dxa"/>
            <w:vAlign w:val="center"/>
          </w:tcPr>
          <w:p>
            <w:pPr>
              <w:pStyle w:val="13"/>
            </w:pPr>
            <w:r>
              <w:t>31.34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用以开展全市“双创双服”及煤改电、型煤推广等重点工作，有序进行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1.顺利开展全市“双创双服”及煤改电、型煤推广等重点工作，以保证重点项目的圆满完成。</w:t>
            </w:r>
          </w:p>
          <w:p>
            <w:pPr>
              <w:pStyle w:val="13"/>
            </w:pPr>
            <w:r>
              <w:t>2.保证上级领导交办的任务按时完成。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对人员的培训率</w:t>
            </w:r>
          </w:p>
        </w:tc>
        <w:tc>
          <w:tcPr>
            <w:tcW w:w="5386" w:type="dxa"/>
            <w:vAlign w:val="center"/>
          </w:tcPr>
          <w:p>
            <w:pPr>
              <w:pStyle w:val="13"/>
            </w:pPr>
            <w:r>
              <w:t>实际培训人员占应培训人员的比率</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工作的按期完成率</w:t>
            </w:r>
          </w:p>
        </w:tc>
        <w:tc>
          <w:tcPr>
            <w:tcW w:w="5386" w:type="dxa"/>
            <w:vAlign w:val="center"/>
          </w:tcPr>
          <w:p>
            <w:pPr>
              <w:pStyle w:val="13"/>
            </w:pPr>
            <w:r>
              <w:t>按期完成工作量占总工作量的比率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业务保障率</w:t>
            </w:r>
          </w:p>
        </w:tc>
        <w:tc>
          <w:tcPr>
            <w:tcW w:w="5386" w:type="dxa"/>
            <w:vAlign w:val="center"/>
          </w:tcPr>
          <w:p>
            <w:pPr>
              <w:pStyle w:val="13"/>
            </w:pPr>
            <w:r>
              <w:t>保障相关业务、工作等开展、完成情况</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项目总成本</w:t>
            </w:r>
          </w:p>
        </w:tc>
        <w:tc>
          <w:tcPr>
            <w:tcW w:w="5386" w:type="dxa"/>
            <w:vAlign w:val="center"/>
          </w:tcPr>
          <w:p>
            <w:pPr>
              <w:pStyle w:val="13"/>
            </w:pPr>
            <w:r>
              <w:t>项目总成本</w:t>
            </w:r>
          </w:p>
        </w:tc>
        <w:tc>
          <w:tcPr>
            <w:tcW w:w="2268" w:type="dxa"/>
            <w:vAlign w:val="center"/>
          </w:tcPr>
          <w:p>
            <w:pPr>
              <w:pStyle w:val="13"/>
            </w:pPr>
            <w:r>
              <w:t>31.34万元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招聘人员参加工作后，在所在岗位体现的价值</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招聘人员满意度</w:t>
            </w:r>
          </w:p>
        </w:tc>
        <w:tc>
          <w:tcPr>
            <w:tcW w:w="5386" w:type="dxa"/>
            <w:vAlign w:val="center"/>
          </w:tcPr>
          <w:p>
            <w:pPr>
              <w:pStyle w:val="13"/>
            </w:pPr>
            <w:r>
              <w:t>受益群体调查中，满意和较满意的比率</w:t>
            </w:r>
          </w:p>
        </w:tc>
        <w:tc>
          <w:tcPr>
            <w:tcW w:w="2268" w:type="dxa"/>
            <w:vAlign w:val="center"/>
          </w:tcPr>
          <w:p>
            <w:pPr>
              <w:pStyle w:val="13"/>
            </w:pPr>
            <w:r>
              <w:t>≥95%</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12、人民防空办公室经费绩效目标表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13018326P00032810040R</w:t>
            </w:r>
          </w:p>
        </w:tc>
        <w:tc>
          <w:tcPr>
            <w:tcW w:w="2835" w:type="dxa"/>
            <w:vAlign w:val="center"/>
          </w:tcPr>
          <w:p>
            <w:pPr>
              <w:pStyle w:val="11"/>
            </w:pPr>
            <w:r>
              <w:t>项目名称</w:t>
            </w:r>
          </w:p>
        </w:tc>
        <w:tc>
          <w:tcPr>
            <w:tcW w:w="6095" w:type="dxa"/>
            <w:gridSpan w:val="3"/>
            <w:vAlign w:val="center"/>
          </w:tcPr>
          <w:p>
            <w:pPr>
              <w:pStyle w:val="13"/>
            </w:pPr>
            <w:r>
              <w:t>人民防空办公室经费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用以开展人防知识宣传活动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1.保障人防工作顺利完成</w:t>
            </w:r>
          </w:p>
          <w:p>
            <w:pPr>
              <w:pStyle w:val="13"/>
            </w:pPr>
            <w:r>
              <w:t>2.保证人防知识宣传到位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人防知识宣传次数</w:t>
            </w:r>
          </w:p>
        </w:tc>
        <w:tc>
          <w:tcPr>
            <w:tcW w:w="5386" w:type="dxa"/>
            <w:vAlign w:val="center"/>
          </w:tcPr>
          <w:p>
            <w:pPr>
              <w:pStyle w:val="13"/>
            </w:pPr>
            <w:r>
              <w:t>实际宣传人防知识次数</w:t>
            </w:r>
          </w:p>
        </w:tc>
        <w:tc>
          <w:tcPr>
            <w:tcW w:w="2268" w:type="dxa"/>
            <w:vAlign w:val="center"/>
          </w:tcPr>
          <w:p>
            <w:pPr>
              <w:pStyle w:val="13"/>
            </w:pPr>
            <w:r>
              <w:t>≥2次</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人防知识覆盖率</w:t>
            </w:r>
          </w:p>
        </w:tc>
        <w:tc>
          <w:tcPr>
            <w:tcW w:w="5386" w:type="dxa"/>
            <w:vAlign w:val="center"/>
          </w:tcPr>
          <w:p>
            <w:pPr>
              <w:pStyle w:val="13"/>
            </w:pPr>
            <w:r>
              <w:t>组织开展人防防空知识宣传教育工作</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总资金成本</w:t>
            </w:r>
          </w:p>
        </w:tc>
        <w:tc>
          <w:tcPr>
            <w:tcW w:w="2268" w:type="dxa"/>
            <w:vAlign w:val="center"/>
          </w:tcPr>
          <w:p>
            <w:pPr>
              <w:pStyle w:val="13"/>
            </w:pPr>
            <w:r>
              <w:t>4万元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市民防空知识普遍提高</w:t>
            </w:r>
          </w:p>
        </w:tc>
        <w:tc>
          <w:tcPr>
            <w:tcW w:w="5386" w:type="dxa"/>
            <w:vAlign w:val="center"/>
          </w:tcPr>
          <w:p>
            <w:pPr>
              <w:pStyle w:val="13"/>
            </w:pPr>
            <w:r>
              <w:t>区域内市民防控知识提高率</w:t>
            </w:r>
          </w:p>
        </w:tc>
        <w:tc>
          <w:tcPr>
            <w:tcW w:w="2268" w:type="dxa"/>
            <w:vAlign w:val="center"/>
          </w:tcPr>
          <w:p>
            <w:pPr>
              <w:pStyle w:val="13"/>
            </w:pPr>
            <w:r>
              <w:t>≥3%</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群众满意数占总数的比例</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13、退役人员相关费用绩效目标表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13018326P00032810333L</w:t>
            </w:r>
          </w:p>
        </w:tc>
        <w:tc>
          <w:tcPr>
            <w:tcW w:w="2835" w:type="dxa"/>
            <w:vAlign w:val="center"/>
          </w:tcPr>
          <w:p>
            <w:pPr>
              <w:pStyle w:val="11"/>
            </w:pPr>
            <w:r>
              <w:t>项目名称</w:t>
            </w:r>
          </w:p>
        </w:tc>
        <w:tc>
          <w:tcPr>
            <w:tcW w:w="6095" w:type="dxa"/>
            <w:gridSpan w:val="3"/>
            <w:vAlign w:val="center"/>
          </w:tcPr>
          <w:p>
            <w:pPr>
              <w:pStyle w:val="13"/>
            </w:pPr>
            <w:r>
              <w:t>退役人员相关费用</w:t>
            </w:r>
          </w:p>
        </w:tc>
      </w:tr>
      <w:tr>
        <w:tblPrEx>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33.33</w:t>
            </w:r>
          </w:p>
        </w:tc>
        <w:tc>
          <w:tcPr>
            <w:tcW w:w="2835" w:type="dxa"/>
            <w:vAlign w:val="center"/>
          </w:tcPr>
          <w:p>
            <w:pPr>
              <w:pStyle w:val="11"/>
            </w:pPr>
            <w:r>
              <w:t>其中：财政    资金</w:t>
            </w:r>
          </w:p>
        </w:tc>
        <w:tc>
          <w:tcPr>
            <w:tcW w:w="2551" w:type="dxa"/>
            <w:vAlign w:val="center"/>
          </w:tcPr>
          <w:p>
            <w:pPr>
              <w:pStyle w:val="13"/>
            </w:pPr>
            <w:r>
              <w:t>33.33</w:t>
            </w:r>
          </w:p>
        </w:tc>
        <w:tc>
          <w:tcPr>
            <w:tcW w:w="2268" w:type="dxa"/>
            <w:vAlign w:val="center"/>
          </w:tcPr>
          <w:p>
            <w:pPr>
              <w:pStyle w:val="11"/>
            </w:pPr>
            <w:r>
              <w:t>其他资金</w:t>
            </w:r>
          </w:p>
        </w:tc>
        <w:tc>
          <w:tcPr>
            <w:tcW w:w="1276" w:type="dxa"/>
            <w:vAlign w:val="center"/>
          </w:tcPr>
          <w:p>
            <w:pPr>
              <w:pStyle w:val="13"/>
            </w:pPr>
            <w:r>
              <w:t xml:space="preserve"> </w:t>
            </w:r>
          </w:p>
        </w:tc>
      </w:tr>
      <w:tr>
        <w:tblPrEx>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用于保障退役军人所需费用及时发放。</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1.做好涉军维稳工作，保持社会稳定。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补贴人数</w:t>
            </w:r>
          </w:p>
        </w:tc>
        <w:tc>
          <w:tcPr>
            <w:tcW w:w="5386" w:type="dxa"/>
            <w:vAlign w:val="center"/>
          </w:tcPr>
          <w:p>
            <w:pPr>
              <w:pStyle w:val="13"/>
            </w:pPr>
            <w:r>
              <w:t>资金补贴的人数</w:t>
            </w:r>
          </w:p>
        </w:tc>
        <w:tc>
          <w:tcPr>
            <w:tcW w:w="2268" w:type="dxa"/>
            <w:vAlign w:val="center"/>
          </w:tcPr>
          <w:p>
            <w:pPr>
              <w:pStyle w:val="13"/>
            </w:pPr>
            <w:r>
              <w:t>12人</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资金发放率</w:t>
            </w:r>
          </w:p>
        </w:tc>
        <w:tc>
          <w:tcPr>
            <w:tcW w:w="5386" w:type="dxa"/>
            <w:vAlign w:val="center"/>
          </w:tcPr>
          <w:p>
            <w:pPr>
              <w:pStyle w:val="13"/>
            </w:pPr>
            <w:r>
              <w:t>资金发放率</w:t>
            </w:r>
          </w:p>
        </w:tc>
        <w:tc>
          <w:tcPr>
            <w:tcW w:w="2268" w:type="dxa"/>
            <w:vAlign w:val="center"/>
          </w:tcPr>
          <w:p>
            <w:pPr>
              <w:pStyle w:val="13"/>
            </w:pPr>
            <w:r>
              <w:t>≥100%</w:t>
            </w:r>
          </w:p>
        </w:tc>
        <w:tc>
          <w:tcPr>
            <w:tcW w:w="1276" w:type="dxa"/>
            <w:vAlign w:val="center"/>
          </w:tcPr>
          <w:p>
            <w:pPr>
              <w:pStyle w:val="13"/>
            </w:pPr>
            <w:r>
              <w:t>依据往年预算费用安排</w:t>
            </w:r>
          </w:p>
        </w:tc>
      </w:tr>
      <w:tr>
        <w:tblPrEx>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资金发放及时率</w:t>
            </w:r>
          </w:p>
        </w:tc>
        <w:tc>
          <w:tcPr>
            <w:tcW w:w="5386" w:type="dxa"/>
            <w:vAlign w:val="center"/>
          </w:tcPr>
          <w:p>
            <w:pPr>
              <w:pStyle w:val="13"/>
            </w:pPr>
            <w:r>
              <w:t>资金发放及时率</w:t>
            </w:r>
          </w:p>
        </w:tc>
        <w:tc>
          <w:tcPr>
            <w:tcW w:w="2268" w:type="dxa"/>
            <w:vAlign w:val="center"/>
          </w:tcPr>
          <w:p>
            <w:pPr>
              <w:pStyle w:val="13"/>
            </w:pPr>
            <w:r>
              <w:t>≥100%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资金总成本</w:t>
            </w:r>
          </w:p>
        </w:tc>
        <w:tc>
          <w:tcPr>
            <w:tcW w:w="2268" w:type="dxa"/>
            <w:vAlign w:val="center"/>
          </w:tcPr>
          <w:p>
            <w:pPr>
              <w:pStyle w:val="13"/>
            </w:pPr>
            <w:r>
              <w:t>33.33万元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去年同期维护社会稳定提升率</w:t>
            </w:r>
          </w:p>
        </w:tc>
        <w:tc>
          <w:tcPr>
            <w:tcW w:w="2268" w:type="dxa"/>
            <w:vAlign w:val="center"/>
          </w:tcPr>
          <w:p>
            <w:pPr>
              <w:pStyle w:val="13"/>
            </w:pPr>
            <w:r>
              <w:t>≥3%</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通过调查问卷满意和较满意的比率</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14、刑事案件价格认定费绩效目标表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13018326P00032810045U</w:t>
            </w:r>
          </w:p>
        </w:tc>
        <w:tc>
          <w:tcPr>
            <w:tcW w:w="2835" w:type="dxa"/>
            <w:vAlign w:val="center"/>
          </w:tcPr>
          <w:p>
            <w:pPr>
              <w:pStyle w:val="11"/>
            </w:pPr>
            <w:r>
              <w:t>项目名称</w:t>
            </w:r>
          </w:p>
        </w:tc>
        <w:tc>
          <w:tcPr>
            <w:tcW w:w="6095" w:type="dxa"/>
            <w:gridSpan w:val="3"/>
            <w:vAlign w:val="center"/>
          </w:tcPr>
          <w:p>
            <w:pPr>
              <w:pStyle w:val="13"/>
            </w:pPr>
            <w:r>
              <w:t>刑事案件价格认定费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用以价格鉴定的复核裁定等一系列工作。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1.发挥价格系统价格事务所得整体优势。</w:t>
            </w:r>
          </w:p>
          <w:p>
            <w:pPr>
              <w:pStyle w:val="13"/>
            </w:pPr>
            <w:r>
              <w:t>2.提高工作质量和效率，努力减少价格鉴定的复核裁定。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实际办案量</w:t>
            </w:r>
          </w:p>
        </w:tc>
        <w:tc>
          <w:tcPr>
            <w:tcW w:w="5386" w:type="dxa"/>
            <w:vAlign w:val="center"/>
          </w:tcPr>
          <w:p>
            <w:pPr>
              <w:pStyle w:val="13"/>
            </w:pPr>
            <w:r>
              <w:t>实际办案数量</w:t>
            </w:r>
          </w:p>
        </w:tc>
        <w:tc>
          <w:tcPr>
            <w:tcW w:w="2268" w:type="dxa"/>
            <w:vAlign w:val="center"/>
          </w:tcPr>
          <w:p>
            <w:pPr>
              <w:pStyle w:val="13"/>
            </w:pPr>
            <w:r>
              <w:t>≥65件</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工作的按期完成率</w:t>
            </w:r>
          </w:p>
        </w:tc>
        <w:tc>
          <w:tcPr>
            <w:tcW w:w="5386" w:type="dxa"/>
            <w:vAlign w:val="center"/>
          </w:tcPr>
          <w:p>
            <w:pPr>
              <w:pStyle w:val="13"/>
            </w:pPr>
            <w:r>
              <w:t>按期完成工作量占总工作量的比率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实际完成时间占计划完成时间的比率</w:t>
            </w:r>
          </w:p>
        </w:tc>
        <w:tc>
          <w:tcPr>
            <w:tcW w:w="2268" w:type="dxa"/>
            <w:vAlign w:val="center"/>
          </w:tcPr>
          <w:p>
            <w:pPr>
              <w:pStyle w:val="13"/>
            </w:pPr>
            <w:r>
              <w:t>≥90%</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总资金成本</w:t>
            </w:r>
          </w:p>
        </w:tc>
        <w:tc>
          <w:tcPr>
            <w:tcW w:w="2268" w:type="dxa"/>
            <w:vAlign w:val="center"/>
          </w:tcPr>
          <w:p>
            <w:pPr>
              <w:pStyle w:val="13"/>
            </w:pPr>
            <w:r>
              <w:t>8万元</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有利于业务开展</w:t>
            </w:r>
          </w:p>
        </w:tc>
        <w:tc>
          <w:tcPr>
            <w:tcW w:w="5386" w:type="dxa"/>
            <w:vAlign w:val="center"/>
          </w:tcPr>
          <w:p>
            <w:pPr>
              <w:pStyle w:val="13"/>
            </w:pPr>
            <w:r>
              <w:t>有利于业务开展和业务水平提高</w:t>
            </w:r>
          </w:p>
        </w:tc>
        <w:tc>
          <w:tcPr>
            <w:tcW w:w="2268" w:type="dxa"/>
            <w:vAlign w:val="center"/>
          </w:tcPr>
          <w:p>
            <w:pPr>
              <w:pStyle w:val="13"/>
            </w:pPr>
            <w:r>
              <w:t>≥3%</w:t>
            </w:r>
          </w:p>
        </w:tc>
        <w:tc>
          <w:tcPr>
            <w:tcW w:w="1276" w:type="dxa"/>
            <w:vAlign w:val="center"/>
          </w:tcPr>
          <w:p>
            <w:pPr>
              <w:pStyle w:val="13"/>
            </w:pPr>
            <w:r>
              <w:t>依据往年预算费用安排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通过问卷调查满意和较满意的比率</w:t>
            </w:r>
          </w:p>
        </w:tc>
        <w:tc>
          <w:tcPr>
            <w:tcW w:w="2268" w:type="dxa"/>
            <w:vAlign w:val="center"/>
          </w:tcPr>
          <w:p>
            <w:pPr>
              <w:pStyle w:val="13"/>
            </w:pPr>
            <w:r>
              <w:t>≥90%</w:t>
            </w:r>
          </w:p>
        </w:tc>
        <w:tc>
          <w:tcPr>
            <w:tcW w:w="1276"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303晋州市发展和改革局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4.30</w:t>
            </w:r>
          </w:p>
        </w:tc>
        <w:tc>
          <w:tcPr>
            <w:tcW w:w="964" w:type="dxa"/>
            <w:vAlign w:val="center"/>
          </w:tcPr>
          <w:p>
            <w:pPr>
              <w:pStyle w:val="16"/>
            </w:pPr>
            <w:r>
              <w:t>4.30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晋州市发展和改革局本级小计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4.30</w:t>
            </w:r>
          </w:p>
        </w:tc>
        <w:tc>
          <w:tcPr>
            <w:tcW w:w="964" w:type="dxa"/>
            <w:vAlign w:val="center"/>
          </w:tcPr>
          <w:p>
            <w:pPr>
              <w:pStyle w:val="16"/>
            </w:pPr>
            <w:r>
              <w:t>4.30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4.30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26.91</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26.91</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40</w:t>
            </w:r>
          </w:p>
        </w:tc>
        <w:tc>
          <w:tcPr>
            <w:tcW w:w="850" w:type="dxa"/>
            <w:vAlign w:val="center"/>
          </w:tcPr>
          <w:p>
            <w:pPr>
              <w:pStyle w:val="12"/>
            </w:pPr>
            <w:r>
              <w:t>0.02</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26.91</w:t>
            </w:r>
          </w:p>
        </w:tc>
        <w:tc>
          <w:tcPr>
            <w:tcW w:w="1134" w:type="dxa"/>
            <w:vAlign w:val="center"/>
          </w:tcPr>
          <w:p>
            <w:pPr>
              <w:pStyle w:val="13"/>
            </w:pPr>
            <w:r>
              <w:t>其他办公用品</w:t>
            </w:r>
          </w:p>
        </w:tc>
        <w:tc>
          <w:tcPr>
            <w:tcW w:w="1134" w:type="dxa"/>
            <w:vAlign w:val="center"/>
          </w:tcPr>
          <w:p>
            <w:pPr>
              <w:pStyle w:val="13"/>
            </w:pPr>
            <w:r>
              <w:t>A05049900</w:t>
            </w:r>
          </w:p>
        </w:tc>
        <w:tc>
          <w:tcPr>
            <w:tcW w:w="709" w:type="dxa"/>
            <w:vAlign w:val="center"/>
          </w:tcPr>
          <w:p>
            <w:pPr>
              <w:pStyle w:val="14"/>
            </w:pPr>
            <w:r>
              <w:t>批</w:t>
            </w:r>
          </w:p>
        </w:tc>
        <w:tc>
          <w:tcPr>
            <w:tcW w:w="850" w:type="dxa"/>
            <w:vAlign w:val="center"/>
          </w:tcPr>
          <w:p>
            <w:pPr>
              <w:pStyle w:val="12"/>
            </w:pPr>
            <w:r>
              <w:t>10</w:t>
            </w:r>
          </w:p>
        </w:tc>
        <w:tc>
          <w:tcPr>
            <w:tcW w:w="850" w:type="dxa"/>
            <w:vAlign w:val="center"/>
          </w:tcPr>
          <w:p>
            <w:pPr>
              <w:pStyle w:val="12"/>
            </w:pPr>
            <w:r>
              <w:t>0.08</w:t>
            </w:r>
          </w:p>
        </w:tc>
        <w:tc>
          <w:tcPr>
            <w:tcW w:w="964" w:type="dxa"/>
            <w:vAlign w:val="center"/>
          </w:tcPr>
          <w:p>
            <w:pPr>
              <w:pStyle w:val="12"/>
            </w:pPr>
            <w:r>
              <w:t>0.80</w:t>
            </w:r>
          </w:p>
        </w:tc>
        <w:tc>
          <w:tcPr>
            <w:tcW w:w="964" w:type="dxa"/>
            <w:vAlign w:val="center"/>
          </w:tcPr>
          <w:p>
            <w:pPr>
              <w:pStyle w:val="12"/>
            </w:pPr>
            <w:r>
              <w:t>0.80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人民防空办公室经费</w:t>
            </w:r>
          </w:p>
        </w:tc>
        <w:tc>
          <w:tcPr>
            <w:tcW w:w="964" w:type="dxa"/>
            <w:vAlign w:val="center"/>
          </w:tcPr>
          <w:p>
            <w:pPr>
              <w:pStyle w:val="12"/>
            </w:pPr>
            <w:r>
              <w:t>4.00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0.60</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晋州市发展和改革局（含所属单位）上年末固定资产金额为984.55万元（详见下表）。本年度拟购置固定资产总额为0.00万元，已按要求列入政府采购预算，详见政府采购预算表。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303晋州市发展和改革局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984.55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3208.84</w:t>
            </w:r>
          </w:p>
        </w:tc>
        <w:tc>
          <w:tcPr>
            <w:tcW w:w="2835" w:type="dxa"/>
            <w:vAlign w:val="center"/>
          </w:tcPr>
          <w:p>
            <w:pPr>
              <w:pStyle w:val="12"/>
            </w:pPr>
            <w:r>
              <w:t>532.17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500</w:t>
            </w:r>
          </w:p>
        </w:tc>
        <w:tc>
          <w:tcPr>
            <w:tcW w:w="2835" w:type="dxa"/>
            <w:vAlign w:val="center"/>
          </w:tcPr>
          <w:p>
            <w:pPr>
              <w:pStyle w:val="12"/>
            </w:pPr>
            <w:r>
              <w:t>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3</w:t>
            </w:r>
          </w:p>
        </w:tc>
        <w:tc>
          <w:tcPr>
            <w:tcW w:w="2835" w:type="dxa"/>
            <w:vAlign w:val="center"/>
          </w:tcPr>
          <w:p>
            <w:pPr>
              <w:pStyle w:val="12"/>
            </w:pPr>
            <w:r>
              <w:t>43.64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536</w:t>
            </w:r>
          </w:p>
        </w:tc>
        <w:tc>
          <w:tcPr>
            <w:tcW w:w="2835" w:type="dxa"/>
            <w:vAlign w:val="center"/>
          </w:tcPr>
          <w:p>
            <w:pPr>
              <w:pStyle w:val="12"/>
            </w:pPr>
            <w:r>
              <w:t>408.74</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B3DD02"/>
    <w:multiLevelType w:val="singleLevel"/>
    <w:tmpl w:val="F0B3DD02"/>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36B9400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60</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2026-03-02T08:45:00Z</dcterms:created>
  <dc:creator>Administrator</dc:creator>
  <cp:lastModifiedBy>Administrator</cp:lastModifiedBy>
  <dcterms:modified xsi:type="dcterms:W3CDTF">2026-03-02T03:06:19Z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