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315晋州市司法局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1286.82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1286.82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1286.82</w:t>
            </w:r>
          </w:p>
        </w:tc>
        <w:tc>
          <w:tcPr>
            <w:tcW w:w="4535" w:type="dxa"/>
            <w:vAlign w:val="center"/>
          </w:tcPr>
          <w:p>
            <w:pPr>
              <w:pStyle w:val="15"/>
            </w:pPr>
            <w:r>
              <w:t>本年支出合计</w:t>
            </w:r>
          </w:p>
        </w:tc>
        <w:tc>
          <w:tcPr>
            <w:tcW w:w="2126" w:type="dxa"/>
            <w:vAlign w:val="center"/>
          </w:tcPr>
          <w:p>
            <w:pPr>
              <w:pStyle w:val="16"/>
            </w:pPr>
            <w:r>
              <w:t>1286.82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1286.82</w:t>
            </w:r>
          </w:p>
        </w:tc>
        <w:tc>
          <w:tcPr>
            <w:tcW w:w="4535" w:type="dxa"/>
            <w:vAlign w:val="center"/>
          </w:tcPr>
          <w:p>
            <w:pPr>
              <w:pStyle w:val="15"/>
            </w:pPr>
            <w:r>
              <w:t>支出总计</w:t>
            </w:r>
          </w:p>
        </w:tc>
        <w:tc>
          <w:tcPr>
            <w:tcW w:w="2126" w:type="dxa"/>
            <w:vAlign w:val="center"/>
          </w:tcPr>
          <w:p>
            <w:pPr>
              <w:pStyle w:val="16"/>
            </w:pPr>
            <w:r>
              <w:t>1286.82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315晋州市司法局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1286.82</w:t>
            </w:r>
          </w:p>
        </w:tc>
        <w:tc>
          <w:tcPr>
            <w:tcW w:w="1134" w:type="dxa"/>
            <w:vAlign w:val="center"/>
          </w:tcPr>
          <w:p>
            <w:pPr>
              <w:pStyle w:val="16"/>
            </w:pPr>
            <w:r>
              <w:t>1286.82</w:t>
            </w:r>
          </w:p>
        </w:tc>
        <w:tc>
          <w:tcPr>
            <w:tcW w:w="1134" w:type="dxa"/>
            <w:vAlign w:val="center"/>
          </w:tcPr>
          <w:p>
            <w:pPr>
              <w:pStyle w:val="16"/>
            </w:pPr>
            <w:r>
              <w:t>1286.82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1286.82</w:t>
            </w:r>
          </w:p>
        </w:tc>
        <w:tc>
          <w:tcPr>
            <w:tcW w:w="1134" w:type="dxa"/>
            <w:vAlign w:val="center"/>
          </w:tcPr>
          <w:p>
            <w:pPr>
              <w:pStyle w:val="12"/>
            </w:pPr>
            <w:r>
              <w:t>1286.82</w:t>
            </w:r>
          </w:p>
        </w:tc>
        <w:tc>
          <w:tcPr>
            <w:tcW w:w="1134" w:type="dxa"/>
            <w:vAlign w:val="center"/>
          </w:tcPr>
          <w:p>
            <w:pPr>
              <w:pStyle w:val="12"/>
            </w:pPr>
            <w:r>
              <w:t>1286.82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20406</w:t>
            </w:r>
          </w:p>
        </w:tc>
        <w:tc>
          <w:tcPr>
            <w:tcW w:w="1559" w:type="dxa"/>
            <w:vAlign w:val="center"/>
          </w:tcPr>
          <w:p>
            <w:pPr>
              <w:pStyle w:val="13"/>
            </w:pPr>
            <w:r>
              <w:t>司法</w:t>
            </w:r>
          </w:p>
        </w:tc>
        <w:tc>
          <w:tcPr>
            <w:tcW w:w="1134" w:type="dxa"/>
            <w:vAlign w:val="center"/>
          </w:tcPr>
          <w:p>
            <w:pPr>
              <w:pStyle w:val="12"/>
            </w:pPr>
            <w:r>
              <w:t>1286.82</w:t>
            </w:r>
          </w:p>
        </w:tc>
        <w:tc>
          <w:tcPr>
            <w:tcW w:w="1134" w:type="dxa"/>
            <w:vAlign w:val="center"/>
          </w:tcPr>
          <w:p>
            <w:pPr>
              <w:pStyle w:val="12"/>
            </w:pPr>
            <w:r>
              <w:t>1286.82</w:t>
            </w:r>
          </w:p>
        </w:tc>
        <w:tc>
          <w:tcPr>
            <w:tcW w:w="1134" w:type="dxa"/>
            <w:vAlign w:val="center"/>
          </w:tcPr>
          <w:p>
            <w:pPr>
              <w:pStyle w:val="12"/>
            </w:pPr>
            <w:r>
              <w:t>1286.82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2040601</w:t>
            </w:r>
          </w:p>
        </w:tc>
        <w:tc>
          <w:tcPr>
            <w:tcW w:w="1559" w:type="dxa"/>
            <w:vAlign w:val="center"/>
          </w:tcPr>
          <w:p>
            <w:pPr>
              <w:pStyle w:val="13"/>
            </w:pPr>
            <w:r>
              <w:t>行政运行</w:t>
            </w:r>
          </w:p>
        </w:tc>
        <w:tc>
          <w:tcPr>
            <w:tcW w:w="1134" w:type="dxa"/>
            <w:vAlign w:val="center"/>
          </w:tcPr>
          <w:p>
            <w:pPr>
              <w:pStyle w:val="12"/>
            </w:pPr>
            <w:r>
              <w:t>927.10</w:t>
            </w:r>
          </w:p>
        </w:tc>
        <w:tc>
          <w:tcPr>
            <w:tcW w:w="1134" w:type="dxa"/>
            <w:vAlign w:val="center"/>
          </w:tcPr>
          <w:p>
            <w:pPr>
              <w:pStyle w:val="12"/>
            </w:pPr>
            <w:r>
              <w:t>927.10</w:t>
            </w:r>
          </w:p>
        </w:tc>
        <w:tc>
          <w:tcPr>
            <w:tcW w:w="1134" w:type="dxa"/>
            <w:vAlign w:val="center"/>
          </w:tcPr>
          <w:p>
            <w:pPr>
              <w:pStyle w:val="12"/>
            </w:pPr>
            <w:r>
              <w:t>927.10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2040602</w:t>
            </w:r>
          </w:p>
        </w:tc>
        <w:tc>
          <w:tcPr>
            <w:tcW w:w="1559" w:type="dxa"/>
            <w:vAlign w:val="center"/>
          </w:tcPr>
          <w:p>
            <w:pPr>
              <w:pStyle w:val="13"/>
            </w:pPr>
            <w:r>
              <w:t>一般行政管理事务</w:t>
            </w:r>
          </w:p>
        </w:tc>
        <w:tc>
          <w:tcPr>
            <w:tcW w:w="1134" w:type="dxa"/>
            <w:vAlign w:val="center"/>
          </w:tcPr>
          <w:p>
            <w:pPr>
              <w:pStyle w:val="12"/>
            </w:pPr>
            <w:r>
              <w:t>59.55</w:t>
            </w:r>
          </w:p>
        </w:tc>
        <w:tc>
          <w:tcPr>
            <w:tcW w:w="1134" w:type="dxa"/>
            <w:vAlign w:val="center"/>
          </w:tcPr>
          <w:p>
            <w:pPr>
              <w:pStyle w:val="12"/>
            </w:pPr>
            <w:r>
              <w:t>59.55</w:t>
            </w:r>
          </w:p>
        </w:tc>
        <w:tc>
          <w:tcPr>
            <w:tcW w:w="1134" w:type="dxa"/>
            <w:vAlign w:val="center"/>
          </w:tcPr>
          <w:p>
            <w:pPr>
              <w:pStyle w:val="12"/>
            </w:pPr>
            <w:r>
              <w:t>59.55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2040604</w:t>
            </w:r>
          </w:p>
        </w:tc>
        <w:tc>
          <w:tcPr>
            <w:tcW w:w="1559" w:type="dxa"/>
            <w:vAlign w:val="center"/>
          </w:tcPr>
          <w:p>
            <w:pPr>
              <w:pStyle w:val="13"/>
            </w:pPr>
            <w:r>
              <w:t>基层司法业务</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2040605</w:t>
            </w:r>
          </w:p>
        </w:tc>
        <w:tc>
          <w:tcPr>
            <w:tcW w:w="1559" w:type="dxa"/>
            <w:vAlign w:val="center"/>
          </w:tcPr>
          <w:p>
            <w:pPr>
              <w:pStyle w:val="13"/>
            </w:pPr>
            <w:r>
              <w:t>普法宣传</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2040607</w:t>
            </w:r>
          </w:p>
        </w:tc>
        <w:tc>
          <w:tcPr>
            <w:tcW w:w="1559" w:type="dxa"/>
            <w:vAlign w:val="center"/>
          </w:tcPr>
          <w:p>
            <w:pPr>
              <w:pStyle w:val="13"/>
            </w:pPr>
            <w:r>
              <w:t>公共法律服务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2040610</w:t>
            </w:r>
          </w:p>
        </w:tc>
        <w:tc>
          <w:tcPr>
            <w:tcW w:w="1559" w:type="dxa"/>
            <w:vAlign w:val="center"/>
          </w:tcPr>
          <w:p>
            <w:pPr>
              <w:pStyle w:val="13"/>
            </w:pPr>
            <w:r>
              <w:t>社区矫正</w:t>
            </w:r>
          </w:p>
        </w:tc>
        <w:tc>
          <w:tcPr>
            <w:tcW w:w="1134" w:type="dxa"/>
            <w:vAlign w:val="center"/>
          </w:tcPr>
          <w:p>
            <w:pPr>
              <w:pStyle w:val="12"/>
            </w:pPr>
            <w:r>
              <w:t>55.17</w:t>
            </w:r>
          </w:p>
        </w:tc>
        <w:tc>
          <w:tcPr>
            <w:tcW w:w="1134" w:type="dxa"/>
            <w:vAlign w:val="center"/>
          </w:tcPr>
          <w:p>
            <w:pPr>
              <w:pStyle w:val="12"/>
            </w:pPr>
            <w:r>
              <w:t>55.17</w:t>
            </w:r>
          </w:p>
        </w:tc>
        <w:tc>
          <w:tcPr>
            <w:tcW w:w="1134" w:type="dxa"/>
            <w:vAlign w:val="center"/>
          </w:tcPr>
          <w:p>
            <w:pPr>
              <w:pStyle w:val="12"/>
            </w:pPr>
            <w:r>
              <w:t>55.17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2040612</w:t>
            </w:r>
          </w:p>
        </w:tc>
        <w:tc>
          <w:tcPr>
            <w:tcW w:w="1559" w:type="dxa"/>
            <w:vAlign w:val="center"/>
          </w:tcPr>
          <w:p>
            <w:pPr>
              <w:pStyle w:val="13"/>
            </w:pPr>
            <w:r>
              <w:t>法治建设</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2040699</w:t>
            </w:r>
          </w:p>
        </w:tc>
        <w:tc>
          <w:tcPr>
            <w:tcW w:w="1559" w:type="dxa"/>
            <w:vAlign w:val="center"/>
          </w:tcPr>
          <w:p>
            <w:pPr>
              <w:pStyle w:val="13"/>
            </w:pPr>
            <w:r>
              <w:t>其他司法支出</w:t>
            </w:r>
          </w:p>
        </w:tc>
        <w:tc>
          <w:tcPr>
            <w:tcW w:w="1134" w:type="dxa"/>
            <w:vAlign w:val="center"/>
          </w:tcPr>
          <w:p>
            <w:pPr>
              <w:pStyle w:val="12"/>
            </w:pPr>
            <w:r>
              <w:t>106.00</w:t>
            </w:r>
          </w:p>
        </w:tc>
        <w:tc>
          <w:tcPr>
            <w:tcW w:w="1134" w:type="dxa"/>
            <w:vAlign w:val="center"/>
          </w:tcPr>
          <w:p>
            <w:pPr>
              <w:pStyle w:val="12"/>
            </w:pPr>
            <w:r>
              <w:t>106.00</w:t>
            </w:r>
          </w:p>
        </w:tc>
        <w:tc>
          <w:tcPr>
            <w:tcW w:w="1134" w:type="dxa"/>
            <w:vAlign w:val="center"/>
          </w:tcPr>
          <w:p>
            <w:pPr>
              <w:pStyle w:val="12"/>
            </w:pPr>
            <w:r>
              <w:t>106.00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1286.82</w:t>
            </w:r>
          </w:p>
        </w:tc>
        <w:tc>
          <w:tcPr>
            <w:tcW w:w="1361" w:type="dxa"/>
            <w:vAlign w:val="center"/>
          </w:tcPr>
          <w:p>
            <w:pPr>
              <w:pStyle w:val="16"/>
            </w:pPr>
            <w:r>
              <w:t>927.10</w:t>
            </w:r>
          </w:p>
        </w:tc>
        <w:tc>
          <w:tcPr>
            <w:tcW w:w="1361" w:type="dxa"/>
            <w:vAlign w:val="center"/>
          </w:tcPr>
          <w:p>
            <w:pPr>
              <w:pStyle w:val="16"/>
            </w:pPr>
            <w:r>
              <w:t>359.72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1286.82</w:t>
            </w:r>
          </w:p>
        </w:tc>
        <w:tc>
          <w:tcPr>
            <w:tcW w:w="1361" w:type="dxa"/>
            <w:vAlign w:val="center"/>
          </w:tcPr>
          <w:p>
            <w:pPr>
              <w:pStyle w:val="12"/>
            </w:pPr>
            <w:r>
              <w:t>927.10</w:t>
            </w:r>
          </w:p>
        </w:tc>
        <w:tc>
          <w:tcPr>
            <w:tcW w:w="1361" w:type="dxa"/>
            <w:vAlign w:val="center"/>
          </w:tcPr>
          <w:p>
            <w:pPr>
              <w:pStyle w:val="12"/>
            </w:pPr>
            <w:r>
              <w:t>359.72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20406</w:t>
            </w:r>
          </w:p>
        </w:tc>
        <w:tc>
          <w:tcPr>
            <w:tcW w:w="4535" w:type="dxa"/>
            <w:vAlign w:val="center"/>
          </w:tcPr>
          <w:p>
            <w:pPr>
              <w:pStyle w:val="13"/>
            </w:pPr>
            <w:r>
              <w:t>司法</w:t>
            </w:r>
          </w:p>
        </w:tc>
        <w:tc>
          <w:tcPr>
            <w:tcW w:w="1361" w:type="dxa"/>
            <w:vAlign w:val="center"/>
          </w:tcPr>
          <w:p>
            <w:pPr>
              <w:pStyle w:val="12"/>
            </w:pPr>
            <w:r>
              <w:t>1286.82</w:t>
            </w:r>
          </w:p>
        </w:tc>
        <w:tc>
          <w:tcPr>
            <w:tcW w:w="1361" w:type="dxa"/>
            <w:vAlign w:val="center"/>
          </w:tcPr>
          <w:p>
            <w:pPr>
              <w:pStyle w:val="12"/>
            </w:pPr>
            <w:r>
              <w:t>927.10</w:t>
            </w:r>
          </w:p>
        </w:tc>
        <w:tc>
          <w:tcPr>
            <w:tcW w:w="1361" w:type="dxa"/>
            <w:vAlign w:val="center"/>
          </w:tcPr>
          <w:p>
            <w:pPr>
              <w:pStyle w:val="12"/>
            </w:pPr>
            <w:r>
              <w:t>359.72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2040601</w:t>
            </w:r>
          </w:p>
        </w:tc>
        <w:tc>
          <w:tcPr>
            <w:tcW w:w="4535" w:type="dxa"/>
            <w:vAlign w:val="center"/>
          </w:tcPr>
          <w:p>
            <w:pPr>
              <w:pStyle w:val="13"/>
            </w:pPr>
            <w:r>
              <w:t>行政运行</w:t>
            </w:r>
          </w:p>
        </w:tc>
        <w:tc>
          <w:tcPr>
            <w:tcW w:w="1361" w:type="dxa"/>
            <w:vAlign w:val="center"/>
          </w:tcPr>
          <w:p>
            <w:pPr>
              <w:pStyle w:val="12"/>
            </w:pPr>
            <w:r>
              <w:t>927.10</w:t>
            </w:r>
          </w:p>
        </w:tc>
        <w:tc>
          <w:tcPr>
            <w:tcW w:w="1361" w:type="dxa"/>
            <w:vAlign w:val="center"/>
          </w:tcPr>
          <w:p>
            <w:pPr>
              <w:pStyle w:val="12"/>
            </w:pPr>
            <w:r>
              <w:t>927.10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2040602</w:t>
            </w:r>
          </w:p>
        </w:tc>
        <w:tc>
          <w:tcPr>
            <w:tcW w:w="4535" w:type="dxa"/>
            <w:vAlign w:val="center"/>
          </w:tcPr>
          <w:p>
            <w:pPr>
              <w:pStyle w:val="13"/>
            </w:pPr>
            <w:r>
              <w:t>一般行政管理事务</w:t>
            </w:r>
          </w:p>
        </w:tc>
        <w:tc>
          <w:tcPr>
            <w:tcW w:w="1361" w:type="dxa"/>
            <w:vAlign w:val="center"/>
          </w:tcPr>
          <w:p>
            <w:pPr>
              <w:pStyle w:val="12"/>
            </w:pPr>
            <w:r>
              <w:t>59.55</w:t>
            </w:r>
          </w:p>
        </w:tc>
        <w:tc>
          <w:tcPr>
            <w:tcW w:w="1361" w:type="dxa"/>
            <w:vAlign w:val="center"/>
          </w:tcPr>
          <w:p>
            <w:pPr>
              <w:pStyle w:val="12"/>
            </w:pPr>
          </w:p>
        </w:tc>
        <w:tc>
          <w:tcPr>
            <w:tcW w:w="1361" w:type="dxa"/>
            <w:vAlign w:val="center"/>
          </w:tcPr>
          <w:p>
            <w:pPr>
              <w:pStyle w:val="12"/>
            </w:pPr>
            <w:r>
              <w:t>59.55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2040604</w:t>
            </w:r>
          </w:p>
        </w:tc>
        <w:tc>
          <w:tcPr>
            <w:tcW w:w="4535" w:type="dxa"/>
            <w:vAlign w:val="center"/>
          </w:tcPr>
          <w:p>
            <w:pPr>
              <w:pStyle w:val="13"/>
            </w:pPr>
            <w:r>
              <w:t>基层司法业务</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2040605</w:t>
            </w:r>
          </w:p>
        </w:tc>
        <w:tc>
          <w:tcPr>
            <w:tcW w:w="4535" w:type="dxa"/>
            <w:vAlign w:val="center"/>
          </w:tcPr>
          <w:p>
            <w:pPr>
              <w:pStyle w:val="13"/>
            </w:pPr>
            <w:r>
              <w:t>普法宣传</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2040607</w:t>
            </w:r>
          </w:p>
        </w:tc>
        <w:tc>
          <w:tcPr>
            <w:tcW w:w="4535" w:type="dxa"/>
            <w:vAlign w:val="center"/>
          </w:tcPr>
          <w:p>
            <w:pPr>
              <w:pStyle w:val="13"/>
            </w:pPr>
            <w:r>
              <w:t>公共法律服务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2040610</w:t>
            </w:r>
          </w:p>
        </w:tc>
        <w:tc>
          <w:tcPr>
            <w:tcW w:w="4535" w:type="dxa"/>
            <w:vAlign w:val="center"/>
          </w:tcPr>
          <w:p>
            <w:pPr>
              <w:pStyle w:val="13"/>
            </w:pPr>
            <w:r>
              <w:t>社区矫正</w:t>
            </w:r>
          </w:p>
        </w:tc>
        <w:tc>
          <w:tcPr>
            <w:tcW w:w="1361" w:type="dxa"/>
            <w:vAlign w:val="center"/>
          </w:tcPr>
          <w:p>
            <w:pPr>
              <w:pStyle w:val="12"/>
            </w:pPr>
            <w:r>
              <w:t>55.17</w:t>
            </w:r>
          </w:p>
        </w:tc>
        <w:tc>
          <w:tcPr>
            <w:tcW w:w="1361" w:type="dxa"/>
            <w:vAlign w:val="center"/>
          </w:tcPr>
          <w:p>
            <w:pPr>
              <w:pStyle w:val="12"/>
            </w:pPr>
          </w:p>
        </w:tc>
        <w:tc>
          <w:tcPr>
            <w:tcW w:w="1361" w:type="dxa"/>
            <w:vAlign w:val="center"/>
          </w:tcPr>
          <w:p>
            <w:pPr>
              <w:pStyle w:val="12"/>
            </w:pPr>
            <w:r>
              <w:t>55.17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2040612</w:t>
            </w:r>
          </w:p>
        </w:tc>
        <w:tc>
          <w:tcPr>
            <w:tcW w:w="4535" w:type="dxa"/>
            <w:vAlign w:val="center"/>
          </w:tcPr>
          <w:p>
            <w:pPr>
              <w:pStyle w:val="13"/>
            </w:pPr>
            <w:r>
              <w:t>法治建设</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2040699</w:t>
            </w:r>
          </w:p>
        </w:tc>
        <w:tc>
          <w:tcPr>
            <w:tcW w:w="4535" w:type="dxa"/>
            <w:vAlign w:val="center"/>
          </w:tcPr>
          <w:p>
            <w:pPr>
              <w:pStyle w:val="13"/>
            </w:pPr>
            <w:r>
              <w:t>其他司法支出</w:t>
            </w:r>
          </w:p>
        </w:tc>
        <w:tc>
          <w:tcPr>
            <w:tcW w:w="1361" w:type="dxa"/>
            <w:vAlign w:val="center"/>
          </w:tcPr>
          <w:p>
            <w:pPr>
              <w:pStyle w:val="12"/>
            </w:pPr>
            <w:r>
              <w:t>106.00</w:t>
            </w:r>
          </w:p>
        </w:tc>
        <w:tc>
          <w:tcPr>
            <w:tcW w:w="1361" w:type="dxa"/>
            <w:vAlign w:val="center"/>
          </w:tcPr>
          <w:p>
            <w:pPr>
              <w:pStyle w:val="12"/>
            </w:pPr>
          </w:p>
        </w:tc>
        <w:tc>
          <w:tcPr>
            <w:tcW w:w="1361" w:type="dxa"/>
            <w:vAlign w:val="center"/>
          </w:tcPr>
          <w:p>
            <w:pPr>
              <w:pStyle w:val="12"/>
            </w:pPr>
            <w:r>
              <w:t>106.00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1286.82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1286.82</w:t>
            </w:r>
          </w:p>
        </w:tc>
        <w:tc>
          <w:tcPr>
            <w:tcW w:w="1474" w:type="dxa"/>
            <w:vAlign w:val="center"/>
          </w:tcPr>
          <w:p>
            <w:pPr>
              <w:pStyle w:val="12"/>
            </w:pPr>
            <w:r>
              <w:t>1286.82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1286.82</w:t>
            </w:r>
          </w:p>
        </w:tc>
        <w:tc>
          <w:tcPr>
            <w:tcW w:w="3402" w:type="dxa"/>
            <w:vAlign w:val="center"/>
          </w:tcPr>
          <w:p>
            <w:pPr>
              <w:pStyle w:val="15"/>
            </w:pPr>
            <w:r>
              <w:t>本年支出合计</w:t>
            </w:r>
          </w:p>
        </w:tc>
        <w:tc>
          <w:tcPr>
            <w:tcW w:w="1474" w:type="dxa"/>
            <w:vAlign w:val="center"/>
          </w:tcPr>
          <w:p>
            <w:pPr>
              <w:pStyle w:val="16"/>
            </w:pPr>
            <w:r>
              <w:t>1286.82</w:t>
            </w:r>
          </w:p>
        </w:tc>
        <w:tc>
          <w:tcPr>
            <w:tcW w:w="1474" w:type="dxa"/>
            <w:vAlign w:val="center"/>
          </w:tcPr>
          <w:p>
            <w:pPr>
              <w:pStyle w:val="16"/>
            </w:pPr>
            <w:r>
              <w:t>1286.82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1286.82</w:t>
            </w:r>
          </w:p>
        </w:tc>
        <w:tc>
          <w:tcPr>
            <w:tcW w:w="3402" w:type="dxa"/>
            <w:vAlign w:val="center"/>
          </w:tcPr>
          <w:p>
            <w:pPr>
              <w:pStyle w:val="15"/>
            </w:pPr>
            <w:r>
              <w:t>支出总计</w:t>
            </w:r>
          </w:p>
        </w:tc>
        <w:tc>
          <w:tcPr>
            <w:tcW w:w="1474" w:type="dxa"/>
            <w:vAlign w:val="center"/>
          </w:tcPr>
          <w:p>
            <w:pPr>
              <w:pStyle w:val="16"/>
            </w:pPr>
            <w:r>
              <w:t>1286.82</w:t>
            </w:r>
          </w:p>
        </w:tc>
        <w:tc>
          <w:tcPr>
            <w:tcW w:w="1474" w:type="dxa"/>
            <w:vAlign w:val="center"/>
          </w:tcPr>
          <w:p>
            <w:pPr>
              <w:pStyle w:val="16"/>
            </w:pPr>
            <w:r>
              <w:t>1286.82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1286.82</w:t>
            </w:r>
          </w:p>
        </w:tc>
        <w:tc>
          <w:tcPr>
            <w:tcW w:w="2551" w:type="dxa"/>
            <w:vAlign w:val="center"/>
          </w:tcPr>
          <w:p>
            <w:pPr>
              <w:pStyle w:val="16"/>
            </w:pPr>
            <w:r>
              <w:t>927.10</w:t>
            </w:r>
          </w:p>
        </w:tc>
        <w:tc>
          <w:tcPr>
            <w:tcW w:w="2551" w:type="dxa"/>
            <w:vAlign w:val="center"/>
          </w:tcPr>
          <w:p>
            <w:pPr>
              <w:pStyle w:val="16"/>
            </w:pPr>
            <w:r>
              <w:t>359.72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1286.82</w:t>
            </w:r>
          </w:p>
        </w:tc>
        <w:tc>
          <w:tcPr>
            <w:tcW w:w="2551" w:type="dxa"/>
            <w:vAlign w:val="center"/>
          </w:tcPr>
          <w:p>
            <w:pPr>
              <w:pStyle w:val="12"/>
            </w:pPr>
            <w:r>
              <w:t>927.10</w:t>
            </w:r>
          </w:p>
        </w:tc>
        <w:tc>
          <w:tcPr>
            <w:tcW w:w="2551" w:type="dxa"/>
            <w:vAlign w:val="center"/>
          </w:tcPr>
          <w:p>
            <w:pPr>
              <w:pStyle w:val="12"/>
            </w:pPr>
            <w:r>
              <w:t>359.72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20406</w:t>
            </w:r>
          </w:p>
        </w:tc>
        <w:tc>
          <w:tcPr>
            <w:tcW w:w="4535" w:type="dxa"/>
            <w:vAlign w:val="center"/>
          </w:tcPr>
          <w:p>
            <w:pPr>
              <w:pStyle w:val="13"/>
            </w:pPr>
            <w:r>
              <w:t>司法</w:t>
            </w:r>
          </w:p>
        </w:tc>
        <w:tc>
          <w:tcPr>
            <w:tcW w:w="2551" w:type="dxa"/>
            <w:vAlign w:val="center"/>
          </w:tcPr>
          <w:p>
            <w:pPr>
              <w:pStyle w:val="12"/>
            </w:pPr>
            <w:r>
              <w:t>1286.82</w:t>
            </w:r>
          </w:p>
        </w:tc>
        <w:tc>
          <w:tcPr>
            <w:tcW w:w="2551" w:type="dxa"/>
            <w:vAlign w:val="center"/>
          </w:tcPr>
          <w:p>
            <w:pPr>
              <w:pStyle w:val="12"/>
            </w:pPr>
            <w:r>
              <w:t>927.10</w:t>
            </w:r>
          </w:p>
        </w:tc>
        <w:tc>
          <w:tcPr>
            <w:tcW w:w="2551" w:type="dxa"/>
            <w:vAlign w:val="center"/>
          </w:tcPr>
          <w:p>
            <w:pPr>
              <w:pStyle w:val="12"/>
            </w:pPr>
            <w:r>
              <w:t>359.72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2040601</w:t>
            </w:r>
          </w:p>
        </w:tc>
        <w:tc>
          <w:tcPr>
            <w:tcW w:w="4535" w:type="dxa"/>
            <w:vAlign w:val="center"/>
          </w:tcPr>
          <w:p>
            <w:pPr>
              <w:pStyle w:val="13"/>
            </w:pPr>
            <w:r>
              <w:t>行政运行</w:t>
            </w:r>
          </w:p>
        </w:tc>
        <w:tc>
          <w:tcPr>
            <w:tcW w:w="2551" w:type="dxa"/>
            <w:vAlign w:val="center"/>
          </w:tcPr>
          <w:p>
            <w:pPr>
              <w:pStyle w:val="12"/>
            </w:pPr>
            <w:r>
              <w:t>927.10</w:t>
            </w:r>
          </w:p>
        </w:tc>
        <w:tc>
          <w:tcPr>
            <w:tcW w:w="2551" w:type="dxa"/>
            <w:vAlign w:val="center"/>
          </w:tcPr>
          <w:p>
            <w:pPr>
              <w:pStyle w:val="12"/>
            </w:pPr>
            <w:r>
              <w:t>927.10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2040602</w:t>
            </w:r>
          </w:p>
        </w:tc>
        <w:tc>
          <w:tcPr>
            <w:tcW w:w="4535" w:type="dxa"/>
            <w:vAlign w:val="center"/>
          </w:tcPr>
          <w:p>
            <w:pPr>
              <w:pStyle w:val="13"/>
            </w:pPr>
            <w:r>
              <w:t>一般行政管理事务</w:t>
            </w:r>
          </w:p>
        </w:tc>
        <w:tc>
          <w:tcPr>
            <w:tcW w:w="2551" w:type="dxa"/>
            <w:vAlign w:val="center"/>
          </w:tcPr>
          <w:p>
            <w:pPr>
              <w:pStyle w:val="12"/>
            </w:pPr>
            <w:r>
              <w:t>59.55</w:t>
            </w:r>
          </w:p>
        </w:tc>
        <w:tc>
          <w:tcPr>
            <w:tcW w:w="2551" w:type="dxa"/>
            <w:vAlign w:val="center"/>
          </w:tcPr>
          <w:p>
            <w:pPr>
              <w:pStyle w:val="12"/>
            </w:pPr>
          </w:p>
        </w:tc>
        <w:tc>
          <w:tcPr>
            <w:tcW w:w="2551" w:type="dxa"/>
            <w:vAlign w:val="center"/>
          </w:tcPr>
          <w:p>
            <w:pPr>
              <w:pStyle w:val="12"/>
            </w:pPr>
            <w:r>
              <w:t>59.55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2040604</w:t>
            </w:r>
          </w:p>
        </w:tc>
        <w:tc>
          <w:tcPr>
            <w:tcW w:w="4535" w:type="dxa"/>
            <w:vAlign w:val="center"/>
          </w:tcPr>
          <w:p>
            <w:pPr>
              <w:pStyle w:val="13"/>
            </w:pPr>
            <w:r>
              <w:t>基层司法业务</w:t>
            </w:r>
          </w:p>
        </w:tc>
        <w:tc>
          <w:tcPr>
            <w:tcW w:w="2551" w:type="dxa"/>
            <w:vAlign w:val="center"/>
          </w:tcPr>
          <w:p>
            <w:pPr>
              <w:pStyle w:val="12"/>
            </w:pPr>
            <w:r>
              <w:t>76.00</w:t>
            </w:r>
          </w:p>
        </w:tc>
        <w:tc>
          <w:tcPr>
            <w:tcW w:w="2551" w:type="dxa"/>
            <w:vAlign w:val="center"/>
          </w:tcPr>
          <w:p>
            <w:pPr>
              <w:pStyle w:val="12"/>
            </w:pPr>
          </w:p>
        </w:tc>
        <w:tc>
          <w:tcPr>
            <w:tcW w:w="2551"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2040605</w:t>
            </w:r>
          </w:p>
        </w:tc>
        <w:tc>
          <w:tcPr>
            <w:tcW w:w="4535" w:type="dxa"/>
            <w:vAlign w:val="center"/>
          </w:tcPr>
          <w:p>
            <w:pPr>
              <w:pStyle w:val="13"/>
            </w:pPr>
            <w:r>
              <w:t>普法宣传</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2040607</w:t>
            </w:r>
          </w:p>
        </w:tc>
        <w:tc>
          <w:tcPr>
            <w:tcW w:w="4535" w:type="dxa"/>
            <w:vAlign w:val="center"/>
          </w:tcPr>
          <w:p>
            <w:pPr>
              <w:pStyle w:val="13"/>
            </w:pPr>
            <w:r>
              <w:t>公共法律服务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2040610</w:t>
            </w:r>
          </w:p>
        </w:tc>
        <w:tc>
          <w:tcPr>
            <w:tcW w:w="4535" w:type="dxa"/>
            <w:vAlign w:val="center"/>
          </w:tcPr>
          <w:p>
            <w:pPr>
              <w:pStyle w:val="13"/>
            </w:pPr>
            <w:r>
              <w:t>社区矫正</w:t>
            </w:r>
          </w:p>
        </w:tc>
        <w:tc>
          <w:tcPr>
            <w:tcW w:w="2551" w:type="dxa"/>
            <w:vAlign w:val="center"/>
          </w:tcPr>
          <w:p>
            <w:pPr>
              <w:pStyle w:val="12"/>
            </w:pPr>
            <w:r>
              <w:t>55.17</w:t>
            </w:r>
          </w:p>
        </w:tc>
        <w:tc>
          <w:tcPr>
            <w:tcW w:w="2551" w:type="dxa"/>
            <w:vAlign w:val="center"/>
          </w:tcPr>
          <w:p>
            <w:pPr>
              <w:pStyle w:val="12"/>
            </w:pPr>
          </w:p>
        </w:tc>
        <w:tc>
          <w:tcPr>
            <w:tcW w:w="2551" w:type="dxa"/>
            <w:vAlign w:val="center"/>
          </w:tcPr>
          <w:p>
            <w:pPr>
              <w:pStyle w:val="12"/>
            </w:pPr>
            <w:r>
              <w:t>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2040612</w:t>
            </w:r>
          </w:p>
        </w:tc>
        <w:tc>
          <w:tcPr>
            <w:tcW w:w="4535" w:type="dxa"/>
            <w:vAlign w:val="center"/>
          </w:tcPr>
          <w:p>
            <w:pPr>
              <w:pStyle w:val="13"/>
            </w:pPr>
            <w:r>
              <w:t>法治建设</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2040699</w:t>
            </w:r>
          </w:p>
        </w:tc>
        <w:tc>
          <w:tcPr>
            <w:tcW w:w="4535" w:type="dxa"/>
            <w:vAlign w:val="center"/>
          </w:tcPr>
          <w:p>
            <w:pPr>
              <w:pStyle w:val="13"/>
            </w:pPr>
            <w:r>
              <w:t>其他司法支出</w:t>
            </w:r>
          </w:p>
        </w:tc>
        <w:tc>
          <w:tcPr>
            <w:tcW w:w="2551" w:type="dxa"/>
            <w:vAlign w:val="center"/>
          </w:tcPr>
          <w:p>
            <w:pPr>
              <w:pStyle w:val="12"/>
            </w:pPr>
            <w:r>
              <w:t>106.00</w:t>
            </w:r>
          </w:p>
        </w:tc>
        <w:tc>
          <w:tcPr>
            <w:tcW w:w="2551" w:type="dxa"/>
            <w:vAlign w:val="center"/>
          </w:tcPr>
          <w:p>
            <w:pPr>
              <w:pStyle w:val="12"/>
            </w:pPr>
          </w:p>
        </w:tc>
        <w:tc>
          <w:tcPr>
            <w:tcW w:w="2551" w:type="dxa"/>
            <w:vAlign w:val="center"/>
          </w:tcPr>
          <w:p>
            <w:pPr>
              <w:pStyle w:val="12"/>
            </w:pPr>
            <w:r>
              <w:t>106.00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927.10</w:t>
            </w:r>
          </w:p>
        </w:tc>
        <w:tc>
          <w:tcPr>
            <w:tcW w:w="2551" w:type="dxa"/>
            <w:vAlign w:val="center"/>
          </w:tcPr>
          <w:p>
            <w:pPr>
              <w:pStyle w:val="16"/>
            </w:pPr>
            <w:r>
              <w:t>816.80</w:t>
            </w:r>
          </w:p>
        </w:tc>
        <w:tc>
          <w:tcPr>
            <w:tcW w:w="2551" w:type="dxa"/>
            <w:vAlign w:val="center"/>
          </w:tcPr>
          <w:p>
            <w:pPr>
              <w:pStyle w:val="16"/>
            </w:pPr>
            <w:r>
              <w:t>110.30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714.85</w:t>
            </w:r>
          </w:p>
        </w:tc>
        <w:tc>
          <w:tcPr>
            <w:tcW w:w="2551" w:type="dxa"/>
            <w:vAlign w:val="center"/>
          </w:tcPr>
          <w:p>
            <w:pPr>
              <w:pStyle w:val="12"/>
            </w:pPr>
            <w:r>
              <w:t>714.85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243.33</w:t>
            </w:r>
          </w:p>
        </w:tc>
        <w:tc>
          <w:tcPr>
            <w:tcW w:w="2551" w:type="dxa"/>
            <w:vAlign w:val="center"/>
          </w:tcPr>
          <w:p>
            <w:pPr>
              <w:pStyle w:val="12"/>
            </w:pPr>
            <w:r>
              <w:t>243.33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179.32</w:t>
            </w:r>
          </w:p>
        </w:tc>
        <w:tc>
          <w:tcPr>
            <w:tcW w:w="2551" w:type="dxa"/>
            <w:vAlign w:val="center"/>
          </w:tcPr>
          <w:p>
            <w:pPr>
              <w:pStyle w:val="12"/>
            </w:pPr>
            <w:r>
              <w:t>179.32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99.65</w:t>
            </w:r>
          </w:p>
        </w:tc>
        <w:tc>
          <w:tcPr>
            <w:tcW w:w="2551" w:type="dxa"/>
            <w:vAlign w:val="center"/>
          </w:tcPr>
          <w:p>
            <w:pPr>
              <w:pStyle w:val="12"/>
            </w:pPr>
            <w:r>
              <w:t>99.65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14.89</w:t>
            </w:r>
          </w:p>
        </w:tc>
        <w:tc>
          <w:tcPr>
            <w:tcW w:w="2551" w:type="dxa"/>
            <w:vAlign w:val="center"/>
          </w:tcPr>
          <w:p>
            <w:pPr>
              <w:pStyle w:val="12"/>
            </w:pPr>
            <w:r>
              <w:t>14.89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65.59</w:t>
            </w:r>
          </w:p>
        </w:tc>
        <w:tc>
          <w:tcPr>
            <w:tcW w:w="2551" w:type="dxa"/>
            <w:vAlign w:val="center"/>
          </w:tcPr>
          <w:p>
            <w:pPr>
              <w:pStyle w:val="12"/>
            </w:pPr>
            <w:r>
              <w:t>65.59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26.64</w:t>
            </w:r>
          </w:p>
        </w:tc>
        <w:tc>
          <w:tcPr>
            <w:tcW w:w="2551" w:type="dxa"/>
            <w:vAlign w:val="center"/>
          </w:tcPr>
          <w:p>
            <w:pPr>
              <w:pStyle w:val="12"/>
            </w:pPr>
            <w:r>
              <w:t>26.64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13.53</w:t>
            </w:r>
          </w:p>
        </w:tc>
        <w:tc>
          <w:tcPr>
            <w:tcW w:w="2551" w:type="dxa"/>
            <w:vAlign w:val="center"/>
          </w:tcPr>
          <w:p>
            <w:pPr>
              <w:pStyle w:val="12"/>
            </w:pPr>
            <w:r>
              <w:t>13.53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110.30</w:t>
            </w:r>
          </w:p>
        </w:tc>
        <w:tc>
          <w:tcPr>
            <w:tcW w:w="2551" w:type="dxa"/>
            <w:vAlign w:val="center"/>
          </w:tcPr>
          <w:p>
            <w:pPr>
              <w:pStyle w:val="12"/>
            </w:pPr>
          </w:p>
        </w:tc>
        <w:tc>
          <w:tcPr>
            <w:tcW w:w="2551" w:type="dxa"/>
            <w:vAlign w:val="center"/>
          </w:tcPr>
          <w:p>
            <w:pPr>
              <w:pStyle w:val="12"/>
            </w:pPr>
            <w:r>
              <w:t>110.30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11.20</w:t>
            </w:r>
          </w:p>
        </w:tc>
        <w:tc>
          <w:tcPr>
            <w:tcW w:w="2551" w:type="dxa"/>
            <w:vAlign w:val="center"/>
          </w:tcPr>
          <w:p>
            <w:pPr>
              <w:pStyle w:val="12"/>
            </w:pPr>
          </w:p>
        </w:tc>
        <w:tc>
          <w:tcPr>
            <w:tcW w:w="2551" w:type="dxa"/>
            <w:vAlign w:val="center"/>
          </w:tcPr>
          <w:p>
            <w:pPr>
              <w:pStyle w:val="12"/>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23.55</w:t>
            </w:r>
          </w:p>
        </w:tc>
        <w:tc>
          <w:tcPr>
            <w:tcW w:w="2551" w:type="dxa"/>
            <w:vAlign w:val="center"/>
          </w:tcPr>
          <w:p>
            <w:pPr>
              <w:pStyle w:val="12"/>
            </w:pPr>
          </w:p>
        </w:tc>
        <w:tc>
          <w:tcPr>
            <w:tcW w:w="2551" w:type="dxa"/>
            <w:vAlign w:val="center"/>
          </w:tcPr>
          <w:p>
            <w:pPr>
              <w:pStyle w:val="12"/>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2.75</w:t>
            </w:r>
          </w:p>
        </w:tc>
        <w:tc>
          <w:tcPr>
            <w:tcW w:w="2551" w:type="dxa"/>
            <w:vAlign w:val="center"/>
          </w:tcPr>
          <w:p>
            <w:pPr>
              <w:pStyle w:val="12"/>
            </w:pPr>
          </w:p>
        </w:tc>
        <w:tc>
          <w:tcPr>
            <w:tcW w:w="2551" w:type="dxa"/>
            <w:vAlign w:val="center"/>
          </w:tcPr>
          <w:p>
            <w:pPr>
              <w:pStyle w:val="12"/>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5.76</w:t>
            </w:r>
          </w:p>
        </w:tc>
        <w:tc>
          <w:tcPr>
            <w:tcW w:w="2551" w:type="dxa"/>
            <w:vAlign w:val="center"/>
          </w:tcPr>
          <w:p>
            <w:pPr>
              <w:pStyle w:val="12"/>
            </w:pP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17.46</w:t>
            </w:r>
          </w:p>
        </w:tc>
        <w:tc>
          <w:tcPr>
            <w:tcW w:w="2551" w:type="dxa"/>
            <w:vAlign w:val="center"/>
          </w:tcPr>
          <w:p>
            <w:pPr>
              <w:pStyle w:val="12"/>
            </w:pPr>
          </w:p>
        </w:tc>
        <w:tc>
          <w:tcPr>
            <w:tcW w:w="2551" w:type="dxa"/>
            <w:vAlign w:val="center"/>
          </w:tcPr>
          <w:p>
            <w:pPr>
              <w:pStyle w:val="12"/>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28.38</w:t>
            </w:r>
          </w:p>
        </w:tc>
        <w:tc>
          <w:tcPr>
            <w:tcW w:w="2551" w:type="dxa"/>
            <w:vAlign w:val="center"/>
          </w:tcPr>
          <w:p>
            <w:pPr>
              <w:pStyle w:val="12"/>
            </w:pPr>
          </w:p>
        </w:tc>
        <w:tc>
          <w:tcPr>
            <w:tcW w:w="2551" w:type="dxa"/>
            <w:vAlign w:val="center"/>
          </w:tcPr>
          <w:p>
            <w:pPr>
              <w:pStyle w:val="12"/>
            </w:pPr>
            <w:r>
              <w:t>28.38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15.45</w:t>
            </w:r>
          </w:p>
        </w:tc>
        <w:tc>
          <w:tcPr>
            <w:tcW w:w="2551" w:type="dxa"/>
            <w:vAlign w:val="center"/>
          </w:tcPr>
          <w:p>
            <w:pPr>
              <w:pStyle w:val="12"/>
            </w:pPr>
          </w:p>
        </w:tc>
        <w:tc>
          <w:tcPr>
            <w:tcW w:w="2551" w:type="dxa"/>
            <w:vAlign w:val="center"/>
          </w:tcPr>
          <w:p>
            <w:pPr>
              <w:pStyle w:val="12"/>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101.95</w:t>
            </w:r>
          </w:p>
        </w:tc>
        <w:tc>
          <w:tcPr>
            <w:tcW w:w="2551" w:type="dxa"/>
            <w:vAlign w:val="center"/>
          </w:tcPr>
          <w:p>
            <w:pPr>
              <w:pStyle w:val="12"/>
            </w:pPr>
            <w:r>
              <w:t>101.95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98.78</w:t>
            </w:r>
          </w:p>
        </w:tc>
        <w:tc>
          <w:tcPr>
            <w:tcW w:w="2551" w:type="dxa"/>
            <w:vAlign w:val="center"/>
          </w:tcPr>
          <w:p>
            <w:pPr>
              <w:pStyle w:val="12"/>
            </w:pPr>
            <w:r>
              <w:t>98.78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315晋州市司法局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17.46</w:t>
            </w:r>
          </w:p>
        </w:tc>
        <w:tc>
          <w:tcPr>
            <w:tcW w:w="2381" w:type="dxa"/>
            <w:vAlign w:val="center"/>
          </w:tcPr>
          <w:p>
            <w:pPr>
              <w:pStyle w:val="16"/>
            </w:pPr>
            <w:r>
              <w:t>17.46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17.46</w:t>
            </w:r>
          </w:p>
        </w:tc>
        <w:tc>
          <w:tcPr>
            <w:tcW w:w="2381" w:type="dxa"/>
            <w:vAlign w:val="center"/>
          </w:tcPr>
          <w:p>
            <w:pPr>
              <w:pStyle w:val="12"/>
            </w:pPr>
            <w:r>
              <w:t>17.46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17.46</w:t>
            </w:r>
          </w:p>
        </w:tc>
        <w:tc>
          <w:tcPr>
            <w:tcW w:w="2381" w:type="dxa"/>
            <w:vAlign w:val="center"/>
          </w:tcPr>
          <w:p>
            <w:pPr>
              <w:pStyle w:val="12"/>
            </w:pPr>
            <w:r>
              <w:t>17.46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按照《中华人民共和国预算法》、《地方预决算公开操作规程》和《关于进一步推进预算公开工作的实施意见》规定，现将晋州市司法局2026年部门预算公开如下：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（一）承担全面依法治市重大问题的政策研究。组织协调有关方面提出全面依法治市中长期规划建议，负责有关重大决策部署督察工作。</w:t>
      </w:r>
    </w:p>
    <w:p>
      <w:pPr>
        <w:pStyle w:val="18"/>
      </w:pPr>
      <w:r>
        <w:t>（二）编制本市行政规范性文件制订计划，指导、督促有关部门实施。负责市政府各部门规范性文件的备案审查工作。负责对市政府政策措施、规范性文件和合同协议的合法性审核工作；承办市政府交办的涉法事务；承办市政府规章上报石家庄市政府和晋州市人大常委会备案工作；负责市政府规章的编纂工作；负责组织翻译、审定市政府规章外文正式译本。承办各部门报送市政府的地方性法规、政府规章草案的审查工作，负责面向社会征集政府规章草案制定项目的建议。</w:t>
      </w:r>
    </w:p>
    <w:p>
      <w:pPr>
        <w:pStyle w:val="18"/>
      </w:pPr>
      <w:r>
        <w:t>（三）承担统筹推进晋州法治政府建设的责任。指导、监督市政府各部门、各乡镇（开发区）政府依法行政工作；负责综合协调行政执法，推进行政执法体制改革有关工作，推进严格规范公正文明执法；依法承办行政复议案件；受市政府委托，代理行政诉讼案件的应诉；受市政府委托，代理由石家庄市人民政府审理的行政复议裁决案件；指导、监督全市行政复议和行政应诉工作。</w:t>
      </w:r>
    </w:p>
    <w:p>
      <w:pPr>
        <w:pStyle w:val="18"/>
      </w:pPr>
      <w:r>
        <w:t>（四）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pPr>
        <w:pStyle w:val="18"/>
      </w:pPr>
      <w:r>
        <w:t>（五）负责全市司法行政戒毒场所管理工作，负责全市社区矫正工作，负责刑满释放人员帮教安置工作。</w:t>
      </w:r>
    </w:p>
    <w:p>
      <w:pPr>
        <w:pStyle w:val="18"/>
      </w:pPr>
      <w:r>
        <w:t>（六）负责拟订公共法律服务体系建设规划并组织实施，统筹和布局全市法律服务资源；负责全市律师、公证、法律援助、司法鉴定、仲裁和基层法律服务管理工作。</w:t>
      </w:r>
    </w:p>
    <w:p>
      <w:pPr>
        <w:pStyle w:val="18"/>
      </w:pPr>
      <w:r>
        <w:t>（七）规划、协调、指导全市法治人才队伍建设相关工作；负责本系统队伍建设，负责本系统人事警务管理和警务督察工作，负责本系统服装和警车等物资装备管理工作；指导、监督本系统财务、装备、设施、场所等保障工作。</w:t>
      </w:r>
    </w:p>
    <w:p>
      <w:pPr>
        <w:pStyle w:val="18"/>
      </w:pPr>
      <w:r>
        <w:t>（八）完成市委、市政府交办的其他任务。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晋州市司法局本级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按照预算管理有关规定，目前部门预算的编制实行综合预算管理，即全部收入和支出都反映在预算中。晋州市司法局机关及所属事业单位的收支包含在部门预算中。</w:t>
      </w:r>
    </w:p>
    <w:p>
      <w:pPr>
        <w:pStyle w:val="19"/>
      </w:pPr>
      <w:r>
        <w:t>1、收入说明</w:t>
      </w:r>
    </w:p>
    <w:p>
      <w:pPr>
        <w:pStyle w:val="19"/>
      </w:pPr>
      <w:r>
        <w:t>反映本部门当年全部收入。2026年预算收入1286.82万元，其中：一般公共预算收入1286.82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司法局年度部门预算中支出预算的总体情况。2026年支出预算1286.82万元，其中基本支出927.10万元，包括人员经费816.80万元和日常公用经费110.30万元；项目支出359.72万元，主要为劳务派遣人员经费58.75万元，法律援助5万元，民调经费13万元，民调员补贴13万元，专职民调员补贴45万元，普法宣传经费19万元，社区矫正经费40万元，安置帮教经费3万元，依法治市工作经费10万元，行政复议经费2万元，行政执法协调监督2万元，省级社区矫正补助资金15.17万元，中央政法转移支付资金110万元，省级基层公检法司转移支付资金21万元；预计下年使用的单位资金结余0.00万元。委托业务费共计安排58.75万元，主要用于因技术原因确需对外委托的辅助性工作和确有必要对外委托开展咨询、评审、规划等工作。</w:t>
      </w:r>
    </w:p>
    <w:p>
      <w:pPr>
        <w:pStyle w:val="19"/>
      </w:pPr>
      <w:r>
        <w:t>3、比上年增减情况</w:t>
      </w:r>
    </w:p>
    <w:p>
      <w:pPr>
        <w:pStyle w:val="19"/>
      </w:pPr>
      <w:r>
        <w:t>2026年预算收支安排1286.82万元，较2025年预算增加32.46万元，其中：基本支出增加32.69万元，主要为人员经费增加。项目支出减少0.23万元，主要为普法经费减少。预计下年使用的单位资金结余增加0.00万元。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2026年，我部门机关运行经费共计安排110.30万元，主要用于日常维修、办公用房水电费、办公用房取暖费、办公用房物业管理费等日常运行支出。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17.46万元，其中因公出国（境）费0.00万元；公务用车购置及运维费17.46万元（其中：公务用车购置费为0.00万元，公务用车运维费17.46万元)；公务接待费0.00万元。与2025年相比减少0.54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（一）承担全面依法治市重大问题的政策研究。组织协调有关方面提出全面依法治市中长期规划建议，负责有关重大决策部署督察工作。</w:t>
      </w:r>
    </w:p>
    <w:p>
      <w:pPr>
        <w:pStyle w:val="22"/>
      </w:pPr>
      <w:r>
        <w:t>（二）编制本市行政规范性文件制订计划，指导、督促有关部门实施。负责市政府各部门规范性文件的备案审查工作。负责对市政府政策措施、规范性文件和合同协议的合法性审核工作；承办市政府交办的涉法事务；承办市政府规章上报石家庄市政府和晋州市人大常委会备案工作；负责市政府规章的编纂工作；负责组织翻译、审定市政府规章外文正式译本。承办各部门报送市政府的地方性法规、政府规章草案的审查工作，负责面向社会征集政府规章草案制定项目的建议。</w:t>
      </w:r>
    </w:p>
    <w:p>
      <w:pPr>
        <w:pStyle w:val="22"/>
      </w:pPr>
      <w:r>
        <w:t>（三）承担统筹推进晋州法治政府建设的责任。指导、监督市政府各部门、各乡镇（开发区）政府依法行政工作；负责综合协调行政执法，推进行政执法体制改革有关工作，推进严格规范公正文明执法；依法承办行政复议案件；受市政府委托，代理行政诉讼案件的应诉；受市政府委托，代理由石家庄市人民政府审理的行政复议裁决案件；指导、监督全市行政复议和行政应诉工作。</w:t>
      </w:r>
    </w:p>
    <w:p>
      <w:pPr>
        <w:pStyle w:val="22"/>
      </w:pPr>
      <w:r>
        <w:t>（四）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pPr>
        <w:pStyle w:val="22"/>
      </w:pPr>
      <w:r>
        <w:t>（五）负责全市司法行政戒毒场所管理工作，负责全市社区矫正工作，负责刑满释放人员帮教安置工作。</w:t>
      </w:r>
    </w:p>
    <w:p>
      <w:pPr>
        <w:pStyle w:val="22"/>
      </w:pPr>
      <w:r>
        <w:t>（六）负责拟订公共法律服务体系建设规划并组织实施，统筹和布局全市法律服务资源；负责全市律师、公证、法律援助、司法鉴定、仲裁和基层法律服务管理工作。</w:t>
      </w:r>
    </w:p>
    <w:p>
      <w:pPr>
        <w:pStyle w:val="22"/>
      </w:pPr>
      <w:r>
        <w:t>（七）规划、协调、指导全市法治人才队伍建设相关工作；负责本系统队伍建设，负责本系统人事警务管理和警务督察工作，负责本系统服装和警车等物资装备管理工作；指导、监督本系统财务、装备、设施、场所等保障工作。</w:t>
      </w:r>
    </w:p>
    <w:p>
      <w:pPr>
        <w:pStyle w:val="22"/>
      </w:pPr>
      <w:r>
        <w:t>（八）完成市委、市政府交办的其他任务。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（一）法治调研与督察</w:t>
      </w:r>
    </w:p>
    <w:p>
      <w:pPr>
        <w:pStyle w:val="23"/>
      </w:pPr>
      <w:r>
        <w:t>绩效目标：承办全面依法治市理论和实践调查研究工作</w:t>
      </w:r>
      <w:r>
        <w:tab/>
      </w:r>
    </w:p>
    <w:p>
      <w:pPr>
        <w:pStyle w:val="23"/>
      </w:pPr>
      <w:r>
        <w:t>绩效指标：负责推进全市司法行政改革工作</w:t>
      </w:r>
    </w:p>
    <w:p>
      <w:pPr>
        <w:pStyle w:val="23"/>
      </w:pPr>
      <w:r>
        <w:t>（二）合法性审查</w:t>
      </w:r>
    </w:p>
    <w:p>
      <w:pPr>
        <w:pStyle w:val="23"/>
      </w:pPr>
      <w:r>
        <w:t>绩效目标：负责规范性文件备案审查和市政府规章上报备案</w:t>
      </w:r>
    </w:p>
    <w:p>
      <w:pPr>
        <w:pStyle w:val="23"/>
      </w:pPr>
      <w:r>
        <w:t>绩效指标：规范性文件备案审查和市政府规章上报备案率达到100%</w:t>
      </w:r>
    </w:p>
    <w:p>
      <w:pPr>
        <w:pStyle w:val="23"/>
      </w:pPr>
      <w:r>
        <w:t>（三）社区矫正管理</w:t>
      </w:r>
    </w:p>
    <w:p>
      <w:pPr>
        <w:pStyle w:val="23"/>
      </w:pPr>
      <w:r>
        <w:t>绩效目标：负责社区矫正及安置帮教的工作</w:t>
      </w:r>
    </w:p>
    <w:p>
      <w:pPr>
        <w:pStyle w:val="23"/>
      </w:pPr>
      <w:r>
        <w:t>绩效指标：降低社区矫正人员与安置帮教人员的重新犯罪率</w:t>
      </w:r>
    </w:p>
    <w:p>
      <w:pPr>
        <w:pStyle w:val="23"/>
      </w:pPr>
      <w:r>
        <w:t>（四）行政复议与应诉</w:t>
      </w:r>
    </w:p>
    <w:p>
      <w:pPr>
        <w:pStyle w:val="23"/>
      </w:pPr>
      <w:r>
        <w:t>绩效目标：依法受理行政复议的申请，履行其职责</w:t>
      </w:r>
    </w:p>
    <w:p>
      <w:pPr>
        <w:pStyle w:val="23"/>
      </w:pPr>
      <w:r>
        <w:t>绩效指标：促进行政机关依法执法、公正执法、文明执法</w:t>
      </w:r>
    </w:p>
    <w:p>
      <w:pPr>
        <w:pStyle w:val="23"/>
      </w:pPr>
      <w:r>
        <w:t>（五）行政执法协调监督</w:t>
      </w:r>
    </w:p>
    <w:p>
      <w:pPr>
        <w:pStyle w:val="23"/>
      </w:pPr>
      <w:r>
        <w:t>绩效目标：负责全市乡镇执法综合协调工作</w:t>
      </w:r>
    </w:p>
    <w:p>
      <w:pPr>
        <w:pStyle w:val="23"/>
      </w:pPr>
      <w:r>
        <w:t>绩效指标：提升全市执法人员执法质量</w:t>
      </w:r>
    </w:p>
    <w:p>
      <w:pPr>
        <w:pStyle w:val="23"/>
      </w:pPr>
      <w:r>
        <w:t>(六)普法</w:t>
      </w:r>
    </w:p>
    <w:p>
      <w:pPr>
        <w:pStyle w:val="23"/>
      </w:pPr>
      <w:r>
        <w:t>绩效目标：负责全市法治宣传及法治文化建设等工作</w:t>
      </w:r>
    </w:p>
    <w:p>
      <w:pPr>
        <w:pStyle w:val="23"/>
      </w:pPr>
      <w:r>
        <w:t>绩效指标：提高全县人民法律意识和法律素质</w:t>
      </w:r>
    </w:p>
    <w:p>
      <w:pPr>
        <w:pStyle w:val="23"/>
      </w:pPr>
      <w:r>
        <w:t>(七)人民参与和促进法治</w:t>
      </w:r>
    </w:p>
    <w:p>
      <w:pPr>
        <w:pStyle w:val="23"/>
      </w:pPr>
      <w:r>
        <w:t>绩效目标：负责制定全市保障人民群众参与、促进、监督法治建设的制度措施及法律援助的工作。</w:t>
      </w:r>
    </w:p>
    <w:p>
      <w:pPr>
        <w:pStyle w:val="23"/>
      </w:pPr>
      <w:r>
        <w:t>绩效指标：深化人民调解，最大限度降低社会不稳定因素</w:t>
      </w:r>
    </w:p>
    <w:p>
      <w:pPr>
        <w:pStyle w:val="23"/>
      </w:pPr>
      <w:r>
        <w:t>(八)公证律师管理</w:t>
      </w:r>
    </w:p>
    <w:p>
      <w:pPr>
        <w:pStyle w:val="23"/>
      </w:pPr>
      <w:r>
        <w:t>绩效目标：负责全市公证律师管理工作</w:t>
      </w:r>
    </w:p>
    <w:p>
      <w:pPr>
        <w:pStyle w:val="23"/>
      </w:pPr>
      <w:r>
        <w:t>绩效指标：指导、监督全市公证员的执业活动</w:t>
      </w:r>
    </w:p>
    <w:p>
      <w:pPr>
        <w:pStyle w:val="23"/>
      </w:pPr>
      <w:r>
        <w:t>(九)司法鉴定及仲裁管理</w:t>
      </w:r>
    </w:p>
    <w:p>
      <w:pPr>
        <w:pStyle w:val="23"/>
      </w:pPr>
      <w:r>
        <w:t>绩效目标：指导、监督、管理司法鉴定人执业活动</w:t>
      </w:r>
    </w:p>
    <w:p>
      <w:pPr>
        <w:pStyle w:val="23"/>
      </w:pPr>
      <w:r>
        <w:t>绩效指标：负责对司法鉴定人的监督管理及教育培训工作</w:t>
      </w:r>
    </w:p>
    <w:p>
      <w:pPr>
        <w:pStyle w:val="23"/>
      </w:pPr>
      <w:r>
        <w:t>(十)综合事务管理</w:t>
      </w:r>
    </w:p>
    <w:p>
      <w:pPr>
        <w:pStyle w:val="23"/>
      </w:pPr>
      <w:r>
        <w:t>绩效目标：负责日常工作的协调和督查</w:t>
      </w:r>
    </w:p>
    <w:p>
      <w:pPr>
        <w:pStyle w:val="23"/>
      </w:pPr>
      <w:r>
        <w:t>绩效指标：更好的完成机关的各项工作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13018326P00032810579C</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用于补充办公费及修缮房屋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1.用于修缮房屋及补充办公费，使办公环境得到改善。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租金回收率</w:t>
            </w:r>
          </w:p>
        </w:tc>
        <w:tc>
          <w:tcPr>
            <w:tcW w:w="5386" w:type="dxa"/>
            <w:vAlign w:val="center"/>
          </w:tcPr>
          <w:p>
            <w:pPr>
              <w:pStyle w:val="13"/>
            </w:pPr>
            <w:r>
              <w:t>租金回收率</w:t>
            </w:r>
          </w:p>
        </w:tc>
        <w:tc>
          <w:tcPr>
            <w:tcW w:w="2268" w:type="dxa"/>
            <w:vAlign w:val="center"/>
          </w:tcPr>
          <w:p>
            <w:pPr>
              <w:pStyle w:val="13"/>
            </w:pPr>
            <w:r>
              <w:t>≥98%</w:t>
            </w:r>
          </w:p>
        </w:tc>
        <w:tc>
          <w:tcPr>
            <w:tcW w:w="1276" w:type="dxa"/>
            <w:vAlign w:val="center"/>
          </w:tcPr>
          <w:p>
            <w:pPr>
              <w:pStyle w:val="13"/>
            </w:pPr>
            <w:r>
              <w:t>按照中国联通有限公司石家庄分公司与晋州市司法局合同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≥90%</w:t>
            </w:r>
          </w:p>
        </w:tc>
        <w:tc>
          <w:tcPr>
            <w:tcW w:w="1276" w:type="dxa"/>
            <w:vAlign w:val="center"/>
          </w:tcPr>
          <w:p>
            <w:pPr>
              <w:pStyle w:val="13"/>
            </w:pPr>
            <w:r>
              <w:t>按照中国联通有限公司石家庄分公司与晋州市司法局合同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保障租金上缴及时率</w:t>
            </w:r>
          </w:p>
        </w:tc>
        <w:tc>
          <w:tcPr>
            <w:tcW w:w="5386" w:type="dxa"/>
            <w:vAlign w:val="center"/>
          </w:tcPr>
          <w:p>
            <w:pPr>
              <w:pStyle w:val="13"/>
            </w:pPr>
            <w:r>
              <w:t>保障租金上缴及时率</w:t>
            </w:r>
          </w:p>
        </w:tc>
        <w:tc>
          <w:tcPr>
            <w:tcW w:w="2268" w:type="dxa"/>
            <w:vAlign w:val="center"/>
          </w:tcPr>
          <w:p>
            <w:pPr>
              <w:pStyle w:val="13"/>
            </w:pPr>
            <w:r>
              <w:t>100%</w:t>
            </w:r>
          </w:p>
        </w:tc>
        <w:tc>
          <w:tcPr>
            <w:tcW w:w="1276" w:type="dxa"/>
            <w:vAlign w:val="center"/>
          </w:tcPr>
          <w:p>
            <w:pPr>
              <w:pStyle w:val="13"/>
            </w:pPr>
            <w:r>
              <w:t>按照中国联通有限公司石家庄分公司与晋州市司法局合同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0.8万元</w:t>
            </w:r>
          </w:p>
        </w:tc>
        <w:tc>
          <w:tcPr>
            <w:tcW w:w="1276" w:type="dxa"/>
            <w:vAlign w:val="center"/>
          </w:tcPr>
          <w:p>
            <w:pPr>
              <w:pStyle w:val="13"/>
            </w:pPr>
            <w:r>
              <w:t>按照中国联通有限公司石家庄分公司与晋州市司法局合同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完成用房租赁维护</w:t>
            </w:r>
          </w:p>
        </w:tc>
        <w:tc>
          <w:tcPr>
            <w:tcW w:w="5386" w:type="dxa"/>
            <w:vAlign w:val="center"/>
          </w:tcPr>
          <w:p>
            <w:pPr>
              <w:pStyle w:val="13"/>
            </w:pPr>
            <w:r>
              <w:t>完成用房租赁维护</w:t>
            </w:r>
          </w:p>
        </w:tc>
        <w:tc>
          <w:tcPr>
            <w:tcW w:w="2268" w:type="dxa"/>
            <w:vAlign w:val="center"/>
          </w:tcPr>
          <w:p>
            <w:pPr>
              <w:pStyle w:val="13"/>
            </w:pPr>
            <w:r>
              <w:t>≥80%</w:t>
            </w:r>
          </w:p>
        </w:tc>
        <w:tc>
          <w:tcPr>
            <w:tcW w:w="1276" w:type="dxa"/>
            <w:vAlign w:val="center"/>
          </w:tcPr>
          <w:p>
            <w:pPr>
              <w:pStyle w:val="13"/>
            </w:pPr>
            <w:r>
              <w:t>按照中国联通有限公司石家庄分公司与晋州市司法局合同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2、安置帮教绩效目标表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13018326P00032810421T</w:t>
            </w:r>
          </w:p>
        </w:tc>
        <w:tc>
          <w:tcPr>
            <w:tcW w:w="2835" w:type="dxa"/>
            <w:vAlign w:val="center"/>
          </w:tcPr>
          <w:p>
            <w:pPr>
              <w:pStyle w:val="11"/>
            </w:pPr>
            <w:r>
              <w:t>项目名称</w:t>
            </w:r>
          </w:p>
        </w:tc>
        <w:tc>
          <w:tcPr>
            <w:tcW w:w="6095" w:type="dxa"/>
            <w:gridSpan w:val="3"/>
            <w:vAlign w:val="center"/>
          </w:tcPr>
          <w:p>
            <w:pPr>
              <w:pStyle w:val="13"/>
            </w:pPr>
            <w:r>
              <w:t>安置帮教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用于开展安置帮教工作所需要的档案文书费用及刑满释放人员衔接费用。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1.更好地做好安置帮教工作，提升安置帮教工作得能力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安置帮教率</w:t>
            </w:r>
          </w:p>
        </w:tc>
        <w:tc>
          <w:tcPr>
            <w:tcW w:w="5386" w:type="dxa"/>
            <w:vAlign w:val="center"/>
          </w:tcPr>
          <w:p>
            <w:pPr>
              <w:pStyle w:val="13"/>
            </w:pPr>
            <w:r>
              <w:t>安置帮教率</w:t>
            </w:r>
          </w:p>
        </w:tc>
        <w:tc>
          <w:tcPr>
            <w:tcW w:w="2268" w:type="dxa"/>
            <w:vAlign w:val="center"/>
          </w:tcPr>
          <w:p>
            <w:pPr>
              <w:pStyle w:val="13"/>
            </w:pPr>
            <w:r>
              <w:t>≥99%</w:t>
            </w:r>
          </w:p>
        </w:tc>
        <w:tc>
          <w:tcPr>
            <w:tcW w:w="1276" w:type="dxa"/>
            <w:vAlign w:val="center"/>
          </w:tcPr>
          <w:p>
            <w:pPr>
              <w:pStyle w:val="13"/>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安置帮教人员回归社会率</w:t>
            </w:r>
          </w:p>
        </w:tc>
        <w:tc>
          <w:tcPr>
            <w:tcW w:w="5386" w:type="dxa"/>
            <w:vAlign w:val="center"/>
          </w:tcPr>
          <w:p>
            <w:pPr>
              <w:pStyle w:val="13"/>
            </w:pPr>
            <w:r>
              <w:t>安置帮教人员回归社会率</w:t>
            </w:r>
          </w:p>
        </w:tc>
        <w:tc>
          <w:tcPr>
            <w:tcW w:w="2268" w:type="dxa"/>
            <w:vAlign w:val="center"/>
          </w:tcPr>
          <w:p>
            <w:pPr>
              <w:pStyle w:val="13"/>
            </w:pPr>
            <w:r>
              <w:t>≥99%</w:t>
            </w:r>
          </w:p>
        </w:tc>
        <w:tc>
          <w:tcPr>
            <w:tcW w:w="1276" w:type="dxa"/>
            <w:vAlign w:val="center"/>
          </w:tcPr>
          <w:p>
            <w:pPr>
              <w:pStyle w:val="13"/>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工作开展及时性</w:t>
            </w:r>
          </w:p>
        </w:tc>
        <w:tc>
          <w:tcPr>
            <w:tcW w:w="2268" w:type="dxa"/>
            <w:vAlign w:val="center"/>
          </w:tcPr>
          <w:p>
            <w:pPr>
              <w:pStyle w:val="13"/>
            </w:pPr>
            <w:r>
              <w:t>≥99%</w:t>
            </w:r>
          </w:p>
        </w:tc>
        <w:tc>
          <w:tcPr>
            <w:tcW w:w="1276" w:type="dxa"/>
            <w:vAlign w:val="center"/>
          </w:tcPr>
          <w:p>
            <w:pPr>
              <w:pStyle w:val="13"/>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3万元</w:t>
            </w:r>
          </w:p>
        </w:tc>
        <w:tc>
          <w:tcPr>
            <w:tcW w:w="1276" w:type="dxa"/>
            <w:vAlign w:val="center"/>
          </w:tcPr>
          <w:p>
            <w:pPr>
              <w:pStyle w:val="13"/>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≥90%</w:t>
            </w:r>
          </w:p>
        </w:tc>
        <w:tc>
          <w:tcPr>
            <w:tcW w:w="1276" w:type="dxa"/>
            <w:vAlign w:val="center"/>
          </w:tcPr>
          <w:p>
            <w:pPr>
              <w:pStyle w:val="13"/>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13018326P00032810422E</w:t>
            </w:r>
          </w:p>
        </w:tc>
        <w:tc>
          <w:tcPr>
            <w:tcW w:w="2835" w:type="dxa"/>
            <w:vAlign w:val="center"/>
          </w:tcPr>
          <w:p>
            <w:pPr>
              <w:pStyle w:val="11"/>
            </w:pPr>
            <w:r>
              <w:t>项目名称</w:t>
            </w:r>
          </w:p>
        </w:tc>
        <w:tc>
          <w:tcPr>
            <w:tcW w:w="6095" w:type="dxa"/>
            <w:gridSpan w:val="3"/>
            <w:vAlign w:val="center"/>
          </w:tcPr>
          <w:p>
            <w:pPr>
              <w:pStyle w:val="13"/>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用于法律援助案件补贴及法律援助宣传费用。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1.扩大法律援助覆盖面，推动全市法律援助工作长足发展。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法律援助案件完成率</w:t>
            </w:r>
          </w:p>
        </w:tc>
        <w:tc>
          <w:tcPr>
            <w:tcW w:w="5386" w:type="dxa"/>
            <w:vAlign w:val="center"/>
          </w:tcPr>
          <w:p>
            <w:pPr>
              <w:pStyle w:val="13"/>
            </w:pPr>
            <w:r>
              <w:t>法律援助案件完成率</w:t>
            </w:r>
          </w:p>
        </w:tc>
        <w:tc>
          <w:tcPr>
            <w:tcW w:w="2268" w:type="dxa"/>
            <w:vAlign w:val="center"/>
          </w:tcPr>
          <w:p>
            <w:pPr>
              <w:pStyle w:val="13"/>
            </w:pPr>
            <w:r>
              <w:t>≥98%</w:t>
            </w:r>
          </w:p>
        </w:tc>
        <w:tc>
          <w:tcPr>
            <w:tcW w:w="1276" w:type="dxa"/>
            <w:vAlign w:val="center"/>
          </w:tcPr>
          <w:p>
            <w:pPr>
              <w:pStyle w:val="13"/>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法律援助案件质量等级优良率</w:t>
            </w:r>
          </w:p>
        </w:tc>
        <w:tc>
          <w:tcPr>
            <w:tcW w:w="2268" w:type="dxa"/>
            <w:vAlign w:val="center"/>
          </w:tcPr>
          <w:p>
            <w:pPr>
              <w:pStyle w:val="13"/>
            </w:pPr>
            <w:r>
              <w:t>≥98%</w:t>
            </w:r>
          </w:p>
        </w:tc>
        <w:tc>
          <w:tcPr>
            <w:tcW w:w="1276" w:type="dxa"/>
            <w:vAlign w:val="center"/>
          </w:tcPr>
          <w:p>
            <w:pPr>
              <w:pStyle w:val="13"/>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结案及时率</w:t>
            </w:r>
          </w:p>
        </w:tc>
        <w:tc>
          <w:tcPr>
            <w:tcW w:w="5386" w:type="dxa"/>
            <w:vAlign w:val="center"/>
          </w:tcPr>
          <w:p>
            <w:pPr>
              <w:pStyle w:val="13"/>
            </w:pPr>
            <w:r>
              <w:t>结案及时率</w:t>
            </w:r>
          </w:p>
        </w:tc>
        <w:tc>
          <w:tcPr>
            <w:tcW w:w="2268" w:type="dxa"/>
            <w:vAlign w:val="center"/>
          </w:tcPr>
          <w:p>
            <w:pPr>
              <w:pStyle w:val="13"/>
            </w:pPr>
            <w:r>
              <w:t>≥98%</w:t>
            </w:r>
          </w:p>
        </w:tc>
        <w:tc>
          <w:tcPr>
            <w:tcW w:w="1276" w:type="dxa"/>
            <w:vAlign w:val="center"/>
          </w:tcPr>
          <w:p>
            <w:pPr>
              <w:pStyle w:val="13"/>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5万元</w:t>
            </w:r>
          </w:p>
        </w:tc>
        <w:tc>
          <w:tcPr>
            <w:tcW w:w="1276" w:type="dxa"/>
            <w:vAlign w:val="center"/>
          </w:tcPr>
          <w:p>
            <w:pPr>
              <w:pStyle w:val="13"/>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基层老年法律援助覆盖率</w:t>
            </w:r>
          </w:p>
        </w:tc>
        <w:tc>
          <w:tcPr>
            <w:tcW w:w="5386" w:type="dxa"/>
            <w:vAlign w:val="center"/>
          </w:tcPr>
          <w:p>
            <w:pPr>
              <w:pStyle w:val="13"/>
            </w:pPr>
            <w:r>
              <w:t>基层老年法律援助覆盖率</w:t>
            </w:r>
          </w:p>
        </w:tc>
        <w:tc>
          <w:tcPr>
            <w:tcW w:w="2268" w:type="dxa"/>
            <w:vAlign w:val="center"/>
          </w:tcPr>
          <w:p>
            <w:pPr>
              <w:pStyle w:val="13"/>
            </w:pPr>
            <w:r>
              <w:t>≥80%</w:t>
            </w:r>
          </w:p>
        </w:tc>
        <w:tc>
          <w:tcPr>
            <w:tcW w:w="1276" w:type="dxa"/>
            <w:vAlign w:val="center"/>
          </w:tcPr>
          <w:p>
            <w:pPr>
              <w:pStyle w:val="13"/>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4、冀财政法[2025]42号省级提前下达2026年基层公检法司转移支付资金（法律援助）绩效目标表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13018326P000316100142</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用于法律援助办案直接相关的工作指导经费、法律援助宣传经费、法律援助补助等直接办案费用。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1.扩大法律援助覆盖面，推动法律援助工作长足发展。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办理案件数量</w:t>
            </w:r>
          </w:p>
        </w:tc>
        <w:tc>
          <w:tcPr>
            <w:tcW w:w="5386" w:type="dxa"/>
            <w:vAlign w:val="center"/>
          </w:tcPr>
          <w:p>
            <w:pPr>
              <w:pStyle w:val="13"/>
            </w:pPr>
            <w:r>
              <w:t>办理案件数量</w:t>
            </w:r>
          </w:p>
        </w:tc>
        <w:tc>
          <w:tcPr>
            <w:tcW w:w="2268" w:type="dxa"/>
            <w:vAlign w:val="center"/>
          </w:tcPr>
          <w:p>
            <w:pPr>
              <w:pStyle w:val="13"/>
            </w:pPr>
            <w:r>
              <w:t>≥360件</w:t>
            </w:r>
          </w:p>
        </w:tc>
        <w:tc>
          <w:tcPr>
            <w:tcW w:w="1276" w:type="dxa"/>
            <w:vAlign w:val="center"/>
          </w:tcPr>
          <w:p>
            <w:pPr>
              <w:pStyle w:val="13"/>
            </w:pPr>
            <w:r>
              <w:t>按照冀财政法[2025]42号文件省级提前下达2026年基层公检法司转移支付资金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法律援助案件质量等级优良率</w:t>
            </w:r>
          </w:p>
        </w:tc>
        <w:tc>
          <w:tcPr>
            <w:tcW w:w="2268" w:type="dxa"/>
            <w:vAlign w:val="center"/>
          </w:tcPr>
          <w:p>
            <w:pPr>
              <w:pStyle w:val="13"/>
            </w:pPr>
            <w:r>
              <w:t>≥98%</w:t>
            </w:r>
          </w:p>
        </w:tc>
        <w:tc>
          <w:tcPr>
            <w:tcW w:w="1276" w:type="dxa"/>
            <w:vAlign w:val="center"/>
          </w:tcPr>
          <w:p>
            <w:pPr>
              <w:pStyle w:val="13"/>
            </w:pPr>
            <w:r>
              <w:t>按照冀财政法[2025]42号文件省级提前下达2026年基层公检法司转移支付资金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结案及时率</w:t>
            </w:r>
          </w:p>
        </w:tc>
        <w:tc>
          <w:tcPr>
            <w:tcW w:w="5386" w:type="dxa"/>
            <w:vAlign w:val="center"/>
          </w:tcPr>
          <w:p>
            <w:pPr>
              <w:pStyle w:val="13"/>
            </w:pPr>
            <w:r>
              <w:t>结案及时率</w:t>
            </w:r>
          </w:p>
        </w:tc>
        <w:tc>
          <w:tcPr>
            <w:tcW w:w="2268" w:type="dxa"/>
            <w:vAlign w:val="center"/>
          </w:tcPr>
          <w:p>
            <w:pPr>
              <w:pStyle w:val="13"/>
            </w:pPr>
            <w:r>
              <w:t>≥99%</w:t>
            </w:r>
          </w:p>
        </w:tc>
        <w:tc>
          <w:tcPr>
            <w:tcW w:w="1276" w:type="dxa"/>
            <w:vAlign w:val="center"/>
          </w:tcPr>
          <w:p>
            <w:pPr>
              <w:pStyle w:val="13"/>
            </w:pPr>
            <w:r>
              <w:t>按照冀财政法[2025]42号文件省级提前下达2026年基层公检法司转移支付资金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7万元</w:t>
            </w:r>
          </w:p>
        </w:tc>
        <w:tc>
          <w:tcPr>
            <w:tcW w:w="1276" w:type="dxa"/>
            <w:vAlign w:val="center"/>
          </w:tcPr>
          <w:p>
            <w:pPr>
              <w:pStyle w:val="13"/>
            </w:pPr>
            <w:r>
              <w:t>按照冀财政法[2025]42号文件省级提前下达2026年基层公检法司转移支付资金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≥80%</w:t>
            </w:r>
          </w:p>
        </w:tc>
        <w:tc>
          <w:tcPr>
            <w:tcW w:w="1276" w:type="dxa"/>
            <w:vAlign w:val="center"/>
          </w:tcPr>
          <w:p>
            <w:pPr>
              <w:pStyle w:val="13"/>
            </w:pPr>
            <w:r>
              <w:t>按照冀财政法[2025]42号文件省级提前下达2026年基层公检法司转移支付资金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5、冀财政法[2025]42号省级提前下达2026年基层公检法司转移支付资金（业务办案）绩效目标表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13018326P000319100214</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冀财政法[2025]42号省级提前下达2026年基层公检法司转移支付资金（业务办案）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用于司法机关业务办案的直接费用。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1.提高司法业务办案能力与办案质量。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≥95%</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≥98%</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9万元</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≥95%</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6、冀财政法[2025]42号省级提前下达2026年基层公检法司转移支付资金（业务装备）绩效目标表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13018326P00031910022P</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冀财政法[2025]42号省级提前下达2026年基层公检法司转移支付资金（业务装备）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用于司法机关业务办案需要的司法业务装备支出。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1.提高司法业务办案能力，提高司法业务办案质量。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≥95%</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≥98%</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5万元</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≥95%</w:t>
            </w:r>
          </w:p>
        </w:tc>
        <w:tc>
          <w:tcPr>
            <w:tcW w:w="1276" w:type="dxa"/>
            <w:vAlign w:val="center"/>
          </w:tcPr>
          <w:p>
            <w:pPr>
              <w:pStyle w:val="13"/>
            </w:pPr>
            <w:r>
              <w:t>按照冀财政法[2025]42号省级提前下达2026年基层公检法司转移支付资金的通知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7、冀财政法[2025]43号提前下达2026年中央政法纪检监察转移支付资金（法律援助）绩效目标表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13018326P00031610013E</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用于法律援助办案直接相关的工作指导经费、法律援助宣传经费、法律援助补助等直接办案费用。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1.扩大法律援助覆盖面，推动全市法律援助工作长足发展。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办理案件数量</w:t>
            </w:r>
          </w:p>
        </w:tc>
        <w:tc>
          <w:tcPr>
            <w:tcW w:w="5386" w:type="dxa"/>
            <w:vAlign w:val="center"/>
          </w:tcPr>
          <w:p>
            <w:pPr>
              <w:pStyle w:val="13"/>
            </w:pPr>
            <w:r>
              <w:t>办理案件数量</w:t>
            </w:r>
          </w:p>
        </w:tc>
        <w:tc>
          <w:tcPr>
            <w:tcW w:w="2268" w:type="dxa"/>
            <w:vAlign w:val="center"/>
          </w:tcPr>
          <w:p>
            <w:pPr>
              <w:pStyle w:val="13"/>
            </w:pPr>
            <w:r>
              <w:t>≥360件</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法律援助案件质量等级优良率</w:t>
            </w:r>
          </w:p>
        </w:tc>
        <w:tc>
          <w:tcPr>
            <w:tcW w:w="2268" w:type="dxa"/>
            <w:vAlign w:val="center"/>
          </w:tcPr>
          <w:p>
            <w:pPr>
              <w:pStyle w:val="13"/>
            </w:pPr>
            <w:r>
              <w:t>≥98%</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结案及时率</w:t>
            </w:r>
          </w:p>
        </w:tc>
        <w:tc>
          <w:tcPr>
            <w:tcW w:w="5386" w:type="dxa"/>
            <w:vAlign w:val="center"/>
          </w:tcPr>
          <w:p>
            <w:pPr>
              <w:pStyle w:val="13"/>
            </w:pPr>
            <w:r>
              <w:t>结案及时率</w:t>
            </w:r>
          </w:p>
        </w:tc>
        <w:tc>
          <w:tcPr>
            <w:tcW w:w="2268" w:type="dxa"/>
            <w:vAlign w:val="center"/>
          </w:tcPr>
          <w:p>
            <w:pPr>
              <w:pStyle w:val="13"/>
            </w:pPr>
            <w:r>
              <w:t>≥99%</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18万元</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≥80%</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8、冀财政法[2025]43号提前下达2026年中央政法纪检监察转移支付资金（业务办案）绩效目标表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13018326P00031910023B</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冀财政法[2025]43号提前下达2026年中央政法纪检监察转移支付资金（业务办案）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84.22</w:t>
            </w:r>
          </w:p>
        </w:tc>
        <w:tc>
          <w:tcPr>
            <w:tcW w:w="2835" w:type="dxa"/>
            <w:vAlign w:val="center"/>
          </w:tcPr>
          <w:p>
            <w:pPr>
              <w:pStyle w:val="11"/>
            </w:pPr>
            <w:r>
              <w:t>其中：财政    资金</w:t>
            </w:r>
          </w:p>
        </w:tc>
        <w:tc>
          <w:tcPr>
            <w:tcW w:w="2551" w:type="dxa"/>
            <w:vAlign w:val="center"/>
          </w:tcPr>
          <w:p>
            <w:pPr>
              <w:pStyle w:val="13"/>
            </w:pPr>
            <w:r>
              <w:t>84.22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用于司法业务办案的直接相关支出费用。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1.提高司法业务办案能力与办案质量。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≥95%</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≥98%</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84.22万元</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≥98%</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9、冀财政法[2025]43号提前下达2026年中央政法纪检监察转移支付资金（业务装备）绩效目标表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13018326P00031910024Y</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冀财政法[2025]43号提前下达2026年中央政法纪检监察转移支付资金（业务装备）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7.78</w:t>
            </w:r>
          </w:p>
        </w:tc>
        <w:tc>
          <w:tcPr>
            <w:tcW w:w="2835" w:type="dxa"/>
            <w:vAlign w:val="center"/>
          </w:tcPr>
          <w:p>
            <w:pPr>
              <w:pStyle w:val="11"/>
            </w:pPr>
            <w:r>
              <w:t>其中：财政    资金</w:t>
            </w:r>
          </w:p>
        </w:tc>
        <w:tc>
          <w:tcPr>
            <w:tcW w:w="2551" w:type="dxa"/>
            <w:vAlign w:val="center"/>
          </w:tcPr>
          <w:p>
            <w:pPr>
              <w:pStyle w:val="13"/>
            </w:pPr>
            <w:r>
              <w:t>7.78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用于司法业务办案时的司法业务装备的经费支出。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1.提高司法业务办案能力，提高司法业务办案质量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≥95%</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≥98%</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7.78万元</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≥95%</w:t>
            </w:r>
          </w:p>
        </w:tc>
        <w:tc>
          <w:tcPr>
            <w:tcW w:w="1276" w:type="dxa"/>
            <w:vAlign w:val="center"/>
          </w:tcPr>
          <w:p>
            <w:pPr>
              <w:pStyle w:val="13"/>
            </w:pPr>
            <w:r>
              <w:t>按照冀财政法[2025]43号文件提前下达2026年中央政法纪检监察转移支付资金的通知，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10、冀财政法[2025]45号省级提前下达2026年社区矫正补助资金绩效目标表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13018326P00031610012T</w:t>
            </w:r>
          </w:p>
        </w:tc>
        <w:tc>
          <w:tcPr>
            <w:tcW w:w="2835" w:type="dxa"/>
            <w:vAlign w:val="center"/>
          </w:tcPr>
          <w:p>
            <w:pPr>
              <w:pStyle w:val="11"/>
            </w:pPr>
            <w:r>
              <w:t>项目名称</w:t>
            </w:r>
          </w:p>
        </w:tc>
        <w:tc>
          <w:tcPr>
            <w:tcW w:w="6095" w:type="dxa"/>
            <w:gridSpan w:val="3"/>
            <w:vAlign w:val="center"/>
          </w:tcPr>
          <w:p>
            <w:pPr>
              <w:pStyle w:val="13"/>
            </w:pPr>
            <w:r>
              <w:t>冀财政法[2025]45号省级提前下达2026年社区矫正补助资金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15.17</w:t>
            </w:r>
          </w:p>
        </w:tc>
        <w:tc>
          <w:tcPr>
            <w:tcW w:w="2835" w:type="dxa"/>
            <w:vAlign w:val="center"/>
          </w:tcPr>
          <w:p>
            <w:pPr>
              <w:pStyle w:val="11"/>
            </w:pPr>
            <w:r>
              <w:t>其中：财政    资金</w:t>
            </w:r>
          </w:p>
        </w:tc>
        <w:tc>
          <w:tcPr>
            <w:tcW w:w="2551" w:type="dxa"/>
            <w:vAlign w:val="center"/>
          </w:tcPr>
          <w:p>
            <w:pPr>
              <w:pStyle w:val="13"/>
            </w:pPr>
            <w:r>
              <w:t>15.17</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用于开展社区矫正工作档案文书费用、宣传费等。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1.通过开展社区矫正工作，预防和减少犯罪，维护社会安全稳定。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年度实际接收社区矫正对象与应接收人数之比</w:t>
            </w:r>
          </w:p>
        </w:tc>
        <w:tc>
          <w:tcPr>
            <w:tcW w:w="5386" w:type="dxa"/>
            <w:vAlign w:val="center"/>
          </w:tcPr>
          <w:p>
            <w:pPr>
              <w:pStyle w:val="13"/>
            </w:pPr>
            <w:r>
              <w:t>年度实际接收社区矫正对象与应接收人数之比</w:t>
            </w:r>
          </w:p>
        </w:tc>
        <w:tc>
          <w:tcPr>
            <w:tcW w:w="2268" w:type="dxa"/>
            <w:vAlign w:val="center"/>
          </w:tcPr>
          <w:p>
            <w:pPr>
              <w:pStyle w:val="13"/>
            </w:pPr>
            <w:r>
              <w:t>100%</w:t>
            </w:r>
          </w:p>
        </w:tc>
        <w:tc>
          <w:tcPr>
            <w:tcW w:w="1276" w:type="dxa"/>
            <w:vAlign w:val="center"/>
          </w:tcPr>
          <w:p>
            <w:pPr>
              <w:pStyle w:val="13"/>
            </w:pPr>
            <w:r>
              <w:t>冀财政法[2025]45号提前下达2026年社区矫正补助资金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社区矫正执法人员学习时间达标率</w:t>
            </w:r>
          </w:p>
        </w:tc>
        <w:tc>
          <w:tcPr>
            <w:tcW w:w="5386" w:type="dxa"/>
            <w:vAlign w:val="center"/>
          </w:tcPr>
          <w:p>
            <w:pPr>
              <w:pStyle w:val="13"/>
            </w:pPr>
            <w:r>
              <w:t>社区矫正执法人员学习时间达标率</w:t>
            </w:r>
          </w:p>
        </w:tc>
        <w:tc>
          <w:tcPr>
            <w:tcW w:w="2268" w:type="dxa"/>
            <w:vAlign w:val="center"/>
          </w:tcPr>
          <w:p>
            <w:pPr>
              <w:pStyle w:val="13"/>
            </w:pPr>
            <w:r>
              <w:t>≥95%</w:t>
            </w:r>
          </w:p>
        </w:tc>
        <w:tc>
          <w:tcPr>
            <w:tcW w:w="1276" w:type="dxa"/>
            <w:vAlign w:val="center"/>
          </w:tcPr>
          <w:p>
            <w:pPr>
              <w:pStyle w:val="13"/>
            </w:pPr>
            <w:r>
              <w:t>冀财政法[2025]45号提前下达2026年社区矫正补助资金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w:t>
            </w:r>
          </w:p>
        </w:tc>
        <w:tc>
          <w:tcPr>
            <w:tcW w:w="2268" w:type="dxa"/>
            <w:vAlign w:val="center"/>
          </w:tcPr>
          <w:p>
            <w:pPr>
              <w:pStyle w:val="13"/>
            </w:pPr>
            <w:r>
              <w:t>≥90%</w:t>
            </w:r>
          </w:p>
        </w:tc>
        <w:tc>
          <w:tcPr>
            <w:tcW w:w="1276" w:type="dxa"/>
            <w:vAlign w:val="center"/>
          </w:tcPr>
          <w:p>
            <w:pPr>
              <w:pStyle w:val="13"/>
            </w:pPr>
            <w:r>
              <w:t>冀财政法[2025]45号提前下达2026年社区矫正补助资金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15.17万元</w:t>
            </w:r>
          </w:p>
        </w:tc>
        <w:tc>
          <w:tcPr>
            <w:tcW w:w="1276" w:type="dxa"/>
            <w:vAlign w:val="center"/>
          </w:tcPr>
          <w:p>
            <w:pPr>
              <w:pStyle w:val="13"/>
            </w:pPr>
            <w:r>
              <w:t>冀财政法[2025]45号提前下达2026年社区矫正补助资金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年度社区矫正对象再犯罪人数与列管人数之比</w:t>
            </w:r>
          </w:p>
        </w:tc>
        <w:tc>
          <w:tcPr>
            <w:tcW w:w="5386" w:type="dxa"/>
            <w:vAlign w:val="center"/>
          </w:tcPr>
          <w:p>
            <w:pPr>
              <w:pStyle w:val="13"/>
            </w:pPr>
            <w:r>
              <w:t>年度社区矫正对象再犯罪人数与列管人数之比</w:t>
            </w:r>
          </w:p>
        </w:tc>
        <w:tc>
          <w:tcPr>
            <w:tcW w:w="2268" w:type="dxa"/>
            <w:vAlign w:val="center"/>
          </w:tcPr>
          <w:p>
            <w:pPr>
              <w:pStyle w:val="13"/>
            </w:pPr>
            <w:r>
              <w:t>≤0.2%</w:t>
            </w:r>
          </w:p>
        </w:tc>
        <w:tc>
          <w:tcPr>
            <w:tcW w:w="1276" w:type="dxa"/>
            <w:vAlign w:val="center"/>
          </w:tcPr>
          <w:p>
            <w:pPr>
              <w:pStyle w:val="13"/>
            </w:pPr>
            <w:r>
              <w:t>冀财政法[2025]45号提前下达2026年社区矫正补助资金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11、民调绩效目标表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13018326P00032810424M</w:t>
            </w:r>
          </w:p>
        </w:tc>
        <w:tc>
          <w:tcPr>
            <w:tcW w:w="2835" w:type="dxa"/>
            <w:vAlign w:val="center"/>
          </w:tcPr>
          <w:p>
            <w:pPr>
              <w:pStyle w:val="11"/>
            </w:pPr>
            <w:r>
              <w:t>项目名称</w:t>
            </w:r>
          </w:p>
        </w:tc>
        <w:tc>
          <w:tcPr>
            <w:tcW w:w="6095" w:type="dxa"/>
            <w:gridSpan w:val="3"/>
            <w:vAlign w:val="center"/>
          </w:tcPr>
          <w:p>
            <w:pPr>
              <w:pStyle w:val="13"/>
            </w:pPr>
            <w:r>
              <w:t>民调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用于人民调解工作经费，人民调解委员会工作补助经费。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1.推进人民调解工作深入开展，发挥人民调解在基层的作用。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培训考试合格率</w:t>
            </w:r>
          </w:p>
        </w:tc>
        <w:tc>
          <w:tcPr>
            <w:tcW w:w="5386" w:type="dxa"/>
            <w:vAlign w:val="center"/>
          </w:tcPr>
          <w:p>
            <w:pPr>
              <w:pStyle w:val="13"/>
            </w:pPr>
            <w:r>
              <w:t>培训考试合格率</w:t>
            </w:r>
          </w:p>
        </w:tc>
        <w:tc>
          <w:tcPr>
            <w:tcW w:w="2268" w:type="dxa"/>
            <w:vAlign w:val="center"/>
          </w:tcPr>
          <w:p>
            <w:pPr>
              <w:pStyle w:val="13"/>
            </w:pPr>
            <w:r>
              <w:t>≥95%</w:t>
            </w:r>
          </w:p>
        </w:tc>
        <w:tc>
          <w:tcPr>
            <w:tcW w:w="1276" w:type="dxa"/>
            <w:vAlign w:val="center"/>
          </w:tcPr>
          <w:p>
            <w:pPr>
              <w:pStyle w:val="13"/>
            </w:pPr>
            <w:r>
              <w:t>按照晋办字【2007】103号文件中共晋州市委办公室晋州市人民政府办公室关于进一步加强人民调解工作的意见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矛盾纠纷调处率</w:t>
            </w:r>
          </w:p>
        </w:tc>
        <w:tc>
          <w:tcPr>
            <w:tcW w:w="5386" w:type="dxa"/>
            <w:vAlign w:val="center"/>
          </w:tcPr>
          <w:p>
            <w:pPr>
              <w:pStyle w:val="13"/>
            </w:pPr>
            <w:r>
              <w:t>矛盾纠纷调处率</w:t>
            </w:r>
          </w:p>
        </w:tc>
        <w:tc>
          <w:tcPr>
            <w:tcW w:w="2268" w:type="dxa"/>
            <w:vAlign w:val="center"/>
          </w:tcPr>
          <w:p>
            <w:pPr>
              <w:pStyle w:val="13"/>
            </w:pPr>
            <w:r>
              <w:t>≥95%</w:t>
            </w:r>
          </w:p>
        </w:tc>
        <w:tc>
          <w:tcPr>
            <w:tcW w:w="1276" w:type="dxa"/>
            <w:vAlign w:val="center"/>
          </w:tcPr>
          <w:p>
            <w:pPr>
              <w:pStyle w:val="13"/>
            </w:pPr>
            <w:r>
              <w:t>按照晋办字【2007】103号文件中共晋州市委办公室晋州市人民政府办公室关于进一步加强人民调解工作的意见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≥99%</w:t>
            </w:r>
          </w:p>
        </w:tc>
        <w:tc>
          <w:tcPr>
            <w:tcW w:w="1276" w:type="dxa"/>
            <w:vAlign w:val="center"/>
          </w:tcPr>
          <w:p>
            <w:pPr>
              <w:pStyle w:val="13"/>
            </w:pPr>
            <w:r>
              <w:t>按照晋办字【2007】103号文件中共晋州市委办公室晋州市人民政府办公室关于进一步加强人民调解工作的意见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13万元</w:t>
            </w:r>
          </w:p>
        </w:tc>
        <w:tc>
          <w:tcPr>
            <w:tcW w:w="1276" w:type="dxa"/>
            <w:vAlign w:val="center"/>
          </w:tcPr>
          <w:p>
            <w:pPr>
              <w:pStyle w:val="13"/>
            </w:pPr>
            <w:r>
              <w:t>按照晋办字【2007】103号文件中共晋州市委办公室晋州市人民政府办公室关于进一步加强人民调解工作的意见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维护农村和谐和稳定。</w:t>
            </w:r>
          </w:p>
        </w:tc>
        <w:tc>
          <w:tcPr>
            <w:tcW w:w="5386" w:type="dxa"/>
            <w:vAlign w:val="center"/>
          </w:tcPr>
          <w:p>
            <w:pPr>
              <w:pStyle w:val="13"/>
            </w:pPr>
            <w:r>
              <w:t>维护农村和谐和稳定。</w:t>
            </w:r>
          </w:p>
        </w:tc>
        <w:tc>
          <w:tcPr>
            <w:tcW w:w="2268" w:type="dxa"/>
            <w:vAlign w:val="center"/>
          </w:tcPr>
          <w:p>
            <w:pPr>
              <w:pStyle w:val="13"/>
            </w:pPr>
            <w:r>
              <w:t>≥80%</w:t>
            </w:r>
          </w:p>
        </w:tc>
        <w:tc>
          <w:tcPr>
            <w:tcW w:w="1276" w:type="dxa"/>
            <w:vAlign w:val="center"/>
          </w:tcPr>
          <w:p>
            <w:pPr>
              <w:pStyle w:val="13"/>
            </w:pPr>
            <w:r>
              <w:t>按照晋办字【2007】103号文件中共晋州市委办公室晋州市人民政府办公室关于进一步加强人民调解工作的意见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按照晋办字【2007】103号文件中共晋州市委办公室晋州市人民政府办公室关于进一步加强人民调解工作的意见</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12、民调员补贴绩效目标表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13018326P000328104259</w:t>
            </w:r>
          </w:p>
        </w:tc>
        <w:tc>
          <w:tcPr>
            <w:tcW w:w="2835" w:type="dxa"/>
            <w:vAlign w:val="center"/>
          </w:tcPr>
          <w:p>
            <w:pPr>
              <w:pStyle w:val="11"/>
            </w:pPr>
            <w:r>
              <w:t>项目名称</w:t>
            </w:r>
          </w:p>
        </w:tc>
        <w:tc>
          <w:tcPr>
            <w:tcW w:w="6095" w:type="dxa"/>
            <w:gridSpan w:val="3"/>
            <w:vAlign w:val="center"/>
          </w:tcPr>
          <w:p>
            <w:pPr>
              <w:pStyle w:val="13"/>
            </w:pPr>
            <w:r>
              <w:t>民调员补贴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用于人民调解员的定补及案卷补贴。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1.深化人民调解，最大限度降低稳定因素发生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搞好矛盾纠纷排查次数</w:t>
            </w:r>
          </w:p>
        </w:tc>
        <w:tc>
          <w:tcPr>
            <w:tcW w:w="5386" w:type="dxa"/>
            <w:vAlign w:val="center"/>
          </w:tcPr>
          <w:p>
            <w:pPr>
              <w:pStyle w:val="13"/>
            </w:pPr>
            <w:r>
              <w:t>搞好矛盾纠纷排查次数</w:t>
            </w:r>
          </w:p>
        </w:tc>
        <w:tc>
          <w:tcPr>
            <w:tcW w:w="2268" w:type="dxa"/>
            <w:vAlign w:val="center"/>
          </w:tcPr>
          <w:p>
            <w:pPr>
              <w:pStyle w:val="13"/>
            </w:pPr>
            <w:r>
              <w:t>≥4次</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矛盾纠纷调处率</w:t>
            </w:r>
          </w:p>
        </w:tc>
        <w:tc>
          <w:tcPr>
            <w:tcW w:w="5386" w:type="dxa"/>
            <w:vAlign w:val="center"/>
          </w:tcPr>
          <w:p>
            <w:pPr>
              <w:pStyle w:val="13"/>
            </w:pPr>
            <w:r>
              <w:t>矛盾纠纷调处率</w:t>
            </w:r>
          </w:p>
        </w:tc>
        <w:tc>
          <w:tcPr>
            <w:tcW w:w="2268" w:type="dxa"/>
            <w:vAlign w:val="center"/>
          </w:tcPr>
          <w:p>
            <w:pPr>
              <w:pStyle w:val="13"/>
            </w:pPr>
            <w:r>
              <w:t>≥95%</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≥90%</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15万元</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≥90%</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被服务对象满意度</w:t>
            </w:r>
          </w:p>
        </w:tc>
        <w:tc>
          <w:tcPr>
            <w:tcW w:w="5386" w:type="dxa"/>
            <w:vAlign w:val="center"/>
          </w:tcPr>
          <w:p>
            <w:pPr>
              <w:pStyle w:val="13"/>
            </w:pPr>
            <w:r>
              <w:t>被服务对象满意度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13、普法绩效目标表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13018326P00032810426W</w:t>
            </w:r>
          </w:p>
        </w:tc>
        <w:tc>
          <w:tcPr>
            <w:tcW w:w="2835" w:type="dxa"/>
            <w:vAlign w:val="center"/>
          </w:tcPr>
          <w:p>
            <w:pPr>
              <w:pStyle w:val="11"/>
            </w:pPr>
            <w:r>
              <w:t>项目名称</w:t>
            </w:r>
          </w:p>
        </w:tc>
        <w:tc>
          <w:tcPr>
            <w:tcW w:w="6095" w:type="dxa"/>
            <w:gridSpan w:val="3"/>
            <w:vAlign w:val="center"/>
          </w:tcPr>
          <w:p>
            <w:pPr>
              <w:pStyle w:val="13"/>
            </w:pPr>
            <w:r>
              <w:t>普法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用于普法宣传费用。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1.用于普法宣传经费，包括法治教育宣传，依法治理等经费。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普法宣传次数</w:t>
            </w:r>
          </w:p>
        </w:tc>
        <w:tc>
          <w:tcPr>
            <w:tcW w:w="5386" w:type="dxa"/>
            <w:vAlign w:val="center"/>
          </w:tcPr>
          <w:p>
            <w:pPr>
              <w:pStyle w:val="13"/>
            </w:pPr>
            <w:r>
              <w:t>普法宣传次数</w:t>
            </w:r>
          </w:p>
        </w:tc>
        <w:tc>
          <w:tcPr>
            <w:tcW w:w="2268" w:type="dxa"/>
            <w:vAlign w:val="center"/>
          </w:tcPr>
          <w:p>
            <w:pPr>
              <w:pStyle w:val="13"/>
            </w:pPr>
            <w:r>
              <w:t>≥4次</w:t>
            </w:r>
          </w:p>
        </w:tc>
        <w:tc>
          <w:tcPr>
            <w:tcW w:w="1276" w:type="dxa"/>
            <w:vAlign w:val="center"/>
          </w:tcPr>
          <w:p>
            <w:pPr>
              <w:pStyle w:val="13"/>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综合业务工作完成率</w:t>
            </w:r>
          </w:p>
        </w:tc>
        <w:tc>
          <w:tcPr>
            <w:tcW w:w="5386" w:type="dxa"/>
            <w:vAlign w:val="center"/>
          </w:tcPr>
          <w:p>
            <w:pPr>
              <w:pStyle w:val="13"/>
            </w:pPr>
            <w:r>
              <w:t>综合业务工作完成率</w:t>
            </w:r>
          </w:p>
        </w:tc>
        <w:tc>
          <w:tcPr>
            <w:tcW w:w="2268" w:type="dxa"/>
            <w:vAlign w:val="center"/>
          </w:tcPr>
          <w:p>
            <w:pPr>
              <w:pStyle w:val="13"/>
            </w:pPr>
            <w:r>
              <w:t>≥90%</w:t>
            </w:r>
          </w:p>
        </w:tc>
        <w:tc>
          <w:tcPr>
            <w:tcW w:w="1276" w:type="dxa"/>
            <w:vAlign w:val="center"/>
          </w:tcPr>
          <w:p>
            <w:pPr>
              <w:pStyle w:val="13"/>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≥90%</w:t>
            </w:r>
          </w:p>
        </w:tc>
        <w:tc>
          <w:tcPr>
            <w:tcW w:w="1276" w:type="dxa"/>
            <w:vAlign w:val="center"/>
          </w:tcPr>
          <w:p>
            <w:pPr>
              <w:pStyle w:val="13"/>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25万元</w:t>
            </w:r>
          </w:p>
        </w:tc>
        <w:tc>
          <w:tcPr>
            <w:tcW w:w="1276" w:type="dxa"/>
            <w:vAlign w:val="center"/>
          </w:tcPr>
          <w:p>
            <w:pPr>
              <w:pStyle w:val="13"/>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宣传社会影响率</w:t>
            </w:r>
          </w:p>
        </w:tc>
        <w:tc>
          <w:tcPr>
            <w:tcW w:w="5386" w:type="dxa"/>
            <w:vAlign w:val="center"/>
          </w:tcPr>
          <w:p>
            <w:pPr>
              <w:pStyle w:val="13"/>
            </w:pPr>
            <w:r>
              <w:t>宣传社会影响率</w:t>
            </w:r>
          </w:p>
        </w:tc>
        <w:tc>
          <w:tcPr>
            <w:tcW w:w="2268" w:type="dxa"/>
            <w:vAlign w:val="center"/>
          </w:tcPr>
          <w:p>
            <w:pPr>
              <w:pStyle w:val="13"/>
            </w:pPr>
            <w:r>
              <w:t>≥80%</w:t>
            </w:r>
          </w:p>
        </w:tc>
        <w:tc>
          <w:tcPr>
            <w:tcW w:w="1276" w:type="dxa"/>
            <w:vAlign w:val="center"/>
          </w:tcPr>
          <w:p>
            <w:pPr>
              <w:pStyle w:val="13"/>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13018326P000328104232</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58.75</w:t>
            </w:r>
          </w:p>
        </w:tc>
        <w:tc>
          <w:tcPr>
            <w:tcW w:w="2835" w:type="dxa"/>
            <w:vAlign w:val="center"/>
          </w:tcPr>
          <w:p>
            <w:pPr>
              <w:pStyle w:val="11"/>
            </w:pPr>
            <w:r>
              <w:t>其中：财政    资金</w:t>
            </w:r>
          </w:p>
        </w:tc>
        <w:tc>
          <w:tcPr>
            <w:tcW w:w="2551" w:type="dxa"/>
            <w:vAlign w:val="center"/>
          </w:tcPr>
          <w:p>
            <w:pPr>
              <w:pStyle w:val="13"/>
            </w:pPr>
            <w:r>
              <w:t>58.75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用于劳务派遣人员的工资及各种保险等。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1.最大限度降低不稳定因素发生，协助做好司法所各项工作。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综合业务工作完成率</w:t>
            </w:r>
          </w:p>
        </w:tc>
        <w:tc>
          <w:tcPr>
            <w:tcW w:w="5386" w:type="dxa"/>
            <w:vAlign w:val="center"/>
          </w:tcPr>
          <w:p>
            <w:pPr>
              <w:pStyle w:val="13"/>
            </w:pPr>
            <w:r>
              <w:t>综合业务工作完成率</w:t>
            </w:r>
          </w:p>
        </w:tc>
        <w:tc>
          <w:tcPr>
            <w:tcW w:w="2268" w:type="dxa"/>
            <w:vAlign w:val="center"/>
          </w:tcPr>
          <w:p>
            <w:pPr>
              <w:pStyle w:val="13"/>
            </w:pPr>
            <w:r>
              <w:t>≥99%</w:t>
            </w:r>
          </w:p>
        </w:tc>
        <w:tc>
          <w:tcPr>
            <w:tcW w:w="1276" w:type="dxa"/>
            <w:vAlign w:val="center"/>
          </w:tcPr>
          <w:p>
            <w:pPr>
              <w:pStyle w:val="13"/>
            </w:pPr>
            <w:r>
              <w:t>按照晋州市司法局关于将公益岗人员转成劳务派遣人员的请示要求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考核出勤率</w:t>
            </w:r>
          </w:p>
        </w:tc>
        <w:tc>
          <w:tcPr>
            <w:tcW w:w="5386" w:type="dxa"/>
            <w:vAlign w:val="center"/>
          </w:tcPr>
          <w:p>
            <w:pPr>
              <w:pStyle w:val="13"/>
            </w:pPr>
            <w:r>
              <w:t>考核出勤率</w:t>
            </w:r>
          </w:p>
        </w:tc>
        <w:tc>
          <w:tcPr>
            <w:tcW w:w="2268" w:type="dxa"/>
            <w:vAlign w:val="center"/>
          </w:tcPr>
          <w:p>
            <w:pPr>
              <w:pStyle w:val="13"/>
            </w:pPr>
            <w:r>
              <w:t>≥99%</w:t>
            </w:r>
          </w:p>
        </w:tc>
        <w:tc>
          <w:tcPr>
            <w:tcW w:w="1276" w:type="dxa"/>
            <w:vAlign w:val="center"/>
          </w:tcPr>
          <w:p>
            <w:pPr>
              <w:pStyle w:val="13"/>
            </w:pPr>
            <w:r>
              <w:t>按照晋州市司法局关于将公益岗人员转成劳务派遣人员的请示要求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≥99%</w:t>
            </w:r>
          </w:p>
        </w:tc>
        <w:tc>
          <w:tcPr>
            <w:tcW w:w="1276" w:type="dxa"/>
            <w:vAlign w:val="center"/>
          </w:tcPr>
          <w:p>
            <w:pPr>
              <w:pStyle w:val="13"/>
            </w:pPr>
            <w:r>
              <w:t>按照晋州市司法局关于将公益岗人员转成劳务派遣人员的请示要求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58.75万元</w:t>
            </w:r>
          </w:p>
        </w:tc>
        <w:tc>
          <w:tcPr>
            <w:tcW w:w="1276" w:type="dxa"/>
            <w:vAlign w:val="center"/>
          </w:tcPr>
          <w:p>
            <w:pPr>
              <w:pStyle w:val="13"/>
            </w:pPr>
            <w:r>
              <w:t>按照晋州市司法局关于将公益岗人员转成劳务派遣人员的请示要求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提升政策宣传效果</w:t>
            </w:r>
          </w:p>
        </w:tc>
        <w:tc>
          <w:tcPr>
            <w:tcW w:w="5386" w:type="dxa"/>
            <w:vAlign w:val="center"/>
          </w:tcPr>
          <w:p>
            <w:pPr>
              <w:pStyle w:val="13"/>
            </w:pPr>
            <w:r>
              <w:t>提升政策宣传效果</w:t>
            </w:r>
          </w:p>
        </w:tc>
        <w:tc>
          <w:tcPr>
            <w:tcW w:w="2268" w:type="dxa"/>
            <w:vAlign w:val="center"/>
          </w:tcPr>
          <w:p>
            <w:pPr>
              <w:pStyle w:val="13"/>
            </w:pPr>
            <w:r>
              <w:t>≥90%</w:t>
            </w:r>
          </w:p>
        </w:tc>
        <w:tc>
          <w:tcPr>
            <w:tcW w:w="1276" w:type="dxa"/>
            <w:vAlign w:val="center"/>
          </w:tcPr>
          <w:p>
            <w:pPr>
              <w:pStyle w:val="13"/>
            </w:pPr>
            <w:r>
              <w:t>按照晋州市司法局关于将公益岗人员转成劳务派遣人员的请示要求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15、社区矫正绩效目标表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13018326P00032810427G</w:t>
            </w:r>
          </w:p>
        </w:tc>
        <w:tc>
          <w:tcPr>
            <w:tcW w:w="2835" w:type="dxa"/>
            <w:vAlign w:val="center"/>
          </w:tcPr>
          <w:p>
            <w:pPr>
              <w:pStyle w:val="11"/>
            </w:pPr>
            <w:r>
              <w:t>项目名称</w:t>
            </w:r>
          </w:p>
        </w:tc>
        <w:tc>
          <w:tcPr>
            <w:tcW w:w="6095" w:type="dxa"/>
            <w:gridSpan w:val="3"/>
            <w:vAlign w:val="center"/>
          </w:tcPr>
          <w:p>
            <w:pPr>
              <w:pStyle w:val="13"/>
            </w:pPr>
            <w:r>
              <w:t>社区矫正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用于社工服务费及业务档案文书费用。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1.降低社区矫正人员重新犯罪率，对社区矫正人员的信息进行核查情况。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案件结案率</w:t>
            </w:r>
          </w:p>
        </w:tc>
        <w:tc>
          <w:tcPr>
            <w:tcW w:w="5386" w:type="dxa"/>
            <w:vAlign w:val="center"/>
          </w:tcPr>
          <w:p>
            <w:pPr>
              <w:pStyle w:val="13"/>
            </w:pPr>
            <w:r>
              <w:t>案件结案率</w:t>
            </w:r>
          </w:p>
        </w:tc>
        <w:tc>
          <w:tcPr>
            <w:tcW w:w="2268" w:type="dxa"/>
            <w:vAlign w:val="center"/>
          </w:tcPr>
          <w:p>
            <w:pPr>
              <w:pStyle w:val="13"/>
            </w:pPr>
            <w:r>
              <w:t>≥98%</w:t>
            </w:r>
          </w:p>
        </w:tc>
        <w:tc>
          <w:tcPr>
            <w:tcW w:w="1276" w:type="dxa"/>
            <w:vAlign w:val="center"/>
          </w:tcPr>
          <w:p>
            <w:pPr>
              <w:pStyle w:val="13"/>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对社区矫正执法人员学习时间达标率</w:t>
            </w:r>
          </w:p>
        </w:tc>
        <w:tc>
          <w:tcPr>
            <w:tcW w:w="5386" w:type="dxa"/>
            <w:vAlign w:val="center"/>
          </w:tcPr>
          <w:p>
            <w:pPr>
              <w:pStyle w:val="13"/>
            </w:pPr>
            <w:r>
              <w:t>对社区矫正执法人员学习时间达标率</w:t>
            </w:r>
          </w:p>
        </w:tc>
        <w:tc>
          <w:tcPr>
            <w:tcW w:w="2268" w:type="dxa"/>
            <w:vAlign w:val="center"/>
          </w:tcPr>
          <w:p>
            <w:pPr>
              <w:pStyle w:val="13"/>
            </w:pPr>
            <w:r>
              <w:t>≥99%</w:t>
            </w:r>
          </w:p>
        </w:tc>
        <w:tc>
          <w:tcPr>
            <w:tcW w:w="1276" w:type="dxa"/>
            <w:vAlign w:val="center"/>
          </w:tcPr>
          <w:p>
            <w:pPr>
              <w:pStyle w:val="13"/>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w:t>
            </w:r>
          </w:p>
        </w:tc>
        <w:tc>
          <w:tcPr>
            <w:tcW w:w="2268" w:type="dxa"/>
            <w:vAlign w:val="center"/>
          </w:tcPr>
          <w:p>
            <w:pPr>
              <w:pStyle w:val="13"/>
            </w:pPr>
            <w:r>
              <w:t>≥99%</w:t>
            </w:r>
          </w:p>
        </w:tc>
        <w:tc>
          <w:tcPr>
            <w:tcW w:w="1276" w:type="dxa"/>
            <w:vAlign w:val="center"/>
          </w:tcPr>
          <w:p>
            <w:pPr>
              <w:pStyle w:val="13"/>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40万元</w:t>
            </w:r>
          </w:p>
        </w:tc>
        <w:tc>
          <w:tcPr>
            <w:tcW w:w="1276" w:type="dxa"/>
            <w:vAlign w:val="center"/>
          </w:tcPr>
          <w:p>
            <w:pPr>
              <w:pStyle w:val="13"/>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年度社区矫正对象再犯罪人数与列管人数之比</w:t>
            </w:r>
          </w:p>
        </w:tc>
        <w:tc>
          <w:tcPr>
            <w:tcW w:w="5386" w:type="dxa"/>
            <w:vAlign w:val="center"/>
          </w:tcPr>
          <w:p>
            <w:pPr>
              <w:pStyle w:val="13"/>
            </w:pPr>
            <w:r>
              <w:t>年度社区矫正对象再犯罪人数与列管人数之比</w:t>
            </w:r>
          </w:p>
        </w:tc>
        <w:tc>
          <w:tcPr>
            <w:tcW w:w="2268" w:type="dxa"/>
            <w:vAlign w:val="center"/>
          </w:tcPr>
          <w:p>
            <w:pPr>
              <w:pStyle w:val="13"/>
            </w:pPr>
            <w:r>
              <w:t>≤0.2%</w:t>
            </w:r>
          </w:p>
        </w:tc>
        <w:tc>
          <w:tcPr>
            <w:tcW w:w="1276" w:type="dxa"/>
            <w:vAlign w:val="center"/>
          </w:tcPr>
          <w:p>
            <w:pPr>
              <w:pStyle w:val="13"/>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16、行政复议绩效目标表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13018326P000328104284</w:t>
            </w:r>
          </w:p>
        </w:tc>
        <w:tc>
          <w:tcPr>
            <w:tcW w:w="2835" w:type="dxa"/>
            <w:vAlign w:val="center"/>
          </w:tcPr>
          <w:p>
            <w:pPr>
              <w:pStyle w:val="11"/>
            </w:pPr>
            <w:r>
              <w:t>项目名称</w:t>
            </w:r>
          </w:p>
        </w:tc>
        <w:tc>
          <w:tcPr>
            <w:tcW w:w="6095" w:type="dxa"/>
            <w:gridSpan w:val="3"/>
            <w:vAlign w:val="center"/>
          </w:tcPr>
          <w:p>
            <w:pPr>
              <w:pStyle w:val="13"/>
            </w:pPr>
            <w:r>
              <w:t>行政复议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用于行政复议业务需要档案文书费用及案卷邮寄费用。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1.充分发挥行政复议作用，化解行政争议，维护社会和谐稳定。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案卷整理完成率</w:t>
            </w:r>
          </w:p>
        </w:tc>
        <w:tc>
          <w:tcPr>
            <w:tcW w:w="5386" w:type="dxa"/>
            <w:vAlign w:val="center"/>
          </w:tcPr>
          <w:p>
            <w:pPr>
              <w:pStyle w:val="13"/>
            </w:pPr>
            <w:r>
              <w:t>案卷整理完成率</w:t>
            </w:r>
          </w:p>
        </w:tc>
        <w:tc>
          <w:tcPr>
            <w:tcW w:w="2268" w:type="dxa"/>
            <w:vAlign w:val="center"/>
          </w:tcPr>
          <w:p>
            <w:pPr>
              <w:pStyle w:val="13"/>
            </w:pPr>
            <w:r>
              <w:t>≥98%</w:t>
            </w:r>
          </w:p>
        </w:tc>
        <w:tc>
          <w:tcPr>
            <w:tcW w:w="1276" w:type="dxa"/>
            <w:vAlign w:val="center"/>
          </w:tcPr>
          <w:p>
            <w:pPr>
              <w:pStyle w:val="13"/>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行政案件处理率</w:t>
            </w:r>
          </w:p>
        </w:tc>
        <w:tc>
          <w:tcPr>
            <w:tcW w:w="5386" w:type="dxa"/>
            <w:vAlign w:val="center"/>
          </w:tcPr>
          <w:p>
            <w:pPr>
              <w:pStyle w:val="13"/>
            </w:pPr>
            <w:r>
              <w:t>行政案件处理率</w:t>
            </w:r>
          </w:p>
        </w:tc>
        <w:tc>
          <w:tcPr>
            <w:tcW w:w="2268" w:type="dxa"/>
            <w:vAlign w:val="center"/>
          </w:tcPr>
          <w:p>
            <w:pPr>
              <w:pStyle w:val="13"/>
            </w:pPr>
            <w:r>
              <w:t>≥95%</w:t>
            </w:r>
          </w:p>
        </w:tc>
        <w:tc>
          <w:tcPr>
            <w:tcW w:w="1276" w:type="dxa"/>
            <w:vAlign w:val="center"/>
          </w:tcPr>
          <w:p>
            <w:pPr>
              <w:pStyle w:val="13"/>
            </w:pPr>
            <w:r>
              <w:t>按照石依法治市委【2021】5号中共石家庄市委全面依法治市委员会关于印发《石家庄市行政复议体制改革实施方案》的通知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≥98%</w:t>
            </w:r>
          </w:p>
        </w:tc>
        <w:tc>
          <w:tcPr>
            <w:tcW w:w="1276" w:type="dxa"/>
            <w:vAlign w:val="center"/>
          </w:tcPr>
          <w:p>
            <w:pPr>
              <w:pStyle w:val="13"/>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行政复议申请应诉率</w:t>
            </w:r>
          </w:p>
        </w:tc>
        <w:tc>
          <w:tcPr>
            <w:tcW w:w="5386" w:type="dxa"/>
            <w:vAlign w:val="center"/>
          </w:tcPr>
          <w:p>
            <w:pPr>
              <w:pStyle w:val="13"/>
            </w:pPr>
            <w:r>
              <w:t>行政复议申请应诉率</w:t>
            </w:r>
          </w:p>
        </w:tc>
        <w:tc>
          <w:tcPr>
            <w:tcW w:w="2268" w:type="dxa"/>
            <w:vAlign w:val="center"/>
          </w:tcPr>
          <w:p>
            <w:pPr>
              <w:pStyle w:val="13"/>
            </w:pPr>
            <w:r>
              <w:t>100%</w:t>
            </w:r>
          </w:p>
        </w:tc>
        <w:tc>
          <w:tcPr>
            <w:tcW w:w="1276" w:type="dxa"/>
            <w:vAlign w:val="center"/>
          </w:tcPr>
          <w:p>
            <w:pPr>
              <w:pStyle w:val="13"/>
            </w:pPr>
            <w:r>
              <w:t>按照石依法治市委【2021】5号中共石家庄市委全面依法治市委员会关于印发《石家庄市行政复议体制改革实施方案》的通知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17、行政执法协调监督绩效目标表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13018326P000328104303</w:t>
            </w:r>
          </w:p>
        </w:tc>
        <w:tc>
          <w:tcPr>
            <w:tcW w:w="2835" w:type="dxa"/>
            <w:vAlign w:val="center"/>
          </w:tcPr>
          <w:p>
            <w:pPr>
              <w:pStyle w:val="11"/>
            </w:pPr>
            <w:r>
              <w:t>项目名称</w:t>
            </w:r>
          </w:p>
        </w:tc>
        <w:tc>
          <w:tcPr>
            <w:tcW w:w="6095" w:type="dxa"/>
            <w:gridSpan w:val="3"/>
            <w:vAlign w:val="center"/>
          </w:tcPr>
          <w:p>
            <w:pPr>
              <w:pStyle w:val="13"/>
            </w:pPr>
            <w:r>
              <w:t>行政执法协调监督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用于行政执法协调监督业务学习软件费用。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1.通过全市执法人员有效监督，提高全市执法人员规范化水平。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开展监督检查次数</w:t>
            </w:r>
          </w:p>
        </w:tc>
        <w:tc>
          <w:tcPr>
            <w:tcW w:w="5386" w:type="dxa"/>
            <w:vAlign w:val="center"/>
          </w:tcPr>
          <w:p>
            <w:pPr>
              <w:pStyle w:val="13"/>
            </w:pPr>
            <w:r>
              <w:t>开展监督检查次数</w:t>
            </w:r>
          </w:p>
        </w:tc>
        <w:tc>
          <w:tcPr>
            <w:tcW w:w="2268" w:type="dxa"/>
            <w:vAlign w:val="center"/>
          </w:tcPr>
          <w:p>
            <w:pPr>
              <w:pStyle w:val="13"/>
            </w:pPr>
            <w:r>
              <w:t>≥4次</w:t>
            </w:r>
          </w:p>
        </w:tc>
        <w:tc>
          <w:tcPr>
            <w:tcW w:w="1276" w:type="dxa"/>
            <w:vAlign w:val="center"/>
          </w:tcPr>
          <w:p>
            <w:pPr>
              <w:pStyle w:val="13"/>
            </w:pPr>
            <w:r>
              <w:t>按照晋办字【2019】18号文件。</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执法监督成效</w:t>
            </w:r>
          </w:p>
        </w:tc>
        <w:tc>
          <w:tcPr>
            <w:tcW w:w="5386" w:type="dxa"/>
            <w:vAlign w:val="center"/>
          </w:tcPr>
          <w:p>
            <w:pPr>
              <w:pStyle w:val="13"/>
            </w:pPr>
            <w:r>
              <w:t>执法监督成效</w:t>
            </w:r>
          </w:p>
        </w:tc>
        <w:tc>
          <w:tcPr>
            <w:tcW w:w="2268" w:type="dxa"/>
            <w:vAlign w:val="center"/>
          </w:tcPr>
          <w:p>
            <w:pPr>
              <w:pStyle w:val="13"/>
            </w:pPr>
            <w:r>
              <w:t>≥98%</w:t>
            </w:r>
          </w:p>
        </w:tc>
        <w:tc>
          <w:tcPr>
            <w:tcW w:w="1276" w:type="dxa"/>
            <w:vAlign w:val="center"/>
          </w:tcPr>
          <w:p>
            <w:pPr>
              <w:pStyle w:val="13"/>
            </w:pPr>
            <w:r>
              <w:t>按照晋办字【2019】18号文件。</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≥99%</w:t>
            </w:r>
          </w:p>
        </w:tc>
        <w:tc>
          <w:tcPr>
            <w:tcW w:w="1276" w:type="dxa"/>
            <w:vAlign w:val="center"/>
          </w:tcPr>
          <w:p>
            <w:pPr>
              <w:pStyle w:val="13"/>
            </w:pPr>
            <w:r>
              <w:t>按照晋办字【2019】18号文件。</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执法检查任务完成率</w:t>
            </w:r>
          </w:p>
        </w:tc>
        <w:tc>
          <w:tcPr>
            <w:tcW w:w="5386" w:type="dxa"/>
            <w:vAlign w:val="center"/>
          </w:tcPr>
          <w:p>
            <w:pPr>
              <w:pStyle w:val="13"/>
            </w:pPr>
            <w:r>
              <w:t>执法检查任务完成率</w:t>
            </w:r>
          </w:p>
        </w:tc>
        <w:tc>
          <w:tcPr>
            <w:tcW w:w="2268" w:type="dxa"/>
            <w:vAlign w:val="center"/>
          </w:tcPr>
          <w:p>
            <w:pPr>
              <w:pStyle w:val="13"/>
            </w:pPr>
            <w:r>
              <w:t>≥98%</w:t>
            </w:r>
          </w:p>
        </w:tc>
        <w:tc>
          <w:tcPr>
            <w:tcW w:w="1276" w:type="dxa"/>
            <w:vAlign w:val="center"/>
          </w:tcPr>
          <w:p>
            <w:pPr>
              <w:pStyle w:val="13"/>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18、依法治市工作经费绩效目标表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13018326P00032810431N</w:t>
            </w:r>
          </w:p>
        </w:tc>
        <w:tc>
          <w:tcPr>
            <w:tcW w:w="2835" w:type="dxa"/>
            <w:vAlign w:val="center"/>
          </w:tcPr>
          <w:p>
            <w:pPr>
              <w:pStyle w:val="11"/>
            </w:pPr>
            <w:r>
              <w:t>项目名称</w:t>
            </w:r>
          </w:p>
        </w:tc>
        <w:tc>
          <w:tcPr>
            <w:tcW w:w="6095" w:type="dxa"/>
            <w:gridSpan w:val="3"/>
            <w:vAlign w:val="center"/>
          </w:tcPr>
          <w:p>
            <w:pPr>
              <w:pStyle w:val="13"/>
            </w:pPr>
            <w:r>
              <w:t>依法治市工作经费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用于依法治市印刷费用。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1.督促推动依法治市工作顺利开展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≥95%</w:t>
            </w:r>
          </w:p>
        </w:tc>
        <w:tc>
          <w:tcPr>
            <w:tcW w:w="1276" w:type="dxa"/>
            <w:vAlign w:val="center"/>
          </w:tcPr>
          <w:p>
            <w:pPr>
              <w:pStyle w:val="13"/>
            </w:pPr>
            <w:r>
              <w:t>按照《关于加强全面依法治县规范化建设的若干措施（试行）》（冀依法治省办【2022】10号文件要求，及市领导2022年9月17日批示意见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法律服务质量</w:t>
            </w:r>
          </w:p>
        </w:tc>
        <w:tc>
          <w:tcPr>
            <w:tcW w:w="2268" w:type="dxa"/>
            <w:vAlign w:val="center"/>
          </w:tcPr>
          <w:p>
            <w:pPr>
              <w:pStyle w:val="13"/>
            </w:pPr>
            <w:r>
              <w:t>≥90%</w:t>
            </w:r>
          </w:p>
        </w:tc>
        <w:tc>
          <w:tcPr>
            <w:tcW w:w="1276" w:type="dxa"/>
            <w:vAlign w:val="center"/>
          </w:tcPr>
          <w:p>
            <w:pPr>
              <w:pStyle w:val="13"/>
            </w:pPr>
            <w:r>
              <w:t>按照《关于加强全面依法治县规范化建设的若干措施（试行）》（冀依法治省办【2022】10号文件要求，及市领导2022年9月17日批示意见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业务处理及时率</w:t>
            </w:r>
          </w:p>
        </w:tc>
        <w:tc>
          <w:tcPr>
            <w:tcW w:w="5386" w:type="dxa"/>
            <w:vAlign w:val="center"/>
          </w:tcPr>
          <w:p>
            <w:pPr>
              <w:pStyle w:val="13"/>
            </w:pPr>
            <w:r>
              <w:t>业务处理及时率</w:t>
            </w:r>
          </w:p>
        </w:tc>
        <w:tc>
          <w:tcPr>
            <w:tcW w:w="2268" w:type="dxa"/>
            <w:vAlign w:val="center"/>
          </w:tcPr>
          <w:p>
            <w:pPr>
              <w:pStyle w:val="13"/>
            </w:pPr>
            <w:r>
              <w:t>≥98%</w:t>
            </w:r>
          </w:p>
        </w:tc>
        <w:tc>
          <w:tcPr>
            <w:tcW w:w="1276" w:type="dxa"/>
            <w:vAlign w:val="center"/>
          </w:tcPr>
          <w:p>
            <w:pPr>
              <w:pStyle w:val="13"/>
            </w:pPr>
            <w:r>
              <w:t>按照《关于加强全面依法治县规范化建设的若干措施（试行）》（冀依法治省办【2022】10号文件要求，及市领导2022年9月17日批示意见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按照《关于加强全面依法治县规范化建设的若干措施（试行）》（冀依法治省办【2022】10号文件要求，及市领导2022年9月17日批示意见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履行法律监督职责全面性</w:t>
            </w:r>
          </w:p>
        </w:tc>
        <w:tc>
          <w:tcPr>
            <w:tcW w:w="5386" w:type="dxa"/>
            <w:vAlign w:val="center"/>
          </w:tcPr>
          <w:p>
            <w:pPr>
              <w:pStyle w:val="13"/>
            </w:pPr>
            <w:r>
              <w:t>履行法律监督职责全面性</w:t>
            </w:r>
          </w:p>
        </w:tc>
        <w:tc>
          <w:tcPr>
            <w:tcW w:w="2268" w:type="dxa"/>
            <w:vAlign w:val="center"/>
          </w:tcPr>
          <w:p>
            <w:pPr>
              <w:pStyle w:val="13"/>
            </w:pPr>
            <w:r>
              <w:t>≥90%</w:t>
            </w:r>
          </w:p>
        </w:tc>
        <w:tc>
          <w:tcPr>
            <w:tcW w:w="1276" w:type="dxa"/>
            <w:vAlign w:val="center"/>
          </w:tcPr>
          <w:p>
            <w:pPr>
              <w:pStyle w:val="13"/>
            </w:pPr>
            <w:r>
              <w:t>按照《关于加强全面依法治县规范化建设的若干措施（试行）》（冀依法治省办【2022】10号文件要求，及市领导2022年9月17日批示意见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19、专职民调员补贴绩效目标表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13018326P00032810432A</w:t>
            </w:r>
          </w:p>
        </w:tc>
        <w:tc>
          <w:tcPr>
            <w:tcW w:w="2835" w:type="dxa"/>
            <w:vAlign w:val="center"/>
          </w:tcPr>
          <w:p>
            <w:pPr>
              <w:pStyle w:val="11"/>
            </w:pPr>
            <w:r>
              <w:t>项目名称</w:t>
            </w:r>
          </w:p>
        </w:tc>
        <w:tc>
          <w:tcPr>
            <w:tcW w:w="6095" w:type="dxa"/>
            <w:gridSpan w:val="3"/>
            <w:vAlign w:val="center"/>
          </w:tcPr>
          <w:p>
            <w:pPr>
              <w:pStyle w:val="13"/>
            </w:pPr>
            <w:r>
              <w:t>专职民调员补贴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用于专职民调员定补及案卷补贴。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1.深化人民调解，最大限度降低社会不稳定因素发生。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案件调解成功率</w:t>
            </w:r>
          </w:p>
        </w:tc>
        <w:tc>
          <w:tcPr>
            <w:tcW w:w="5386" w:type="dxa"/>
            <w:vAlign w:val="center"/>
          </w:tcPr>
          <w:p>
            <w:pPr>
              <w:pStyle w:val="13"/>
            </w:pPr>
            <w:r>
              <w:t>案件调解成功率</w:t>
            </w:r>
          </w:p>
        </w:tc>
        <w:tc>
          <w:tcPr>
            <w:tcW w:w="2268" w:type="dxa"/>
            <w:vAlign w:val="center"/>
          </w:tcPr>
          <w:p>
            <w:pPr>
              <w:pStyle w:val="13"/>
            </w:pPr>
            <w:r>
              <w:t>≥95%</w:t>
            </w:r>
          </w:p>
        </w:tc>
        <w:tc>
          <w:tcPr>
            <w:tcW w:w="1276" w:type="dxa"/>
            <w:vAlign w:val="center"/>
          </w:tcPr>
          <w:p>
            <w:pPr>
              <w:pStyle w:val="13"/>
            </w:pPr>
            <w:r>
              <w:t>按照晋办文【2019】3号文件中共晋州市委办公室晋州市人民政府办公室关于新形势下加强人民调解工作的意见</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矛盾纠纷调处率</w:t>
            </w:r>
          </w:p>
        </w:tc>
        <w:tc>
          <w:tcPr>
            <w:tcW w:w="5386" w:type="dxa"/>
            <w:vAlign w:val="center"/>
          </w:tcPr>
          <w:p>
            <w:pPr>
              <w:pStyle w:val="13"/>
            </w:pPr>
            <w:r>
              <w:t>矛盾纠纷调处率</w:t>
            </w:r>
          </w:p>
        </w:tc>
        <w:tc>
          <w:tcPr>
            <w:tcW w:w="2268" w:type="dxa"/>
            <w:vAlign w:val="center"/>
          </w:tcPr>
          <w:p>
            <w:pPr>
              <w:pStyle w:val="13"/>
            </w:pPr>
            <w:r>
              <w:t>≥95%</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w:t>
            </w:r>
          </w:p>
        </w:tc>
        <w:tc>
          <w:tcPr>
            <w:tcW w:w="1276" w:type="dxa"/>
            <w:vAlign w:val="center"/>
          </w:tcPr>
          <w:p>
            <w:pPr>
              <w:pStyle w:val="13"/>
            </w:pPr>
            <w:r>
              <w:t>按照晋办文【2019】3号文件中共晋州市委办公室晋州市人民政府办公室关于新形势下加强人民调解工作的意见</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45万元</w:t>
            </w:r>
          </w:p>
        </w:tc>
        <w:tc>
          <w:tcPr>
            <w:tcW w:w="1276" w:type="dxa"/>
            <w:vAlign w:val="center"/>
          </w:tcPr>
          <w:p>
            <w:pPr>
              <w:pStyle w:val="13"/>
            </w:pPr>
            <w:r>
              <w:t>按照晋办文【2019】3号文件中共晋州市委办公室晋州市人民政府办公室关于新形势下加强人民调解工作的意见</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维护农村和谐稳定</w:t>
            </w:r>
          </w:p>
        </w:tc>
        <w:tc>
          <w:tcPr>
            <w:tcW w:w="5386" w:type="dxa"/>
            <w:vAlign w:val="center"/>
          </w:tcPr>
          <w:p>
            <w:pPr>
              <w:pStyle w:val="13"/>
            </w:pPr>
            <w:r>
              <w:t>维护农村和谐稳定</w:t>
            </w:r>
          </w:p>
        </w:tc>
        <w:tc>
          <w:tcPr>
            <w:tcW w:w="2268" w:type="dxa"/>
            <w:vAlign w:val="center"/>
          </w:tcPr>
          <w:p>
            <w:pPr>
              <w:pStyle w:val="13"/>
            </w:pPr>
            <w:r>
              <w:t>≥90%</w:t>
            </w:r>
          </w:p>
        </w:tc>
        <w:tc>
          <w:tcPr>
            <w:tcW w:w="1276" w:type="dxa"/>
            <w:vAlign w:val="center"/>
          </w:tcPr>
          <w:p>
            <w:pPr>
              <w:pStyle w:val="13"/>
            </w:pPr>
            <w:r>
              <w:t>按照晋办文【2019】3号文件中共晋州市委办公室晋州市人民政府办公室关于新形势下加强人民调解工作的意见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315晋州市司法局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3.20</w:t>
            </w:r>
          </w:p>
        </w:tc>
        <w:tc>
          <w:tcPr>
            <w:tcW w:w="964" w:type="dxa"/>
            <w:vAlign w:val="center"/>
          </w:tcPr>
          <w:p>
            <w:pPr>
              <w:pStyle w:val="16"/>
            </w:pPr>
            <w:r>
              <w:t>3.20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晋州市司法局本级小计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3.20</w:t>
            </w:r>
          </w:p>
        </w:tc>
        <w:tc>
          <w:tcPr>
            <w:tcW w:w="964" w:type="dxa"/>
            <w:vAlign w:val="center"/>
          </w:tcPr>
          <w:p>
            <w:pPr>
              <w:pStyle w:val="16"/>
            </w:pPr>
            <w:r>
              <w:t>3.20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0.02</w:t>
            </w:r>
          </w:p>
        </w:tc>
        <w:tc>
          <w:tcPr>
            <w:tcW w:w="964" w:type="dxa"/>
            <w:vAlign w:val="center"/>
          </w:tcPr>
          <w:p>
            <w:pPr>
              <w:pStyle w:val="12"/>
            </w:pPr>
            <w:r>
              <w:t>3.20</w:t>
            </w:r>
          </w:p>
        </w:tc>
        <w:tc>
          <w:tcPr>
            <w:tcW w:w="964" w:type="dxa"/>
            <w:vAlign w:val="center"/>
          </w:tcPr>
          <w:p>
            <w:pPr>
              <w:pStyle w:val="12"/>
            </w:pPr>
            <w:r>
              <w:t>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晋州市司法局（含所属单位）上年末固定资产金额为234.21万元（详见下表）。本年度拟购置固定资产总额为0.00万元，已按要求列入政府采购预算，详见政府采购预算表。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315晋州市司法局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3829.23</w:t>
            </w:r>
          </w:p>
        </w:tc>
        <w:tc>
          <w:tcPr>
            <w:tcW w:w="2835" w:type="dxa"/>
            <w:vAlign w:val="center"/>
          </w:tcPr>
          <w:p>
            <w:pPr>
              <w:pStyle w:val="12"/>
            </w:pPr>
            <w:r>
              <w:t>181.90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3829.23</w:t>
            </w:r>
          </w:p>
        </w:tc>
        <w:tc>
          <w:tcPr>
            <w:tcW w:w="2835" w:type="dxa"/>
            <w:vAlign w:val="center"/>
          </w:tcPr>
          <w:p>
            <w:pPr>
              <w:pStyle w:val="12"/>
            </w:pPr>
            <w:r>
              <w:t>181.90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0AE492"/>
    <w:multiLevelType w:val="singleLevel"/>
    <w:tmpl w:val="B70AE49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D6E59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2026-03-02T08:45:00Z</dcterms:created>
  <dc:creator>Administrator</dc:creator>
  <cp:lastModifiedBy>Administrator</cp:lastModifiedBy>
  <dcterms:modified xsi:type="dcterms:W3CDTF">2026-03-02T03:08:44Z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