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一、晋州市财政局本级收支预算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二、晋州市财政国库支付中心收支预算</w:t>
      </w:r>
      <w:r>
        <w:tab/>
      </w:r>
      <w:r>
        <w:fldChar w:fldCharType="begin"/>
      </w:r>
      <w:r>
        <w:instrText xml:space="preserve">PAGEREF _Toc_4_4_0000000002 \h</w:instrText>
      </w:r>
      <w:r>
        <w:fldChar w:fldCharType="separate"/>
      </w:r>
      <w:r>
        <w:t>2</w:t>
      </w:r>
      <w:r>
        <w:rPr>
          <w:rFonts w:hint="eastAsia"/>
          <w:lang w:val="en-US" w:eastAsia="zh-CN"/>
        </w:rPr>
        <w:t>6</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三、晋州市收费中心收支预算</w:t>
      </w:r>
      <w:r>
        <w:tab/>
      </w:r>
      <w:r>
        <w:fldChar w:fldCharType="begin"/>
      </w:r>
      <w:r>
        <w:instrText xml:space="preserve">PAGEREF _Toc_4_4_0000000003 \h</w:instrText>
      </w:r>
      <w:r>
        <w:fldChar w:fldCharType="separate"/>
      </w:r>
      <w:r>
        <w:t>4</w:t>
      </w:r>
      <w:r>
        <w:rPr>
          <w:rFonts w:hint="eastAsia"/>
          <w:lang w:val="en-US" w:eastAsia="zh-CN"/>
        </w:rPr>
        <w:t>3</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_Toc_4_4_0000000004</w:instrText>
      </w:r>
      <w:r>
        <w:fldChar w:fldCharType="separate"/>
      </w:r>
      <w:r>
        <w:rPr>
          <w:b w:val="0"/>
        </w:rPr>
        <w:t>四、晋州市农村财务中心收支预算</w:t>
      </w:r>
      <w:r>
        <w:tab/>
      </w:r>
      <w:r>
        <w:rPr>
          <w:rFonts w:hint="eastAsia"/>
          <w:lang w:val="en-US" w:eastAsia="zh-CN"/>
        </w:rPr>
        <w:t>6</w:t>
      </w:r>
      <w:r>
        <w:fldChar w:fldCharType="end"/>
      </w:r>
      <w:r>
        <w:rPr>
          <w:rFonts w:hint="eastAsia"/>
          <w:lang w:val="en-US" w:eastAsia="zh-CN"/>
        </w:rPr>
        <w:t>1</w:t>
      </w:r>
    </w:p>
    <w:p>
      <w:pPr>
        <w:pStyle w:val="2"/>
        <w:tabs>
          <w:tab w:val="right" w:leader="dot" w:pos="14562"/>
        </w:tabs>
      </w:pPr>
      <w:r>
        <w:fldChar w:fldCharType="begin"/>
      </w:r>
      <w:r>
        <w:instrText xml:space="preserve">HYPERLINK \l _Toc_4_4_0000000005</w:instrText>
      </w:r>
      <w:r>
        <w:fldChar w:fldCharType="separate"/>
      </w:r>
      <w:r>
        <w:rPr>
          <w:b w:val="0"/>
        </w:rPr>
        <w:t>五、晋州市综合治税服务中心收支预算</w:t>
      </w:r>
      <w:r>
        <w:tab/>
      </w:r>
      <w:r>
        <w:fldChar w:fldCharType="begin"/>
      </w:r>
      <w:r>
        <w:instrText xml:space="preserve">PAGEREF _Toc_4_4_0000000005 \h</w:instrText>
      </w:r>
      <w:r>
        <w:fldChar w:fldCharType="separate"/>
      </w:r>
      <w:r>
        <w:t>7</w:t>
      </w:r>
      <w:r>
        <w:rPr>
          <w:rFonts w:hint="eastAsia"/>
          <w:lang w:val="en-US" w:eastAsia="zh-CN"/>
        </w:rPr>
        <w:t>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bookmarkStart w:id="5" w:name="_GoBack"/>
      <w:bookmarkEnd w:id="5"/>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318001晋州市财政局本级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1494.34</w:t>
            </w:r>
          </w:p>
        </w:tc>
        <w:tc>
          <w:tcPr>
            <w:tcW w:w="4535" w:type="dxa"/>
            <w:vAlign w:val="center"/>
          </w:tcPr>
          <w:p>
            <w:pPr>
              <w:pStyle w:val="12"/>
            </w:pPr>
            <w:r>
              <w:t>一、一般公共服务支出</w:t>
            </w:r>
          </w:p>
        </w:tc>
        <w:tc>
          <w:tcPr>
            <w:tcW w:w="2126" w:type="dxa"/>
            <w:vAlign w:val="center"/>
          </w:tcPr>
          <w:p>
            <w:pPr>
              <w:pStyle w:val="11"/>
            </w:pPr>
            <w:r>
              <w:t>1494.34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1494.34</w:t>
            </w:r>
          </w:p>
        </w:tc>
        <w:tc>
          <w:tcPr>
            <w:tcW w:w="4535" w:type="dxa"/>
            <w:vAlign w:val="center"/>
          </w:tcPr>
          <w:p>
            <w:pPr>
              <w:pStyle w:val="14"/>
            </w:pPr>
            <w:r>
              <w:t>本年支出合计</w:t>
            </w:r>
          </w:p>
        </w:tc>
        <w:tc>
          <w:tcPr>
            <w:tcW w:w="2126" w:type="dxa"/>
            <w:vAlign w:val="center"/>
          </w:tcPr>
          <w:p>
            <w:pPr>
              <w:pStyle w:val="15"/>
            </w:pPr>
            <w:r>
              <w:t>1494.34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1494.34</w:t>
            </w:r>
          </w:p>
        </w:tc>
        <w:tc>
          <w:tcPr>
            <w:tcW w:w="4535" w:type="dxa"/>
            <w:vAlign w:val="center"/>
          </w:tcPr>
          <w:p>
            <w:pPr>
              <w:pStyle w:val="14"/>
            </w:pPr>
            <w:r>
              <w:t>支出总计</w:t>
            </w:r>
          </w:p>
        </w:tc>
        <w:tc>
          <w:tcPr>
            <w:tcW w:w="2126" w:type="dxa"/>
            <w:vAlign w:val="center"/>
          </w:tcPr>
          <w:p>
            <w:pPr>
              <w:pStyle w:val="15"/>
            </w:pPr>
            <w:r>
              <w:t>1494.34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318001晋州市财政局本级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1494.34</w:t>
            </w:r>
          </w:p>
        </w:tc>
        <w:tc>
          <w:tcPr>
            <w:tcW w:w="1134" w:type="dxa"/>
            <w:vAlign w:val="center"/>
          </w:tcPr>
          <w:p>
            <w:pPr>
              <w:pStyle w:val="15"/>
            </w:pPr>
            <w:r>
              <w:t>1494.34</w:t>
            </w:r>
          </w:p>
        </w:tc>
        <w:tc>
          <w:tcPr>
            <w:tcW w:w="1134" w:type="dxa"/>
            <w:vAlign w:val="center"/>
          </w:tcPr>
          <w:p>
            <w:pPr>
              <w:pStyle w:val="15"/>
            </w:pPr>
            <w:r>
              <w:t>1494.34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1494.34</w:t>
            </w:r>
          </w:p>
        </w:tc>
        <w:tc>
          <w:tcPr>
            <w:tcW w:w="1134" w:type="dxa"/>
            <w:vAlign w:val="center"/>
          </w:tcPr>
          <w:p>
            <w:pPr>
              <w:pStyle w:val="11"/>
            </w:pPr>
            <w:r>
              <w:t>1494.34</w:t>
            </w:r>
          </w:p>
        </w:tc>
        <w:tc>
          <w:tcPr>
            <w:tcW w:w="1134" w:type="dxa"/>
            <w:vAlign w:val="center"/>
          </w:tcPr>
          <w:p>
            <w:pPr>
              <w:pStyle w:val="11"/>
            </w:pPr>
            <w:r>
              <w:t>1494.34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1494.34</w:t>
            </w:r>
          </w:p>
        </w:tc>
        <w:tc>
          <w:tcPr>
            <w:tcW w:w="1134" w:type="dxa"/>
            <w:vAlign w:val="center"/>
          </w:tcPr>
          <w:p>
            <w:pPr>
              <w:pStyle w:val="11"/>
            </w:pPr>
            <w:r>
              <w:t>1494.34</w:t>
            </w:r>
          </w:p>
        </w:tc>
        <w:tc>
          <w:tcPr>
            <w:tcW w:w="1134" w:type="dxa"/>
            <w:vAlign w:val="center"/>
          </w:tcPr>
          <w:p>
            <w:pPr>
              <w:pStyle w:val="11"/>
            </w:pPr>
            <w:r>
              <w:t>1494.34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892.41</w:t>
            </w:r>
          </w:p>
        </w:tc>
        <w:tc>
          <w:tcPr>
            <w:tcW w:w="1134" w:type="dxa"/>
            <w:vAlign w:val="center"/>
          </w:tcPr>
          <w:p>
            <w:pPr>
              <w:pStyle w:val="11"/>
            </w:pPr>
            <w:r>
              <w:t>892.41</w:t>
            </w:r>
          </w:p>
        </w:tc>
        <w:tc>
          <w:tcPr>
            <w:tcW w:w="1134" w:type="dxa"/>
            <w:vAlign w:val="center"/>
          </w:tcPr>
          <w:p>
            <w:pPr>
              <w:pStyle w:val="11"/>
            </w:pPr>
            <w:r>
              <w:t>892.41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601.93</w:t>
            </w:r>
          </w:p>
        </w:tc>
        <w:tc>
          <w:tcPr>
            <w:tcW w:w="1134" w:type="dxa"/>
            <w:vAlign w:val="center"/>
          </w:tcPr>
          <w:p>
            <w:pPr>
              <w:pStyle w:val="11"/>
            </w:pPr>
            <w:r>
              <w:t>601.93</w:t>
            </w:r>
          </w:p>
        </w:tc>
        <w:tc>
          <w:tcPr>
            <w:tcW w:w="1134" w:type="dxa"/>
            <w:vAlign w:val="center"/>
          </w:tcPr>
          <w:p>
            <w:pPr>
              <w:pStyle w:val="11"/>
            </w:pPr>
            <w:r>
              <w:t>601.93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318001晋州市财政局本级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1494.34</w:t>
            </w:r>
          </w:p>
        </w:tc>
        <w:tc>
          <w:tcPr>
            <w:tcW w:w="1361" w:type="dxa"/>
            <w:vAlign w:val="center"/>
          </w:tcPr>
          <w:p>
            <w:pPr>
              <w:pStyle w:val="15"/>
            </w:pPr>
            <w:r>
              <w:t>892.41</w:t>
            </w:r>
          </w:p>
        </w:tc>
        <w:tc>
          <w:tcPr>
            <w:tcW w:w="1361" w:type="dxa"/>
            <w:vAlign w:val="center"/>
          </w:tcPr>
          <w:p>
            <w:pPr>
              <w:pStyle w:val="15"/>
            </w:pPr>
            <w:r>
              <w:t>601.93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1494.34</w:t>
            </w:r>
          </w:p>
        </w:tc>
        <w:tc>
          <w:tcPr>
            <w:tcW w:w="1361" w:type="dxa"/>
            <w:vAlign w:val="center"/>
          </w:tcPr>
          <w:p>
            <w:pPr>
              <w:pStyle w:val="11"/>
            </w:pPr>
            <w:r>
              <w:t>892.41</w:t>
            </w:r>
          </w:p>
        </w:tc>
        <w:tc>
          <w:tcPr>
            <w:tcW w:w="1361" w:type="dxa"/>
            <w:vAlign w:val="center"/>
          </w:tcPr>
          <w:p>
            <w:pPr>
              <w:pStyle w:val="11"/>
            </w:pPr>
            <w:r>
              <w:t>601.93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1494.34</w:t>
            </w:r>
          </w:p>
        </w:tc>
        <w:tc>
          <w:tcPr>
            <w:tcW w:w="1361" w:type="dxa"/>
            <w:vAlign w:val="center"/>
          </w:tcPr>
          <w:p>
            <w:pPr>
              <w:pStyle w:val="11"/>
            </w:pPr>
            <w:r>
              <w:t>892.41</w:t>
            </w:r>
          </w:p>
        </w:tc>
        <w:tc>
          <w:tcPr>
            <w:tcW w:w="1361" w:type="dxa"/>
            <w:vAlign w:val="center"/>
          </w:tcPr>
          <w:p>
            <w:pPr>
              <w:pStyle w:val="11"/>
            </w:pPr>
            <w:r>
              <w:t>601.93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892.41</w:t>
            </w:r>
          </w:p>
        </w:tc>
        <w:tc>
          <w:tcPr>
            <w:tcW w:w="1361" w:type="dxa"/>
            <w:vAlign w:val="center"/>
          </w:tcPr>
          <w:p>
            <w:pPr>
              <w:pStyle w:val="11"/>
            </w:pPr>
            <w:r>
              <w:t>892.41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601.93</w:t>
            </w:r>
          </w:p>
        </w:tc>
        <w:tc>
          <w:tcPr>
            <w:tcW w:w="1361" w:type="dxa"/>
            <w:vAlign w:val="center"/>
          </w:tcPr>
          <w:p>
            <w:pPr>
              <w:pStyle w:val="11"/>
            </w:pPr>
          </w:p>
        </w:tc>
        <w:tc>
          <w:tcPr>
            <w:tcW w:w="1361" w:type="dxa"/>
            <w:vAlign w:val="center"/>
          </w:tcPr>
          <w:p>
            <w:pPr>
              <w:pStyle w:val="11"/>
            </w:pPr>
            <w:r>
              <w:t>601.93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318001晋州市财政局本级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1494.34</w:t>
            </w:r>
          </w:p>
        </w:tc>
        <w:tc>
          <w:tcPr>
            <w:tcW w:w="3402" w:type="dxa"/>
            <w:vAlign w:val="center"/>
          </w:tcPr>
          <w:p>
            <w:pPr>
              <w:pStyle w:val="12"/>
            </w:pPr>
            <w:r>
              <w:t>一、一般公共服务支出</w:t>
            </w:r>
          </w:p>
        </w:tc>
        <w:tc>
          <w:tcPr>
            <w:tcW w:w="1474" w:type="dxa"/>
            <w:vAlign w:val="center"/>
          </w:tcPr>
          <w:p>
            <w:pPr>
              <w:pStyle w:val="11"/>
            </w:pPr>
            <w:r>
              <w:t>1494.34</w:t>
            </w:r>
          </w:p>
        </w:tc>
        <w:tc>
          <w:tcPr>
            <w:tcW w:w="1474" w:type="dxa"/>
            <w:vAlign w:val="center"/>
          </w:tcPr>
          <w:p>
            <w:pPr>
              <w:pStyle w:val="11"/>
            </w:pPr>
            <w:r>
              <w:t>1494.34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1494.34</w:t>
            </w:r>
          </w:p>
        </w:tc>
        <w:tc>
          <w:tcPr>
            <w:tcW w:w="3402" w:type="dxa"/>
            <w:vAlign w:val="center"/>
          </w:tcPr>
          <w:p>
            <w:pPr>
              <w:pStyle w:val="14"/>
            </w:pPr>
            <w:r>
              <w:t>本年支出合计</w:t>
            </w:r>
          </w:p>
        </w:tc>
        <w:tc>
          <w:tcPr>
            <w:tcW w:w="1474" w:type="dxa"/>
            <w:vAlign w:val="center"/>
          </w:tcPr>
          <w:p>
            <w:pPr>
              <w:pStyle w:val="15"/>
            </w:pPr>
            <w:r>
              <w:t>1494.34</w:t>
            </w:r>
          </w:p>
        </w:tc>
        <w:tc>
          <w:tcPr>
            <w:tcW w:w="1474" w:type="dxa"/>
            <w:vAlign w:val="center"/>
          </w:tcPr>
          <w:p>
            <w:pPr>
              <w:pStyle w:val="15"/>
            </w:pPr>
            <w:r>
              <w:t>1494.34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1494.34</w:t>
            </w:r>
          </w:p>
        </w:tc>
        <w:tc>
          <w:tcPr>
            <w:tcW w:w="3402" w:type="dxa"/>
            <w:vAlign w:val="center"/>
          </w:tcPr>
          <w:p>
            <w:pPr>
              <w:pStyle w:val="14"/>
            </w:pPr>
            <w:r>
              <w:t>支出总计</w:t>
            </w:r>
          </w:p>
        </w:tc>
        <w:tc>
          <w:tcPr>
            <w:tcW w:w="1474" w:type="dxa"/>
            <w:vAlign w:val="center"/>
          </w:tcPr>
          <w:p>
            <w:pPr>
              <w:pStyle w:val="15"/>
            </w:pPr>
            <w:r>
              <w:t>1494.34</w:t>
            </w:r>
          </w:p>
        </w:tc>
        <w:tc>
          <w:tcPr>
            <w:tcW w:w="1474" w:type="dxa"/>
            <w:vAlign w:val="center"/>
          </w:tcPr>
          <w:p>
            <w:pPr>
              <w:pStyle w:val="15"/>
            </w:pPr>
            <w:r>
              <w:t>1494.34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318001晋州市财政局本级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1494.34</w:t>
            </w:r>
          </w:p>
        </w:tc>
        <w:tc>
          <w:tcPr>
            <w:tcW w:w="2551" w:type="dxa"/>
            <w:vAlign w:val="center"/>
          </w:tcPr>
          <w:p>
            <w:pPr>
              <w:pStyle w:val="15"/>
            </w:pPr>
            <w:r>
              <w:t>892.41</w:t>
            </w:r>
          </w:p>
        </w:tc>
        <w:tc>
          <w:tcPr>
            <w:tcW w:w="2551" w:type="dxa"/>
            <w:vAlign w:val="center"/>
          </w:tcPr>
          <w:p>
            <w:pPr>
              <w:pStyle w:val="15"/>
            </w:pPr>
            <w:r>
              <w:t>601.93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1494.34</w:t>
            </w:r>
          </w:p>
        </w:tc>
        <w:tc>
          <w:tcPr>
            <w:tcW w:w="2551" w:type="dxa"/>
            <w:vAlign w:val="center"/>
          </w:tcPr>
          <w:p>
            <w:pPr>
              <w:pStyle w:val="11"/>
            </w:pPr>
            <w:r>
              <w:t>892.41</w:t>
            </w:r>
          </w:p>
        </w:tc>
        <w:tc>
          <w:tcPr>
            <w:tcW w:w="2551" w:type="dxa"/>
            <w:vAlign w:val="center"/>
          </w:tcPr>
          <w:p>
            <w:pPr>
              <w:pStyle w:val="11"/>
            </w:pPr>
            <w:r>
              <w:t>601.93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1494.34</w:t>
            </w:r>
          </w:p>
        </w:tc>
        <w:tc>
          <w:tcPr>
            <w:tcW w:w="2551" w:type="dxa"/>
            <w:vAlign w:val="center"/>
          </w:tcPr>
          <w:p>
            <w:pPr>
              <w:pStyle w:val="11"/>
            </w:pPr>
            <w:r>
              <w:t>892.41</w:t>
            </w:r>
          </w:p>
        </w:tc>
        <w:tc>
          <w:tcPr>
            <w:tcW w:w="2551" w:type="dxa"/>
            <w:vAlign w:val="center"/>
          </w:tcPr>
          <w:p>
            <w:pPr>
              <w:pStyle w:val="11"/>
            </w:pPr>
            <w:r>
              <w:t>601.93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892.41</w:t>
            </w:r>
          </w:p>
        </w:tc>
        <w:tc>
          <w:tcPr>
            <w:tcW w:w="2551" w:type="dxa"/>
            <w:vAlign w:val="center"/>
          </w:tcPr>
          <w:p>
            <w:pPr>
              <w:pStyle w:val="11"/>
            </w:pPr>
            <w:r>
              <w:t>892.41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601.93</w:t>
            </w:r>
          </w:p>
        </w:tc>
        <w:tc>
          <w:tcPr>
            <w:tcW w:w="2551" w:type="dxa"/>
            <w:vAlign w:val="center"/>
          </w:tcPr>
          <w:p>
            <w:pPr>
              <w:pStyle w:val="11"/>
            </w:pPr>
          </w:p>
        </w:tc>
        <w:tc>
          <w:tcPr>
            <w:tcW w:w="2551" w:type="dxa"/>
            <w:vAlign w:val="center"/>
          </w:tcPr>
          <w:p>
            <w:pPr>
              <w:pStyle w:val="11"/>
            </w:pPr>
            <w:r>
              <w:t>601.93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318001晋州市财政局本级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892.41</w:t>
            </w:r>
          </w:p>
        </w:tc>
        <w:tc>
          <w:tcPr>
            <w:tcW w:w="2551" w:type="dxa"/>
            <w:vAlign w:val="center"/>
          </w:tcPr>
          <w:p>
            <w:pPr>
              <w:pStyle w:val="15"/>
            </w:pPr>
            <w:r>
              <w:t>792.80</w:t>
            </w:r>
          </w:p>
        </w:tc>
        <w:tc>
          <w:tcPr>
            <w:tcW w:w="2551" w:type="dxa"/>
            <w:vAlign w:val="center"/>
          </w:tcPr>
          <w:p>
            <w:pPr>
              <w:pStyle w:val="15"/>
            </w:pPr>
            <w:r>
              <w:t>99.61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608.55</w:t>
            </w:r>
          </w:p>
        </w:tc>
        <w:tc>
          <w:tcPr>
            <w:tcW w:w="2551" w:type="dxa"/>
            <w:vAlign w:val="center"/>
          </w:tcPr>
          <w:p>
            <w:pPr>
              <w:pStyle w:val="11"/>
            </w:pPr>
            <w:r>
              <w:t>608.55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133.63</w:t>
            </w:r>
          </w:p>
        </w:tc>
        <w:tc>
          <w:tcPr>
            <w:tcW w:w="2551" w:type="dxa"/>
            <w:vAlign w:val="center"/>
          </w:tcPr>
          <w:p>
            <w:pPr>
              <w:pStyle w:val="11"/>
            </w:pPr>
            <w:r>
              <w:t>133.63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75.84</w:t>
            </w:r>
          </w:p>
        </w:tc>
        <w:tc>
          <w:tcPr>
            <w:tcW w:w="2551" w:type="dxa"/>
            <w:vAlign w:val="center"/>
          </w:tcPr>
          <w:p>
            <w:pPr>
              <w:pStyle w:val="11"/>
            </w:pPr>
            <w:r>
              <w:t>75.84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65.76</w:t>
            </w:r>
          </w:p>
        </w:tc>
        <w:tc>
          <w:tcPr>
            <w:tcW w:w="2551" w:type="dxa"/>
            <w:vAlign w:val="center"/>
          </w:tcPr>
          <w:p>
            <w:pPr>
              <w:pStyle w:val="11"/>
            </w:pPr>
            <w:r>
              <w:t>65.76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21.83</w:t>
            </w:r>
          </w:p>
        </w:tc>
        <w:tc>
          <w:tcPr>
            <w:tcW w:w="2551" w:type="dxa"/>
            <w:vAlign w:val="center"/>
          </w:tcPr>
          <w:p>
            <w:pPr>
              <w:pStyle w:val="11"/>
            </w:pPr>
            <w:r>
              <w:t>21.83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35.40</w:t>
            </w:r>
          </w:p>
        </w:tc>
        <w:tc>
          <w:tcPr>
            <w:tcW w:w="2551" w:type="dxa"/>
            <w:vAlign w:val="center"/>
          </w:tcPr>
          <w:p>
            <w:pPr>
              <w:pStyle w:val="11"/>
            </w:pPr>
            <w:r>
              <w:t>35.40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13.99</w:t>
            </w:r>
          </w:p>
        </w:tc>
        <w:tc>
          <w:tcPr>
            <w:tcW w:w="2551" w:type="dxa"/>
            <w:vAlign w:val="center"/>
          </w:tcPr>
          <w:p>
            <w:pPr>
              <w:pStyle w:val="11"/>
            </w:pPr>
            <w:r>
              <w:t>13.99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7.11</w:t>
            </w:r>
          </w:p>
        </w:tc>
        <w:tc>
          <w:tcPr>
            <w:tcW w:w="2551" w:type="dxa"/>
            <w:vAlign w:val="center"/>
          </w:tcPr>
          <w:p>
            <w:pPr>
              <w:pStyle w:val="11"/>
            </w:pPr>
            <w:r>
              <w:t>7.11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1.39</w:t>
            </w:r>
          </w:p>
        </w:tc>
        <w:tc>
          <w:tcPr>
            <w:tcW w:w="2551" w:type="dxa"/>
            <w:vAlign w:val="center"/>
          </w:tcPr>
          <w:p>
            <w:pPr>
              <w:pStyle w:val="11"/>
            </w:pPr>
            <w:r>
              <w:t>1.39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28.27</w:t>
            </w:r>
          </w:p>
        </w:tc>
        <w:tc>
          <w:tcPr>
            <w:tcW w:w="2551" w:type="dxa"/>
            <w:vAlign w:val="center"/>
          </w:tcPr>
          <w:p>
            <w:pPr>
              <w:pStyle w:val="11"/>
            </w:pPr>
            <w:r>
              <w:t>28.27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225.33</w:t>
            </w:r>
          </w:p>
        </w:tc>
        <w:tc>
          <w:tcPr>
            <w:tcW w:w="2551" w:type="dxa"/>
            <w:vAlign w:val="center"/>
          </w:tcPr>
          <w:p>
            <w:pPr>
              <w:pStyle w:val="11"/>
            </w:pPr>
            <w:r>
              <w:t>225.33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99.61</w:t>
            </w:r>
          </w:p>
        </w:tc>
        <w:tc>
          <w:tcPr>
            <w:tcW w:w="2551" w:type="dxa"/>
            <w:vAlign w:val="center"/>
          </w:tcPr>
          <w:p>
            <w:pPr>
              <w:pStyle w:val="11"/>
            </w:pPr>
          </w:p>
        </w:tc>
        <w:tc>
          <w:tcPr>
            <w:tcW w:w="2551" w:type="dxa"/>
            <w:vAlign w:val="center"/>
          </w:tcPr>
          <w:p>
            <w:pPr>
              <w:pStyle w:val="11"/>
            </w:pPr>
            <w:r>
              <w:t>99.61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11.30</w:t>
            </w:r>
          </w:p>
        </w:tc>
        <w:tc>
          <w:tcPr>
            <w:tcW w:w="2551" w:type="dxa"/>
            <w:vAlign w:val="center"/>
          </w:tcPr>
          <w:p>
            <w:pPr>
              <w:pStyle w:val="11"/>
            </w:pPr>
          </w:p>
        </w:tc>
        <w:tc>
          <w:tcPr>
            <w:tcW w:w="2551" w:type="dxa"/>
            <w:vAlign w:val="center"/>
          </w:tcPr>
          <w:p>
            <w:pPr>
              <w:pStyle w:val="11"/>
            </w:pPr>
            <w:r>
              <w:t>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18.45</w:t>
            </w:r>
          </w:p>
        </w:tc>
        <w:tc>
          <w:tcPr>
            <w:tcW w:w="2551" w:type="dxa"/>
            <w:vAlign w:val="center"/>
          </w:tcPr>
          <w:p>
            <w:pPr>
              <w:pStyle w:val="11"/>
            </w:pPr>
          </w:p>
        </w:tc>
        <w:tc>
          <w:tcPr>
            <w:tcW w:w="2551" w:type="dxa"/>
            <w:vAlign w:val="center"/>
          </w:tcPr>
          <w:p>
            <w:pPr>
              <w:pStyle w:val="11"/>
            </w:pPr>
            <w:r>
              <w:t>18.45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20.35</w:t>
            </w:r>
          </w:p>
        </w:tc>
        <w:tc>
          <w:tcPr>
            <w:tcW w:w="2551" w:type="dxa"/>
            <w:vAlign w:val="center"/>
          </w:tcPr>
          <w:p>
            <w:pPr>
              <w:pStyle w:val="11"/>
            </w:pPr>
          </w:p>
        </w:tc>
        <w:tc>
          <w:tcPr>
            <w:tcW w:w="2551" w:type="dxa"/>
            <w:vAlign w:val="center"/>
          </w:tcPr>
          <w:p>
            <w:pPr>
              <w:pStyle w:val="11"/>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5.08</w:t>
            </w:r>
          </w:p>
        </w:tc>
        <w:tc>
          <w:tcPr>
            <w:tcW w:w="2551" w:type="dxa"/>
            <w:vAlign w:val="center"/>
          </w:tcPr>
          <w:p>
            <w:pPr>
              <w:pStyle w:val="11"/>
            </w:pPr>
          </w:p>
        </w:tc>
        <w:tc>
          <w:tcPr>
            <w:tcW w:w="2551" w:type="dxa"/>
            <w:vAlign w:val="center"/>
          </w:tcPr>
          <w:p>
            <w:pPr>
              <w:pStyle w:val="11"/>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19.56</w:t>
            </w:r>
          </w:p>
        </w:tc>
        <w:tc>
          <w:tcPr>
            <w:tcW w:w="2551" w:type="dxa"/>
            <w:vAlign w:val="center"/>
          </w:tcPr>
          <w:p>
            <w:pPr>
              <w:pStyle w:val="11"/>
            </w:pPr>
          </w:p>
        </w:tc>
        <w:tc>
          <w:tcPr>
            <w:tcW w:w="2551" w:type="dxa"/>
            <w:vAlign w:val="center"/>
          </w:tcPr>
          <w:p>
            <w:pPr>
              <w:pStyle w:val="11"/>
            </w:pPr>
            <w:r>
              <w:t>19.56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16.21</w:t>
            </w:r>
          </w:p>
        </w:tc>
        <w:tc>
          <w:tcPr>
            <w:tcW w:w="2551" w:type="dxa"/>
            <w:vAlign w:val="center"/>
          </w:tcPr>
          <w:p>
            <w:pPr>
              <w:pStyle w:val="11"/>
            </w:pPr>
          </w:p>
        </w:tc>
        <w:tc>
          <w:tcPr>
            <w:tcW w:w="2551" w:type="dxa"/>
            <w:vAlign w:val="center"/>
          </w:tcPr>
          <w:p>
            <w:pPr>
              <w:pStyle w:val="11"/>
            </w:pPr>
            <w:r>
              <w:t>16.21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184.25</w:t>
            </w:r>
          </w:p>
        </w:tc>
        <w:tc>
          <w:tcPr>
            <w:tcW w:w="2551" w:type="dxa"/>
            <w:vAlign w:val="center"/>
          </w:tcPr>
          <w:p>
            <w:pPr>
              <w:pStyle w:val="11"/>
            </w:pPr>
            <w:r>
              <w:t>184.25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182.66</w:t>
            </w:r>
          </w:p>
        </w:tc>
        <w:tc>
          <w:tcPr>
            <w:tcW w:w="2551" w:type="dxa"/>
            <w:vAlign w:val="center"/>
          </w:tcPr>
          <w:p>
            <w:pPr>
              <w:pStyle w:val="11"/>
            </w:pPr>
            <w:r>
              <w:t>182.66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1.59</w:t>
            </w:r>
          </w:p>
        </w:tc>
        <w:tc>
          <w:tcPr>
            <w:tcW w:w="2551" w:type="dxa"/>
            <w:vAlign w:val="center"/>
          </w:tcPr>
          <w:p>
            <w:pPr>
              <w:pStyle w:val="11"/>
            </w:pPr>
            <w:r>
              <w:t>1.59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318001晋州市财政局本级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318001晋州市财政局本级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318001晋州市财政局本级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晋州市财政局本级2026年单位预算信息公开情况说明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按照《中华人民共和国预算法》、《地方预决算公开操作规程》和《关于进一步推进预算公开工作的实施意见》规定，现将晋州市财政局本级2026年单位预算公开如下：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(一)制定财政、预算、财务、会计管理的有关规章制度。</w:t>
      </w:r>
    </w:p>
    <w:p>
      <w:pPr>
        <w:pStyle w:val="17"/>
      </w:pPr>
      <w:r>
        <w:t>(二)承担财政预算管理的责任。负责编制年度市本级预决算草案并组织执行，汇编全市年度预决算草案；受市政府委托，向市人民代表大会报告全市和市本级财政预算及其执行情况，向市人大常委会报告决算；组织制定经费开支标准、定额，负责审核批复部门(单位)的年度预决算。</w:t>
      </w:r>
    </w:p>
    <w:p>
      <w:pPr>
        <w:pStyle w:val="17"/>
      </w:pPr>
      <w:r>
        <w:t xml:space="preserve">(三)承担财政国库管理的责任。组织制定国库管理制度、国库集中收付制度并组织实施，指导市本级国库业务，按规定开展国库现金管理。 </w:t>
      </w:r>
    </w:p>
    <w:p>
      <w:pPr>
        <w:pStyle w:val="17"/>
      </w:pPr>
      <w:r>
        <w:t>(四)负责政府非税收入和政府性基金管理，按规定管理行政事业性收费；管理财政票据；贯彻实施彩票管理政策，参与制定彩票管理有关办法，参与管理彩票市场，接规定管理彩票资金。</w:t>
      </w:r>
    </w:p>
    <w:p>
      <w:pPr>
        <w:pStyle w:val="17"/>
      </w:pPr>
      <w:r>
        <w:t>(五)负责提出上级授权税目税率调整、减免和地方税收政策等重大事项的建议，对地方承担出口退税事务实施监管，监督检查税收政策的执行情况。</w:t>
      </w:r>
    </w:p>
    <w:p>
      <w:pPr>
        <w:pStyle w:val="17"/>
      </w:pPr>
      <w:r>
        <w:t>(六)负责制定行政事业单位国有资产管理规章制度，对市本级行政事业单位国有资产进行监督管理。</w:t>
      </w:r>
    </w:p>
    <w:p>
      <w:pPr>
        <w:pStyle w:val="17"/>
      </w:pPr>
      <w:r>
        <w:t>(七)负责办理市级财政经济发展支出、市政府投资项目的财政拨款，参与拟订市建设投资的有关方案，制定基本建设财务制度；负责有关政策性补贴和专项储备资金财政管理；承担财政投资评审管理工作。</w:t>
      </w:r>
    </w:p>
    <w:p>
      <w:pPr>
        <w:pStyle w:val="17"/>
      </w:pPr>
      <w:r>
        <w:t>(八)会同有关部门管理市级财政社会保障、就业及医疗卫生支出，会同有关部门拟订社会保障资金(基金)的财务管理制度，编制市级社会保障预决算草案。</w:t>
      </w:r>
    </w:p>
    <w:p>
      <w:pPr>
        <w:pStyle w:val="17"/>
      </w:pPr>
      <w:r>
        <w:t>(九)负责管理市政府的国内外债权、债务。执行国家外债管理政策，拟订具体实施办法；根据有关规定，做好外国政府贷款、国际金融组织贷款的对外谈判与磋商工作；负责财政预算内行政、事业单位和社会团体的非贸易外汇管理；受市政府委托会同有关部门处理涉及财政、债务等方面的涉外事务。</w:t>
      </w:r>
    </w:p>
    <w:p>
      <w:pPr>
        <w:pStyle w:val="17"/>
      </w:pPr>
      <w:r>
        <w:t>(十)拟订政府采购相关制度和办法，负责政府采购工作的监督管理，承担全市行政、事业单位公务车辆编制管理工作。</w:t>
      </w:r>
    </w:p>
    <w:p>
      <w:pPr>
        <w:pStyle w:val="17"/>
      </w:pPr>
      <w:r>
        <w:t>(十一)负责管理全市会计工作，监督和规范会计行为，组织实施国家统一的会计制度。</w:t>
      </w:r>
    </w:p>
    <w:p>
      <w:pPr>
        <w:pStyle w:val="17"/>
      </w:pPr>
      <w:r>
        <w:t>(十二)监督检查财税法规、政策的执行情况，依法查处违法违规行为；反映财政收支管理中的重大问题，提出加强财政管理的建议。</w:t>
      </w:r>
    </w:p>
    <w:p>
      <w:pPr>
        <w:pStyle w:val="17"/>
      </w:pPr>
      <w:r>
        <w:t>(十三)负责组织、协调国税、地税等部门，加强税收综合治理。</w:t>
      </w:r>
    </w:p>
    <w:p>
      <w:pPr>
        <w:pStyle w:val="17"/>
      </w:pPr>
      <w:r>
        <w:t>(十四)承办市政府交办的其他事项。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1494.34万元，其中：一般公共预算收入1494.34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财政局本级年度单位预算中支出预算的总体情况。2026年支出预算1494.34万元，其中基本支出892.41万元，包括人员经费792.80万元和日常公用经费99.61万元；项目支出601.93万元，主要为第三方土地增值税清算30万元，财政投资项目评审费300万元，税收合规性检查资金61.93万元，业务费210万元；预计下年使用的单位资金结余0.00万元。委托业务费共计安排391.93万元，主要用于因技术原因确需对外委托的辅助性工作和确有必要对外委托开展咨询、评审、规划等工作。</w:t>
      </w:r>
    </w:p>
    <w:p>
      <w:pPr>
        <w:pStyle w:val="18"/>
      </w:pPr>
      <w:r>
        <w:t>3、比上年增减情况</w:t>
      </w:r>
    </w:p>
    <w:p>
      <w:pPr>
        <w:pStyle w:val="18"/>
      </w:pPr>
      <w:r>
        <w:t>2026年预算收支安排1494.34万元，较2025年预算减少9.67万元，其中：基本支出减少9.67万元，主要为人员退休导致基本支出减少。项目支出增加0.00万元，主要为延续上年度部分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2026年，我单位机关运行经费共计安排99.61万元，主要用于日常维修、办公用房水电费、办公用房取暖费、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0.73万元，增减变化的主要原因是响应厉行节俭政策，减少相对应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1、财政投资项目评审费绩效目标表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13018326P00032810311M</w:t>
            </w:r>
          </w:p>
        </w:tc>
        <w:tc>
          <w:tcPr>
            <w:tcW w:w="2835" w:type="dxa"/>
            <w:vAlign w:val="center"/>
          </w:tcPr>
          <w:p>
            <w:pPr>
              <w:pStyle w:val="10"/>
            </w:pPr>
            <w:r>
              <w:t>项目名称</w:t>
            </w:r>
          </w:p>
        </w:tc>
        <w:tc>
          <w:tcPr>
            <w:tcW w:w="6095" w:type="dxa"/>
            <w:gridSpan w:val="3"/>
            <w:vAlign w:val="center"/>
          </w:tcPr>
          <w:p>
            <w:pPr>
              <w:pStyle w:val="12"/>
            </w:pPr>
            <w:r>
              <w:t>财政投资项目评审费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委托第三方中介机构对财政投资项目进行评审评估。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1.保障财政投资项目工程施工图预算进行委托中介机构评审顺利进行。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评审项目资金金额</w:t>
            </w:r>
          </w:p>
        </w:tc>
        <w:tc>
          <w:tcPr>
            <w:tcW w:w="5386" w:type="dxa"/>
            <w:vAlign w:val="center"/>
          </w:tcPr>
          <w:p>
            <w:pPr>
              <w:pStyle w:val="12"/>
            </w:pPr>
            <w:r>
              <w:t>评审项目资金金额</w:t>
            </w:r>
          </w:p>
        </w:tc>
        <w:tc>
          <w:tcPr>
            <w:tcW w:w="2268" w:type="dxa"/>
            <w:vAlign w:val="center"/>
          </w:tcPr>
          <w:p>
            <w:pPr>
              <w:pStyle w:val="12"/>
            </w:pPr>
            <w:r>
              <w:t>≥10亿元</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财政投资项目施工图预算标的评审和工程量清单确定任务完成情况</w:t>
            </w:r>
          </w:p>
        </w:tc>
        <w:tc>
          <w:tcPr>
            <w:tcW w:w="5386" w:type="dxa"/>
            <w:vAlign w:val="center"/>
          </w:tcPr>
          <w:p>
            <w:pPr>
              <w:pStyle w:val="12"/>
            </w:pPr>
            <w:r>
              <w:t>财政投资项目施工图预算标的评审和工程量清单确定任务完成情况</w:t>
            </w:r>
          </w:p>
        </w:tc>
        <w:tc>
          <w:tcPr>
            <w:tcW w:w="2268" w:type="dxa"/>
            <w:vAlign w:val="center"/>
          </w:tcPr>
          <w:p>
            <w:pPr>
              <w:pStyle w:val="12"/>
            </w:pPr>
            <w:r>
              <w:t>≥90%</w:t>
            </w:r>
          </w:p>
        </w:tc>
        <w:tc>
          <w:tcPr>
            <w:tcW w:w="1276" w:type="dxa"/>
            <w:vAlign w:val="center"/>
          </w:tcPr>
          <w:p>
            <w:pPr>
              <w:pStyle w:val="12"/>
            </w:pPr>
            <w:r>
              <w:t>历史依据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评审项目及时率</w:t>
            </w:r>
          </w:p>
        </w:tc>
        <w:tc>
          <w:tcPr>
            <w:tcW w:w="5386" w:type="dxa"/>
            <w:vAlign w:val="center"/>
          </w:tcPr>
          <w:p>
            <w:pPr>
              <w:pStyle w:val="12"/>
            </w:pPr>
            <w:r>
              <w:t>评审项目及时率</w:t>
            </w:r>
          </w:p>
        </w:tc>
        <w:tc>
          <w:tcPr>
            <w:tcW w:w="2268" w:type="dxa"/>
            <w:vAlign w:val="center"/>
          </w:tcPr>
          <w:p>
            <w:pPr>
              <w:pStyle w:val="12"/>
            </w:pPr>
            <w:r>
              <w:t>≥95%</w:t>
            </w:r>
          </w:p>
        </w:tc>
        <w:tc>
          <w:tcPr>
            <w:tcW w:w="1276" w:type="dxa"/>
            <w:vAlign w:val="center"/>
          </w:tcPr>
          <w:p>
            <w:pPr>
              <w:pStyle w:val="12"/>
            </w:pPr>
            <w:r>
              <w:t>行业依据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年度评审费用</w:t>
            </w:r>
          </w:p>
        </w:tc>
        <w:tc>
          <w:tcPr>
            <w:tcW w:w="5386" w:type="dxa"/>
            <w:vAlign w:val="center"/>
          </w:tcPr>
          <w:p>
            <w:pPr>
              <w:pStyle w:val="12"/>
            </w:pPr>
            <w:r>
              <w:t>年度评审费用</w:t>
            </w:r>
          </w:p>
        </w:tc>
        <w:tc>
          <w:tcPr>
            <w:tcW w:w="2268" w:type="dxa"/>
            <w:vAlign w:val="center"/>
          </w:tcPr>
          <w:p>
            <w:pPr>
              <w:pStyle w:val="12"/>
            </w:pPr>
            <w:r>
              <w:t>300万元</w:t>
            </w:r>
          </w:p>
        </w:tc>
        <w:tc>
          <w:tcPr>
            <w:tcW w:w="1276" w:type="dxa"/>
            <w:vAlign w:val="center"/>
          </w:tcPr>
          <w:p>
            <w:pPr>
              <w:pStyle w:val="12"/>
            </w:pPr>
            <w:r>
              <w:t>行业依据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确保财政投资项目招投标中标率</w:t>
            </w:r>
          </w:p>
        </w:tc>
        <w:tc>
          <w:tcPr>
            <w:tcW w:w="5386" w:type="dxa"/>
            <w:vAlign w:val="center"/>
          </w:tcPr>
          <w:p>
            <w:pPr>
              <w:pStyle w:val="12"/>
            </w:pPr>
            <w:r>
              <w:t>确保财政投资项目招投标中标率</w:t>
            </w:r>
          </w:p>
        </w:tc>
        <w:tc>
          <w:tcPr>
            <w:tcW w:w="2268" w:type="dxa"/>
            <w:vAlign w:val="center"/>
          </w:tcPr>
          <w:p>
            <w:pPr>
              <w:pStyle w:val="12"/>
            </w:pPr>
            <w:r>
              <w:t>≥90%</w:t>
            </w:r>
          </w:p>
        </w:tc>
        <w:tc>
          <w:tcPr>
            <w:tcW w:w="1276" w:type="dxa"/>
            <w:vAlign w:val="center"/>
          </w:tcPr>
          <w:p>
            <w:pPr>
              <w:pStyle w:val="12"/>
            </w:pPr>
            <w:r>
              <w:t>行业依据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2、第三方土地增值税清算绩效目标表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13018326P000328103129</w:t>
            </w:r>
          </w:p>
        </w:tc>
        <w:tc>
          <w:tcPr>
            <w:tcW w:w="2835" w:type="dxa"/>
            <w:vAlign w:val="center"/>
          </w:tcPr>
          <w:p>
            <w:pPr>
              <w:pStyle w:val="10"/>
            </w:pPr>
            <w:r>
              <w:t>项目名称</w:t>
            </w:r>
          </w:p>
        </w:tc>
        <w:tc>
          <w:tcPr>
            <w:tcW w:w="6095" w:type="dxa"/>
            <w:gridSpan w:val="3"/>
            <w:vAlign w:val="center"/>
          </w:tcPr>
          <w:p>
            <w:pPr>
              <w:pStyle w:val="12"/>
            </w:pPr>
            <w:r>
              <w:t>第三方土地增值税清算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聘请第三方机构进行土地增值税清算。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1.通过清算保证土地增值税业务正常运转，高质量完成各项任务。</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清算任务完成率</w:t>
            </w:r>
          </w:p>
        </w:tc>
        <w:tc>
          <w:tcPr>
            <w:tcW w:w="5386" w:type="dxa"/>
            <w:vAlign w:val="center"/>
          </w:tcPr>
          <w:p>
            <w:pPr>
              <w:pStyle w:val="12"/>
            </w:pPr>
            <w:r>
              <w:t>清算任务完成率</w:t>
            </w:r>
          </w:p>
        </w:tc>
        <w:tc>
          <w:tcPr>
            <w:tcW w:w="2268" w:type="dxa"/>
            <w:vAlign w:val="center"/>
          </w:tcPr>
          <w:p>
            <w:pPr>
              <w:pStyle w:val="12"/>
            </w:pPr>
            <w:r>
              <w:t>≥95%</w:t>
            </w:r>
          </w:p>
        </w:tc>
        <w:tc>
          <w:tcPr>
            <w:tcW w:w="1276" w:type="dxa"/>
            <w:vAlign w:val="center"/>
          </w:tcPr>
          <w:p>
            <w:pPr>
              <w:pStyle w:val="12"/>
            </w:pPr>
            <w:r>
              <w:t>聘请第三方清算土地增值税项目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各项工作和业务完成率</w:t>
            </w:r>
          </w:p>
        </w:tc>
        <w:tc>
          <w:tcPr>
            <w:tcW w:w="5386" w:type="dxa"/>
            <w:vAlign w:val="center"/>
          </w:tcPr>
          <w:p>
            <w:pPr>
              <w:pStyle w:val="12"/>
            </w:pPr>
            <w:r>
              <w:t>各项工作和业务完成率</w:t>
            </w:r>
          </w:p>
        </w:tc>
        <w:tc>
          <w:tcPr>
            <w:tcW w:w="2268" w:type="dxa"/>
            <w:vAlign w:val="center"/>
          </w:tcPr>
          <w:p>
            <w:pPr>
              <w:pStyle w:val="12"/>
            </w:pPr>
            <w:r>
              <w:t>≥95%</w:t>
            </w:r>
          </w:p>
        </w:tc>
        <w:tc>
          <w:tcPr>
            <w:tcW w:w="1276" w:type="dxa"/>
            <w:vAlign w:val="center"/>
          </w:tcPr>
          <w:p>
            <w:pPr>
              <w:pStyle w:val="12"/>
            </w:pPr>
            <w:r>
              <w:t>聘请第三方清算土地增值税项目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各项任务及时完成的比率</w:t>
            </w:r>
          </w:p>
        </w:tc>
        <w:tc>
          <w:tcPr>
            <w:tcW w:w="5386" w:type="dxa"/>
            <w:vAlign w:val="center"/>
          </w:tcPr>
          <w:p>
            <w:pPr>
              <w:pStyle w:val="12"/>
            </w:pPr>
            <w:r>
              <w:t>各项任务及时完成的比率</w:t>
            </w:r>
          </w:p>
        </w:tc>
        <w:tc>
          <w:tcPr>
            <w:tcW w:w="2268" w:type="dxa"/>
            <w:vAlign w:val="center"/>
          </w:tcPr>
          <w:p>
            <w:pPr>
              <w:pStyle w:val="12"/>
            </w:pPr>
            <w:r>
              <w:t>≥90%</w:t>
            </w:r>
          </w:p>
        </w:tc>
        <w:tc>
          <w:tcPr>
            <w:tcW w:w="1276" w:type="dxa"/>
            <w:vAlign w:val="center"/>
          </w:tcPr>
          <w:p>
            <w:pPr>
              <w:pStyle w:val="12"/>
            </w:pPr>
            <w:r>
              <w:t>聘请第三方清算土地增值税项目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项目年度成本</w:t>
            </w:r>
          </w:p>
        </w:tc>
        <w:tc>
          <w:tcPr>
            <w:tcW w:w="5386" w:type="dxa"/>
            <w:vAlign w:val="center"/>
          </w:tcPr>
          <w:p>
            <w:pPr>
              <w:pStyle w:val="12"/>
            </w:pPr>
            <w:r>
              <w:t>项目年度成本</w:t>
            </w:r>
          </w:p>
        </w:tc>
        <w:tc>
          <w:tcPr>
            <w:tcW w:w="2268" w:type="dxa"/>
            <w:vAlign w:val="center"/>
          </w:tcPr>
          <w:p>
            <w:pPr>
              <w:pStyle w:val="12"/>
            </w:pPr>
            <w:r>
              <w:t>30万元</w:t>
            </w:r>
          </w:p>
        </w:tc>
        <w:tc>
          <w:tcPr>
            <w:tcW w:w="1276" w:type="dxa"/>
            <w:vAlign w:val="center"/>
          </w:tcPr>
          <w:p>
            <w:pPr>
              <w:pStyle w:val="12"/>
            </w:pPr>
            <w:r>
              <w:t>聘请第三方清算土地增值税项目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工作正常、高质量运行</w:t>
            </w:r>
          </w:p>
        </w:tc>
        <w:tc>
          <w:tcPr>
            <w:tcW w:w="5386" w:type="dxa"/>
            <w:vAlign w:val="center"/>
          </w:tcPr>
          <w:p>
            <w:pPr>
              <w:pStyle w:val="12"/>
            </w:pPr>
            <w:r>
              <w:t>工作正常、高质量运行</w:t>
            </w:r>
          </w:p>
        </w:tc>
        <w:tc>
          <w:tcPr>
            <w:tcW w:w="2268" w:type="dxa"/>
            <w:vAlign w:val="center"/>
          </w:tcPr>
          <w:p>
            <w:pPr>
              <w:pStyle w:val="12"/>
            </w:pPr>
            <w:r>
              <w:t>正常运行</w:t>
            </w:r>
          </w:p>
        </w:tc>
        <w:tc>
          <w:tcPr>
            <w:tcW w:w="1276" w:type="dxa"/>
            <w:vAlign w:val="center"/>
          </w:tcPr>
          <w:p>
            <w:pPr>
              <w:pStyle w:val="12"/>
            </w:pPr>
            <w:r>
              <w:t>聘请第三方清算土地增值税项目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收益群体满意度</w:t>
            </w:r>
          </w:p>
        </w:tc>
        <w:tc>
          <w:tcPr>
            <w:tcW w:w="5386" w:type="dxa"/>
            <w:vAlign w:val="center"/>
          </w:tcPr>
          <w:p>
            <w:pPr>
              <w:pStyle w:val="12"/>
            </w:pPr>
            <w:r>
              <w:t>收益群体满意度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3、税收合规性检查资金绩效目标表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13018326P00032810314G</w:t>
            </w:r>
          </w:p>
        </w:tc>
        <w:tc>
          <w:tcPr>
            <w:tcW w:w="2835" w:type="dxa"/>
            <w:vAlign w:val="center"/>
          </w:tcPr>
          <w:p>
            <w:pPr>
              <w:pStyle w:val="10"/>
            </w:pPr>
            <w:r>
              <w:t>项目名称</w:t>
            </w:r>
          </w:p>
        </w:tc>
        <w:tc>
          <w:tcPr>
            <w:tcW w:w="6095" w:type="dxa"/>
            <w:gridSpan w:val="3"/>
            <w:vAlign w:val="center"/>
          </w:tcPr>
          <w:p>
            <w:pPr>
              <w:pStyle w:val="12"/>
            </w:pPr>
            <w:r>
              <w:t>税收合规性检查资金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61.93</w:t>
            </w:r>
          </w:p>
        </w:tc>
        <w:tc>
          <w:tcPr>
            <w:tcW w:w="2835" w:type="dxa"/>
            <w:vAlign w:val="center"/>
          </w:tcPr>
          <w:p>
            <w:pPr>
              <w:pStyle w:val="10"/>
            </w:pPr>
            <w:r>
              <w:t>其中：财政    资金</w:t>
            </w:r>
          </w:p>
        </w:tc>
        <w:tc>
          <w:tcPr>
            <w:tcW w:w="2551" w:type="dxa"/>
            <w:vAlign w:val="center"/>
          </w:tcPr>
          <w:p>
            <w:pPr>
              <w:pStyle w:val="12"/>
            </w:pPr>
            <w:r>
              <w:t>61.93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聘请第三方机构进行税收合规性检查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1.保障各项任务的圆满完成和工作正常运转。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检查各类企业数量</w:t>
            </w:r>
          </w:p>
        </w:tc>
        <w:tc>
          <w:tcPr>
            <w:tcW w:w="5386" w:type="dxa"/>
            <w:vAlign w:val="center"/>
          </w:tcPr>
          <w:p>
            <w:pPr>
              <w:pStyle w:val="12"/>
            </w:pPr>
            <w:r>
              <w:t>检查各类企业数量</w:t>
            </w:r>
          </w:p>
        </w:tc>
        <w:tc>
          <w:tcPr>
            <w:tcW w:w="2268" w:type="dxa"/>
            <w:vAlign w:val="center"/>
          </w:tcPr>
          <w:p>
            <w:pPr>
              <w:pStyle w:val="12"/>
            </w:pPr>
            <w:r>
              <w:t>≥50户</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企业合规率</w:t>
            </w:r>
          </w:p>
        </w:tc>
        <w:tc>
          <w:tcPr>
            <w:tcW w:w="5386" w:type="dxa"/>
            <w:vAlign w:val="center"/>
          </w:tcPr>
          <w:p>
            <w:pPr>
              <w:pStyle w:val="12"/>
            </w:pPr>
            <w:r>
              <w:t>企业合规率</w:t>
            </w:r>
          </w:p>
        </w:tc>
        <w:tc>
          <w:tcPr>
            <w:tcW w:w="2268" w:type="dxa"/>
            <w:vAlign w:val="center"/>
          </w:tcPr>
          <w:p>
            <w:pPr>
              <w:pStyle w:val="12"/>
            </w:pPr>
            <w:r>
              <w:t>≥80%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项目完成及时性</w:t>
            </w:r>
          </w:p>
        </w:tc>
        <w:tc>
          <w:tcPr>
            <w:tcW w:w="5386" w:type="dxa"/>
            <w:vAlign w:val="center"/>
          </w:tcPr>
          <w:p>
            <w:pPr>
              <w:pStyle w:val="12"/>
            </w:pPr>
            <w:r>
              <w:t>在规定时间内完成</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聘请第三方机构成本</w:t>
            </w:r>
          </w:p>
        </w:tc>
        <w:tc>
          <w:tcPr>
            <w:tcW w:w="5386" w:type="dxa"/>
            <w:vAlign w:val="center"/>
          </w:tcPr>
          <w:p>
            <w:pPr>
              <w:pStyle w:val="12"/>
            </w:pPr>
            <w:r>
              <w:t>聘请第三方机构费用</w:t>
            </w:r>
          </w:p>
        </w:tc>
        <w:tc>
          <w:tcPr>
            <w:tcW w:w="2268" w:type="dxa"/>
            <w:vAlign w:val="center"/>
          </w:tcPr>
          <w:p>
            <w:pPr>
              <w:pStyle w:val="12"/>
            </w:pPr>
            <w:r>
              <w:t>61.93万元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项目依据政策能持续运行</w:t>
            </w:r>
          </w:p>
        </w:tc>
        <w:tc>
          <w:tcPr>
            <w:tcW w:w="5386" w:type="dxa"/>
            <w:vAlign w:val="center"/>
          </w:tcPr>
          <w:p>
            <w:pPr>
              <w:pStyle w:val="12"/>
            </w:pPr>
            <w:r>
              <w:t>项目依据政策能持续运行</w:t>
            </w:r>
          </w:p>
        </w:tc>
        <w:tc>
          <w:tcPr>
            <w:tcW w:w="2268" w:type="dxa"/>
            <w:vAlign w:val="center"/>
          </w:tcPr>
          <w:p>
            <w:pPr>
              <w:pStyle w:val="12"/>
            </w:pPr>
            <w:r>
              <w:t>工作正常运行</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13018326P00032810313W</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210.00</w:t>
            </w:r>
          </w:p>
        </w:tc>
        <w:tc>
          <w:tcPr>
            <w:tcW w:w="2835" w:type="dxa"/>
            <w:vAlign w:val="center"/>
          </w:tcPr>
          <w:p>
            <w:pPr>
              <w:pStyle w:val="10"/>
            </w:pPr>
            <w:r>
              <w:t>其中：财政    资金</w:t>
            </w:r>
          </w:p>
        </w:tc>
        <w:tc>
          <w:tcPr>
            <w:tcW w:w="2551" w:type="dxa"/>
            <w:vAlign w:val="center"/>
          </w:tcPr>
          <w:p>
            <w:pPr>
              <w:pStyle w:val="12"/>
            </w:pPr>
            <w:r>
              <w:t>210.00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用于日常办公开销。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1.保障各项任务的圆满完成和工作正常运转。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日常工作完成的比率</w:t>
            </w:r>
          </w:p>
        </w:tc>
        <w:tc>
          <w:tcPr>
            <w:tcW w:w="5386" w:type="dxa"/>
            <w:vAlign w:val="center"/>
          </w:tcPr>
          <w:p>
            <w:pPr>
              <w:pStyle w:val="12"/>
            </w:pPr>
            <w:r>
              <w:t>日常工作完成的比率</w:t>
            </w:r>
          </w:p>
        </w:tc>
        <w:tc>
          <w:tcPr>
            <w:tcW w:w="2268" w:type="dxa"/>
            <w:vAlign w:val="center"/>
          </w:tcPr>
          <w:p>
            <w:pPr>
              <w:pStyle w:val="12"/>
            </w:pPr>
            <w:r>
              <w:t>≥95%</w:t>
            </w:r>
          </w:p>
        </w:tc>
        <w:tc>
          <w:tcPr>
            <w:tcW w:w="1276" w:type="dxa"/>
            <w:vAlign w:val="center"/>
          </w:tcPr>
          <w:p>
            <w:pPr>
              <w:pStyle w:val="12"/>
            </w:pPr>
            <w:r>
              <w:t>财政业务经费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各项工作和业务达标率</w:t>
            </w:r>
          </w:p>
        </w:tc>
        <w:tc>
          <w:tcPr>
            <w:tcW w:w="5386" w:type="dxa"/>
            <w:vAlign w:val="center"/>
          </w:tcPr>
          <w:p>
            <w:pPr>
              <w:pStyle w:val="12"/>
            </w:pPr>
            <w:r>
              <w:t>各项工作和业务达标率</w:t>
            </w:r>
          </w:p>
        </w:tc>
        <w:tc>
          <w:tcPr>
            <w:tcW w:w="2268" w:type="dxa"/>
            <w:vAlign w:val="center"/>
          </w:tcPr>
          <w:p>
            <w:pPr>
              <w:pStyle w:val="12"/>
            </w:pPr>
            <w:r>
              <w:t>≥90%</w:t>
            </w:r>
          </w:p>
        </w:tc>
        <w:tc>
          <w:tcPr>
            <w:tcW w:w="1276" w:type="dxa"/>
            <w:vAlign w:val="center"/>
          </w:tcPr>
          <w:p>
            <w:pPr>
              <w:pStyle w:val="12"/>
            </w:pPr>
            <w:r>
              <w:t>财政业务经费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各项工作及时完成的比率</w:t>
            </w:r>
          </w:p>
        </w:tc>
        <w:tc>
          <w:tcPr>
            <w:tcW w:w="5386" w:type="dxa"/>
            <w:vAlign w:val="center"/>
          </w:tcPr>
          <w:p>
            <w:pPr>
              <w:pStyle w:val="12"/>
            </w:pPr>
            <w:r>
              <w:t>各项工作及时完成的比率</w:t>
            </w:r>
          </w:p>
        </w:tc>
        <w:tc>
          <w:tcPr>
            <w:tcW w:w="2268" w:type="dxa"/>
            <w:vAlign w:val="center"/>
          </w:tcPr>
          <w:p>
            <w:pPr>
              <w:pStyle w:val="12"/>
            </w:pPr>
            <w:r>
              <w:t>≥90%</w:t>
            </w:r>
          </w:p>
        </w:tc>
        <w:tc>
          <w:tcPr>
            <w:tcW w:w="1276" w:type="dxa"/>
            <w:vAlign w:val="center"/>
          </w:tcPr>
          <w:p>
            <w:pPr>
              <w:pStyle w:val="12"/>
            </w:pPr>
            <w:r>
              <w:t>财政业务经费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项目年度需要成本</w:t>
            </w:r>
          </w:p>
        </w:tc>
        <w:tc>
          <w:tcPr>
            <w:tcW w:w="5386" w:type="dxa"/>
            <w:vAlign w:val="center"/>
          </w:tcPr>
          <w:p>
            <w:pPr>
              <w:pStyle w:val="12"/>
            </w:pPr>
            <w:r>
              <w:t>项目年度需要成本</w:t>
            </w:r>
          </w:p>
        </w:tc>
        <w:tc>
          <w:tcPr>
            <w:tcW w:w="2268" w:type="dxa"/>
            <w:vAlign w:val="center"/>
          </w:tcPr>
          <w:p>
            <w:pPr>
              <w:pStyle w:val="12"/>
            </w:pPr>
            <w:r>
              <w:t>210万元</w:t>
            </w:r>
          </w:p>
        </w:tc>
        <w:tc>
          <w:tcPr>
            <w:tcW w:w="1276" w:type="dxa"/>
            <w:vAlign w:val="center"/>
          </w:tcPr>
          <w:p>
            <w:pPr>
              <w:pStyle w:val="12"/>
            </w:pPr>
            <w:r>
              <w:t>财政业务经费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项目依据政策能持续运行</w:t>
            </w:r>
          </w:p>
        </w:tc>
        <w:tc>
          <w:tcPr>
            <w:tcW w:w="5386" w:type="dxa"/>
            <w:vAlign w:val="center"/>
          </w:tcPr>
          <w:p>
            <w:pPr>
              <w:pStyle w:val="12"/>
            </w:pPr>
            <w:r>
              <w:t>项目依据政策能持续运行</w:t>
            </w:r>
          </w:p>
        </w:tc>
        <w:tc>
          <w:tcPr>
            <w:tcW w:w="2268" w:type="dxa"/>
            <w:vAlign w:val="center"/>
          </w:tcPr>
          <w:p>
            <w:pPr>
              <w:pStyle w:val="12"/>
            </w:pPr>
            <w:r>
              <w:t>工作正常运行</w:t>
            </w:r>
          </w:p>
        </w:tc>
        <w:tc>
          <w:tcPr>
            <w:tcW w:w="1276" w:type="dxa"/>
            <w:vAlign w:val="center"/>
          </w:tcPr>
          <w:p>
            <w:pPr>
              <w:pStyle w:val="12"/>
            </w:pPr>
            <w:r>
              <w:t>财政业务经费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318001晋州市财政局本级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306.50</w:t>
            </w:r>
          </w:p>
        </w:tc>
        <w:tc>
          <w:tcPr>
            <w:tcW w:w="964" w:type="dxa"/>
            <w:vAlign w:val="center"/>
          </w:tcPr>
          <w:p>
            <w:pPr>
              <w:pStyle w:val="15"/>
            </w:pPr>
            <w:r>
              <w:t>306.50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晋州市财政局本级小计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306.50</w:t>
            </w:r>
          </w:p>
        </w:tc>
        <w:tc>
          <w:tcPr>
            <w:tcW w:w="964" w:type="dxa"/>
            <w:vAlign w:val="center"/>
          </w:tcPr>
          <w:p>
            <w:pPr>
              <w:pStyle w:val="15"/>
            </w:pPr>
            <w:r>
              <w:t>306.50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19.30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75</w:t>
            </w:r>
          </w:p>
        </w:tc>
        <w:tc>
          <w:tcPr>
            <w:tcW w:w="850" w:type="dxa"/>
            <w:vAlign w:val="center"/>
          </w:tcPr>
          <w:p>
            <w:pPr>
              <w:pStyle w:val="11"/>
            </w:pPr>
            <w:r>
              <w:t>0.02</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19.30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财政投资项目评审费</w:t>
            </w:r>
          </w:p>
        </w:tc>
        <w:tc>
          <w:tcPr>
            <w:tcW w:w="964" w:type="dxa"/>
            <w:vAlign w:val="center"/>
          </w:tcPr>
          <w:p>
            <w:pPr>
              <w:pStyle w:val="11"/>
            </w:pPr>
            <w:r>
              <w:t>300.00</w:t>
            </w:r>
          </w:p>
        </w:tc>
        <w:tc>
          <w:tcPr>
            <w:tcW w:w="1134" w:type="dxa"/>
            <w:vAlign w:val="center"/>
          </w:tcPr>
          <w:p>
            <w:pPr>
              <w:pStyle w:val="12"/>
            </w:pPr>
            <w:r>
              <w:t>其他专业技术服务</w:t>
            </w:r>
          </w:p>
        </w:tc>
        <w:tc>
          <w:tcPr>
            <w:tcW w:w="1134" w:type="dxa"/>
            <w:vAlign w:val="center"/>
          </w:tcPr>
          <w:p>
            <w:pPr>
              <w:pStyle w:val="12"/>
            </w:pPr>
            <w:r>
              <w:t>C19990000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240.00</w:t>
            </w:r>
          </w:p>
        </w:tc>
        <w:tc>
          <w:tcPr>
            <w:tcW w:w="964" w:type="dxa"/>
            <w:vAlign w:val="center"/>
          </w:tcPr>
          <w:p>
            <w:pPr>
              <w:pStyle w:val="11"/>
            </w:pPr>
            <w:r>
              <w:t>240.00</w:t>
            </w:r>
          </w:p>
        </w:tc>
        <w:tc>
          <w:tcPr>
            <w:tcW w:w="964" w:type="dxa"/>
            <w:vAlign w:val="center"/>
          </w:tcPr>
          <w:p>
            <w:pPr>
              <w:pStyle w:val="11"/>
            </w:pPr>
            <w:r>
              <w:t>240.00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财政投资项目评审费</w:t>
            </w:r>
          </w:p>
        </w:tc>
        <w:tc>
          <w:tcPr>
            <w:tcW w:w="964" w:type="dxa"/>
            <w:vAlign w:val="center"/>
          </w:tcPr>
          <w:p>
            <w:pPr>
              <w:pStyle w:val="11"/>
            </w:pPr>
            <w:r>
              <w:t>300.00</w:t>
            </w:r>
          </w:p>
        </w:tc>
        <w:tc>
          <w:tcPr>
            <w:tcW w:w="1134" w:type="dxa"/>
            <w:vAlign w:val="center"/>
          </w:tcPr>
          <w:p>
            <w:pPr>
              <w:pStyle w:val="12"/>
            </w:pPr>
            <w:r>
              <w:t>评审咨询服务</w:t>
            </w:r>
          </w:p>
        </w:tc>
        <w:tc>
          <w:tcPr>
            <w:tcW w:w="1134" w:type="dxa"/>
            <w:vAlign w:val="center"/>
          </w:tcPr>
          <w:p>
            <w:pPr>
              <w:pStyle w:val="12"/>
            </w:pPr>
            <w:r>
              <w:t>C20030900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晋州市财政局本级上年末固定资产金额为769.05万元（详见下表）。本年度拟购置固定资产总额为0.00万元，已按要求列入政府采购预算，详见政府采购预算表。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318001晋州市财政局本级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769.05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9002.80</w:t>
            </w:r>
          </w:p>
        </w:tc>
        <w:tc>
          <w:tcPr>
            <w:tcW w:w="2835" w:type="dxa"/>
            <w:vAlign w:val="center"/>
          </w:tcPr>
          <w:p>
            <w:pPr>
              <w:pStyle w:val="11"/>
            </w:pPr>
            <w:r>
              <w:t>547.56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8772.80</w:t>
            </w:r>
          </w:p>
        </w:tc>
        <w:tc>
          <w:tcPr>
            <w:tcW w:w="2835" w:type="dxa"/>
            <w:vAlign w:val="center"/>
          </w:tcPr>
          <w:p>
            <w:pPr>
              <w:pStyle w:val="11"/>
            </w:pPr>
            <w:r>
              <w:t>515.96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33.48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1026</w:t>
            </w:r>
          </w:p>
        </w:tc>
        <w:tc>
          <w:tcPr>
            <w:tcW w:w="2835" w:type="dxa"/>
            <w:vAlign w:val="center"/>
          </w:tcPr>
          <w:p>
            <w:pPr>
              <w:pStyle w:val="11"/>
            </w:pPr>
            <w:r>
              <w:t>178.85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二、晋州市财政国库支付中心收支预算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318003晋州市财政国库支付中心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300.00</w:t>
            </w:r>
          </w:p>
        </w:tc>
        <w:tc>
          <w:tcPr>
            <w:tcW w:w="4535" w:type="dxa"/>
            <w:vAlign w:val="center"/>
          </w:tcPr>
          <w:p>
            <w:pPr>
              <w:pStyle w:val="12"/>
            </w:pPr>
            <w:r>
              <w:t>一、一般公共服务支出</w:t>
            </w:r>
          </w:p>
        </w:tc>
        <w:tc>
          <w:tcPr>
            <w:tcW w:w="2126"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300.00</w:t>
            </w:r>
          </w:p>
        </w:tc>
        <w:tc>
          <w:tcPr>
            <w:tcW w:w="4535" w:type="dxa"/>
            <w:vAlign w:val="center"/>
          </w:tcPr>
          <w:p>
            <w:pPr>
              <w:pStyle w:val="14"/>
            </w:pPr>
            <w:r>
              <w:t>本年支出合计</w:t>
            </w:r>
          </w:p>
        </w:tc>
        <w:tc>
          <w:tcPr>
            <w:tcW w:w="2126"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300.00</w:t>
            </w:r>
          </w:p>
        </w:tc>
        <w:tc>
          <w:tcPr>
            <w:tcW w:w="4535" w:type="dxa"/>
            <w:vAlign w:val="center"/>
          </w:tcPr>
          <w:p>
            <w:pPr>
              <w:pStyle w:val="14"/>
            </w:pPr>
            <w:r>
              <w:t>支出总计</w:t>
            </w:r>
          </w:p>
        </w:tc>
        <w:tc>
          <w:tcPr>
            <w:tcW w:w="2126" w:type="dxa"/>
            <w:vAlign w:val="center"/>
          </w:tcPr>
          <w:p>
            <w:pPr>
              <w:pStyle w:val="15"/>
            </w:pPr>
            <w:r>
              <w:t>300.00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318003晋州市财政国库支付中心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2010699</w:t>
            </w:r>
          </w:p>
        </w:tc>
        <w:tc>
          <w:tcPr>
            <w:tcW w:w="1559" w:type="dxa"/>
            <w:vAlign w:val="center"/>
          </w:tcPr>
          <w:p>
            <w:pPr>
              <w:pStyle w:val="12"/>
            </w:pPr>
            <w:r>
              <w:t>其他财政事务支出</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318003晋州市财政国库支付中心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300.00</w:t>
            </w:r>
          </w:p>
        </w:tc>
        <w:tc>
          <w:tcPr>
            <w:tcW w:w="1361" w:type="dxa"/>
            <w:vAlign w:val="center"/>
          </w:tcPr>
          <w:p>
            <w:pPr>
              <w:pStyle w:val="15"/>
            </w:pPr>
            <w:r>
              <w:t>300.00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300.00</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300.00</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2010699</w:t>
            </w:r>
          </w:p>
        </w:tc>
        <w:tc>
          <w:tcPr>
            <w:tcW w:w="4535" w:type="dxa"/>
            <w:vAlign w:val="center"/>
          </w:tcPr>
          <w:p>
            <w:pPr>
              <w:pStyle w:val="12"/>
            </w:pPr>
            <w:r>
              <w:t>其他财政事务支出</w:t>
            </w:r>
          </w:p>
        </w:tc>
        <w:tc>
          <w:tcPr>
            <w:tcW w:w="1361" w:type="dxa"/>
            <w:vAlign w:val="center"/>
          </w:tcPr>
          <w:p>
            <w:pPr>
              <w:pStyle w:val="11"/>
            </w:pPr>
            <w:r>
              <w:t>300.00</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318003晋州市财政国库支付中心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300.00</w:t>
            </w:r>
          </w:p>
        </w:tc>
        <w:tc>
          <w:tcPr>
            <w:tcW w:w="3402" w:type="dxa"/>
            <w:vAlign w:val="center"/>
          </w:tcPr>
          <w:p>
            <w:pPr>
              <w:pStyle w:val="12"/>
            </w:pPr>
            <w:r>
              <w:t>一、一般公共服务支出</w:t>
            </w:r>
          </w:p>
        </w:tc>
        <w:tc>
          <w:tcPr>
            <w:tcW w:w="1474" w:type="dxa"/>
            <w:vAlign w:val="center"/>
          </w:tcPr>
          <w:p>
            <w:pPr>
              <w:pStyle w:val="11"/>
            </w:pPr>
            <w:r>
              <w:t>300.00</w:t>
            </w:r>
          </w:p>
        </w:tc>
        <w:tc>
          <w:tcPr>
            <w:tcW w:w="1474" w:type="dxa"/>
            <w:vAlign w:val="center"/>
          </w:tcPr>
          <w:p>
            <w:pPr>
              <w:pStyle w:val="11"/>
            </w:pPr>
            <w:r>
              <w:t>300.00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300.00</w:t>
            </w:r>
          </w:p>
        </w:tc>
        <w:tc>
          <w:tcPr>
            <w:tcW w:w="3402" w:type="dxa"/>
            <w:vAlign w:val="center"/>
          </w:tcPr>
          <w:p>
            <w:pPr>
              <w:pStyle w:val="14"/>
            </w:pPr>
            <w:r>
              <w:t>本年支出合计</w:t>
            </w:r>
          </w:p>
        </w:tc>
        <w:tc>
          <w:tcPr>
            <w:tcW w:w="1474" w:type="dxa"/>
            <w:vAlign w:val="center"/>
          </w:tcPr>
          <w:p>
            <w:pPr>
              <w:pStyle w:val="15"/>
            </w:pPr>
            <w:r>
              <w:t>300.00</w:t>
            </w:r>
          </w:p>
        </w:tc>
        <w:tc>
          <w:tcPr>
            <w:tcW w:w="1474" w:type="dxa"/>
            <w:vAlign w:val="center"/>
          </w:tcPr>
          <w:p>
            <w:pPr>
              <w:pStyle w:val="15"/>
            </w:pPr>
            <w:r>
              <w:t>300.00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300.00</w:t>
            </w:r>
          </w:p>
        </w:tc>
        <w:tc>
          <w:tcPr>
            <w:tcW w:w="3402" w:type="dxa"/>
            <w:vAlign w:val="center"/>
          </w:tcPr>
          <w:p>
            <w:pPr>
              <w:pStyle w:val="14"/>
            </w:pPr>
            <w:r>
              <w:t>支出总计</w:t>
            </w:r>
          </w:p>
        </w:tc>
        <w:tc>
          <w:tcPr>
            <w:tcW w:w="1474" w:type="dxa"/>
            <w:vAlign w:val="center"/>
          </w:tcPr>
          <w:p>
            <w:pPr>
              <w:pStyle w:val="15"/>
            </w:pPr>
            <w:r>
              <w:t>300.00</w:t>
            </w:r>
          </w:p>
        </w:tc>
        <w:tc>
          <w:tcPr>
            <w:tcW w:w="1474" w:type="dxa"/>
            <w:vAlign w:val="center"/>
          </w:tcPr>
          <w:p>
            <w:pPr>
              <w:pStyle w:val="15"/>
            </w:pPr>
            <w:r>
              <w:t>300.00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318003晋州市财政国库支付中心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300.00</w:t>
            </w:r>
          </w:p>
        </w:tc>
        <w:tc>
          <w:tcPr>
            <w:tcW w:w="2551" w:type="dxa"/>
            <w:vAlign w:val="center"/>
          </w:tcPr>
          <w:p>
            <w:pPr>
              <w:pStyle w:val="15"/>
            </w:pPr>
            <w:r>
              <w:t>300.00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300.00</w:t>
            </w:r>
          </w:p>
        </w:tc>
        <w:tc>
          <w:tcPr>
            <w:tcW w:w="2551" w:type="dxa"/>
            <w:vAlign w:val="center"/>
          </w:tcPr>
          <w:p>
            <w:pPr>
              <w:pStyle w:val="11"/>
            </w:pPr>
            <w:r>
              <w:t>300.00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300.00</w:t>
            </w:r>
          </w:p>
        </w:tc>
        <w:tc>
          <w:tcPr>
            <w:tcW w:w="2551" w:type="dxa"/>
            <w:vAlign w:val="center"/>
          </w:tcPr>
          <w:p>
            <w:pPr>
              <w:pStyle w:val="11"/>
            </w:pPr>
            <w:r>
              <w:t>300.00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2010699</w:t>
            </w:r>
          </w:p>
        </w:tc>
        <w:tc>
          <w:tcPr>
            <w:tcW w:w="4535" w:type="dxa"/>
            <w:vAlign w:val="center"/>
          </w:tcPr>
          <w:p>
            <w:pPr>
              <w:pStyle w:val="12"/>
            </w:pPr>
            <w:r>
              <w:t>其他财政事务支出</w:t>
            </w:r>
          </w:p>
        </w:tc>
        <w:tc>
          <w:tcPr>
            <w:tcW w:w="2551" w:type="dxa"/>
            <w:vAlign w:val="center"/>
          </w:tcPr>
          <w:p>
            <w:pPr>
              <w:pStyle w:val="11"/>
            </w:pPr>
            <w:r>
              <w:t>300.00</w:t>
            </w:r>
          </w:p>
        </w:tc>
        <w:tc>
          <w:tcPr>
            <w:tcW w:w="2551" w:type="dxa"/>
            <w:vAlign w:val="center"/>
          </w:tcPr>
          <w:p>
            <w:pPr>
              <w:pStyle w:val="11"/>
            </w:pPr>
            <w:r>
              <w:t>300.00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318003晋州市财政国库支付中心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300.00</w:t>
            </w:r>
          </w:p>
        </w:tc>
        <w:tc>
          <w:tcPr>
            <w:tcW w:w="2551" w:type="dxa"/>
            <w:vAlign w:val="center"/>
          </w:tcPr>
          <w:p>
            <w:pPr>
              <w:pStyle w:val="15"/>
            </w:pPr>
            <w:r>
              <w:t>287.16</w:t>
            </w:r>
          </w:p>
        </w:tc>
        <w:tc>
          <w:tcPr>
            <w:tcW w:w="2551" w:type="dxa"/>
            <w:vAlign w:val="center"/>
          </w:tcPr>
          <w:p>
            <w:pPr>
              <w:pStyle w:val="15"/>
            </w:pPr>
            <w:r>
              <w:t>12.84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287.16</w:t>
            </w:r>
          </w:p>
        </w:tc>
        <w:tc>
          <w:tcPr>
            <w:tcW w:w="2551" w:type="dxa"/>
            <w:vAlign w:val="center"/>
          </w:tcPr>
          <w:p>
            <w:pPr>
              <w:pStyle w:val="11"/>
            </w:pPr>
            <w:r>
              <w:t>287.16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126.49</w:t>
            </w:r>
          </w:p>
        </w:tc>
        <w:tc>
          <w:tcPr>
            <w:tcW w:w="2551" w:type="dxa"/>
            <w:vAlign w:val="center"/>
          </w:tcPr>
          <w:p>
            <w:pPr>
              <w:pStyle w:val="11"/>
            </w:pPr>
            <w:r>
              <w:t>126.49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11.91</w:t>
            </w:r>
          </w:p>
        </w:tc>
        <w:tc>
          <w:tcPr>
            <w:tcW w:w="2551" w:type="dxa"/>
            <w:vAlign w:val="center"/>
          </w:tcPr>
          <w:p>
            <w:pPr>
              <w:pStyle w:val="11"/>
            </w:pPr>
            <w:r>
              <w:t>11.91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72.80</w:t>
            </w:r>
          </w:p>
        </w:tc>
        <w:tc>
          <w:tcPr>
            <w:tcW w:w="2551" w:type="dxa"/>
            <w:vAlign w:val="center"/>
          </w:tcPr>
          <w:p>
            <w:pPr>
              <w:pStyle w:val="11"/>
            </w:pPr>
            <w:r>
              <w:t>72.80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26.71</w:t>
            </w:r>
          </w:p>
        </w:tc>
        <w:tc>
          <w:tcPr>
            <w:tcW w:w="2551" w:type="dxa"/>
            <w:vAlign w:val="center"/>
          </w:tcPr>
          <w:p>
            <w:pPr>
              <w:pStyle w:val="11"/>
            </w:pPr>
            <w:r>
              <w:t>26.71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13.36</w:t>
            </w:r>
          </w:p>
        </w:tc>
        <w:tc>
          <w:tcPr>
            <w:tcW w:w="2551" w:type="dxa"/>
            <w:vAlign w:val="center"/>
          </w:tcPr>
          <w:p>
            <w:pPr>
              <w:pStyle w:val="11"/>
            </w:pPr>
            <w:r>
              <w:t>13.36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11.77</w:t>
            </w:r>
          </w:p>
        </w:tc>
        <w:tc>
          <w:tcPr>
            <w:tcW w:w="2551" w:type="dxa"/>
            <w:vAlign w:val="center"/>
          </w:tcPr>
          <w:p>
            <w:pPr>
              <w:pStyle w:val="11"/>
            </w:pPr>
            <w:r>
              <w:t>11.77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2.03</w:t>
            </w:r>
          </w:p>
        </w:tc>
        <w:tc>
          <w:tcPr>
            <w:tcW w:w="2551" w:type="dxa"/>
            <w:vAlign w:val="center"/>
          </w:tcPr>
          <w:p>
            <w:pPr>
              <w:pStyle w:val="11"/>
            </w:pPr>
            <w:r>
              <w:t>2.03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22.09</w:t>
            </w:r>
          </w:p>
        </w:tc>
        <w:tc>
          <w:tcPr>
            <w:tcW w:w="2551" w:type="dxa"/>
            <w:vAlign w:val="center"/>
          </w:tcPr>
          <w:p>
            <w:pPr>
              <w:pStyle w:val="11"/>
            </w:pPr>
            <w:r>
              <w:t>22.09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12.84</w:t>
            </w:r>
          </w:p>
        </w:tc>
        <w:tc>
          <w:tcPr>
            <w:tcW w:w="2551" w:type="dxa"/>
            <w:vAlign w:val="center"/>
          </w:tcPr>
          <w:p>
            <w:pPr>
              <w:pStyle w:val="11"/>
            </w:pPr>
          </w:p>
        </w:tc>
        <w:tc>
          <w:tcPr>
            <w:tcW w:w="2551" w:type="dxa"/>
            <w:vAlign w:val="center"/>
          </w:tcPr>
          <w:p>
            <w:pPr>
              <w:pStyle w:val="11"/>
            </w:pPr>
            <w:r>
              <w:t>12.84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6.90</w:t>
            </w:r>
          </w:p>
        </w:tc>
        <w:tc>
          <w:tcPr>
            <w:tcW w:w="2551" w:type="dxa"/>
            <w:vAlign w:val="center"/>
          </w:tcPr>
          <w:p>
            <w:pPr>
              <w:pStyle w:val="11"/>
            </w:pPr>
          </w:p>
        </w:tc>
        <w:tc>
          <w:tcPr>
            <w:tcW w:w="2551" w:type="dxa"/>
            <w:vAlign w:val="center"/>
          </w:tcPr>
          <w:p>
            <w:pPr>
              <w:pStyle w:val="11"/>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1.93</w:t>
            </w:r>
          </w:p>
        </w:tc>
        <w:tc>
          <w:tcPr>
            <w:tcW w:w="2551" w:type="dxa"/>
            <w:vAlign w:val="center"/>
          </w:tcPr>
          <w:p>
            <w:pPr>
              <w:pStyle w:val="11"/>
            </w:pPr>
          </w:p>
        </w:tc>
        <w:tc>
          <w:tcPr>
            <w:tcW w:w="2551" w:type="dxa"/>
            <w:vAlign w:val="center"/>
          </w:tcPr>
          <w:p>
            <w:pPr>
              <w:pStyle w:val="11"/>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4.01</w:t>
            </w:r>
          </w:p>
        </w:tc>
        <w:tc>
          <w:tcPr>
            <w:tcW w:w="2551" w:type="dxa"/>
            <w:vAlign w:val="center"/>
          </w:tcPr>
          <w:p>
            <w:pPr>
              <w:pStyle w:val="11"/>
            </w:pPr>
          </w:p>
        </w:tc>
        <w:tc>
          <w:tcPr>
            <w:tcW w:w="2551" w:type="dxa"/>
            <w:vAlign w:val="center"/>
          </w:tcPr>
          <w:p>
            <w:pPr>
              <w:pStyle w:val="11"/>
            </w:pPr>
            <w:r>
              <w:t>4.01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318003晋州市财政国库支付中心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318003晋州市财政国库支付中心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318003晋州市财政国库支付中心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晋州市财政国库支付中心2026年单位预算信息公开情况说明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按照《中华人民共和国预算法》、《地方预决算公开操作规程》和《关于进一步推进预算公开工作的实施意见》规定，现将晋州市财政国库支付中心2026年单位预算公开如下：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承担国库集中收付制度并组织实施，按规定开展国库现金管理。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晋州市财政国库支付中心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300.00万元，其中：一般公共预算收入300.00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财政国库支付中心年度单位预算中支出预算的总体情况。2026年支出预算300.00万元，其中基本支出300.00万元，包括人员经费287.16万元和日常公用经费12.84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2026年预算收支安排300.00万元，较2025年预算增加0.00万元，其中：基本支出增加0.00万元，主要为持平无变化。项目支出增加0.00万元，主要为持平无变化。预计下年使用的单位资金结余增加0.00万元。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2026年，我单位机关运行经费共计安排12.84万元，主要用于日常维修、办公用房水电费、办公用房取暖费、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318003晋州市财政国库支付中心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晋州市财政国库支付中心小计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w:t>
            </w:r>
          </w:p>
        </w:tc>
        <w:tc>
          <w:tcPr>
            <w:tcW w:w="964" w:type="dxa"/>
            <w:vAlign w:val="center"/>
          </w:tcPr>
          <w:p>
            <w:pPr>
              <w:pStyle w:val="15"/>
            </w:pPr>
            <w:r>
              <w:t>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6.90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40</w:t>
            </w:r>
          </w:p>
        </w:tc>
        <w:tc>
          <w:tcPr>
            <w:tcW w:w="850" w:type="dxa"/>
            <w:vAlign w:val="center"/>
          </w:tcPr>
          <w:p>
            <w:pPr>
              <w:pStyle w:val="11"/>
            </w:pPr>
            <w:r>
              <w:t>0.00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6.90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0.29</w:t>
            </w:r>
          </w:p>
        </w:tc>
        <w:tc>
          <w:tcPr>
            <w:tcW w:w="964" w:type="dxa"/>
            <w:vAlign w:val="center"/>
          </w:tcPr>
          <w:p>
            <w:pPr>
              <w:pStyle w:val="11"/>
            </w:pPr>
            <w:r>
              <w:t>2.90</w:t>
            </w:r>
          </w:p>
        </w:tc>
        <w:tc>
          <w:tcPr>
            <w:tcW w:w="964" w:type="dxa"/>
            <w:vAlign w:val="center"/>
          </w:tcPr>
          <w:p>
            <w:pPr>
              <w:pStyle w:val="11"/>
            </w:pPr>
            <w:r>
              <w:t>2.90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晋州市财政国库支付中心上年末固定资产金额为0.00万元（详见下表）。本年度拟购置固定资产总额为0.00万元，已按要求列入政府采购预算，详见政府采购预算表。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318003晋州市财政国库支付中心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三、晋州市收费中心收支预算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318004晋州市收费中心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180.72</w:t>
            </w:r>
          </w:p>
        </w:tc>
        <w:tc>
          <w:tcPr>
            <w:tcW w:w="4535" w:type="dxa"/>
            <w:vAlign w:val="center"/>
          </w:tcPr>
          <w:p>
            <w:pPr>
              <w:pStyle w:val="12"/>
            </w:pPr>
            <w:r>
              <w:t>一、一般公共服务支出</w:t>
            </w:r>
          </w:p>
        </w:tc>
        <w:tc>
          <w:tcPr>
            <w:tcW w:w="2126" w:type="dxa"/>
            <w:vAlign w:val="center"/>
          </w:tcPr>
          <w:p>
            <w:pPr>
              <w:pStyle w:val="11"/>
            </w:pPr>
            <w:r>
              <w:t>180.72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180.72</w:t>
            </w:r>
          </w:p>
        </w:tc>
        <w:tc>
          <w:tcPr>
            <w:tcW w:w="4535" w:type="dxa"/>
            <w:vAlign w:val="center"/>
          </w:tcPr>
          <w:p>
            <w:pPr>
              <w:pStyle w:val="14"/>
            </w:pPr>
            <w:r>
              <w:t>本年支出合计</w:t>
            </w:r>
          </w:p>
        </w:tc>
        <w:tc>
          <w:tcPr>
            <w:tcW w:w="2126" w:type="dxa"/>
            <w:vAlign w:val="center"/>
          </w:tcPr>
          <w:p>
            <w:pPr>
              <w:pStyle w:val="15"/>
            </w:pPr>
            <w:r>
              <w:t>180.72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180.72</w:t>
            </w:r>
          </w:p>
        </w:tc>
        <w:tc>
          <w:tcPr>
            <w:tcW w:w="4535" w:type="dxa"/>
            <w:vAlign w:val="center"/>
          </w:tcPr>
          <w:p>
            <w:pPr>
              <w:pStyle w:val="14"/>
            </w:pPr>
            <w:r>
              <w:t>支出总计</w:t>
            </w:r>
          </w:p>
        </w:tc>
        <w:tc>
          <w:tcPr>
            <w:tcW w:w="2126" w:type="dxa"/>
            <w:vAlign w:val="center"/>
          </w:tcPr>
          <w:p>
            <w:pPr>
              <w:pStyle w:val="15"/>
            </w:pPr>
            <w:r>
              <w:t>180.72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318004晋州市收费中心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180.72</w:t>
            </w:r>
          </w:p>
        </w:tc>
        <w:tc>
          <w:tcPr>
            <w:tcW w:w="1134" w:type="dxa"/>
            <w:vAlign w:val="center"/>
          </w:tcPr>
          <w:p>
            <w:pPr>
              <w:pStyle w:val="15"/>
            </w:pPr>
            <w:r>
              <w:t>180.72</w:t>
            </w:r>
          </w:p>
        </w:tc>
        <w:tc>
          <w:tcPr>
            <w:tcW w:w="1134" w:type="dxa"/>
            <w:vAlign w:val="center"/>
          </w:tcPr>
          <w:p>
            <w:pPr>
              <w:pStyle w:val="15"/>
            </w:pPr>
            <w:r>
              <w:t>180.72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180.72</w:t>
            </w:r>
          </w:p>
        </w:tc>
        <w:tc>
          <w:tcPr>
            <w:tcW w:w="1134" w:type="dxa"/>
            <w:vAlign w:val="center"/>
          </w:tcPr>
          <w:p>
            <w:pPr>
              <w:pStyle w:val="11"/>
            </w:pPr>
            <w:r>
              <w:t>180.72</w:t>
            </w:r>
          </w:p>
        </w:tc>
        <w:tc>
          <w:tcPr>
            <w:tcW w:w="1134" w:type="dxa"/>
            <w:vAlign w:val="center"/>
          </w:tcPr>
          <w:p>
            <w:pPr>
              <w:pStyle w:val="11"/>
            </w:pPr>
            <w:r>
              <w:t>180.72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180.72</w:t>
            </w:r>
          </w:p>
        </w:tc>
        <w:tc>
          <w:tcPr>
            <w:tcW w:w="1134" w:type="dxa"/>
            <w:vAlign w:val="center"/>
          </w:tcPr>
          <w:p>
            <w:pPr>
              <w:pStyle w:val="11"/>
            </w:pPr>
            <w:r>
              <w:t>180.72</w:t>
            </w:r>
          </w:p>
        </w:tc>
        <w:tc>
          <w:tcPr>
            <w:tcW w:w="1134" w:type="dxa"/>
            <w:vAlign w:val="center"/>
          </w:tcPr>
          <w:p>
            <w:pPr>
              <w:pStyle w:val="11"/>
            </w:pPr>
            <w:r>
              <w:t>180.72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180.72</w:t>
            </w:r>
          </w:p>
        </w:tc>
        <w:tc>
          <w:tcPr>
            <w:tcW w:w="1134" w:type="dxa"/>
            <w:vAlign w:val="center"/>
          </w:tcPr>
          <w:p>
            <w:pPr>
              <w:pStyle w:val="11"/>
            </w:pPr>
            <w:r>
              <w:t>180.72</w:t>
            </w:r>
          </w:p>
        </w:tc>
        <w:tc>
          <w:tcPr>
            <w:tcW w:w="1134" w:type="dxa"/>
            <w:vAlign w:val="center"/>
          </w:tcPr>
          <w:p>
            <w:pPr>
              <w:pStyle w:val="11"/>
            </w:pPr>
            <w:r>
              <w:t>180.72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318004晋州市收费中心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180.72</w:t>
            </w:r>
          </w:p>
        </w:tc>
        <w:tc>
          <w:tcPr>
            <w:tcW w:w="1361" w:type="dxa"/>
            <w:vAlign w:val="center"/>
          </w:tcPr>
          <w:p>
            <w:pPr>
              <w:pStyle w:val="15"/>
            </w:pPr>
            <w:r>
              <w:t>180.72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180.72</w:t>
            </w:r>
          </w:p>
        </w:tc>
        <w:tc>
          <w:tcPr>
            <w:tcW w:w="1361" w:type="dxa"/>
            <w:vAlign w:val="center"/>
          </w:tcPr>
          <w:p>
            <w:pPr>
              <w:pStyle w:val="11"/>
            </w:pPr>
            <w:r>
              <w:t>180.72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180.72</w:t>
            </w:r>
          </w:p>
        </w:tc>
        <w:tc>
          <w:tcPr>
            <w:tcW w:w="1361" w:type="dxa"/>
            <w:vAlign w:val="center"/>
          </w:tcPr>
          <w:p>
            <w:pPr>
              <w:pStyle w:val="11"/>
            </w:pPr>
            <w:r>
              <w:t>180.72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180.72</w:t>
            </w:r>
          </w:p>
        </w:tc>
        <w:tc>
          <w:tcPr>
            <w:tcW w:w="1361" w:type="dxa"/>
            <w:vAlign w:val="center"/>
          </w:tcPr>
          <w:p>
            <w:pPr>
              <w:pStyle w:val="11"/>
            </w:pPr>
            <w:r>
              <w:t>180.72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318004晋州市收费中心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180.72</w:t>
            </w:r>
          </w:p>
        </w:tc>
        <w:tc>
          <w:tcPr>
            <w:tcW w:w="3402" w:type="dxa"/>
            <w:vAlign w:val="center"/>
          </w:tcPr>
          <w:p>
            <w:pPr>
              <w:pStyle w:val="12"/>
            </w:pPr>
            <w:r>
              <w:t>一、一般公共服务支出</w:t>
            </w:r>
          </w:p>
        </w:tc>
        <w:tc>
          <w:tcPr>
            <w:tcW w:w="1474" w:type="dxa"/>
            <w:vAlign w:val="center"/>
          </w:tcPr>
          <w:p>
            <w:pPr>
              <w:pStyle w:val="11"/>
            </w:pPr>
            <w:r>
              <w:t>180.72</w:t>
            </w:r>
          </w:p>
        </w:tc>
        <w:tc>
          <w:tcPr>
            <w:tcW w:w="1474" w:type="dxa"/>
            <w:vAlign w:val="center"/>
          </w:tcPr>
          <w:p>
            <w:pPr>
              <w:pStyle w:val="11"/>
            </w:pPr>
            <w:r>
              <w:t>180.72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180.72</w:t>
            </w:r>
          </w:p>
        </w:tc>
        <w:tc>
          <w:tcPr>
            <w:tcW w:w="3402" w:type="dxa"/>
            <w:vAlign w:val="center"/>
          </w:tcPr>
          <w:p>
            <w:pPr>
              <w:pStyle w:val="14"/>
            </w:pPr>
            <w:r>
              <w:t>本年支出合计</w:t>
            </w:r>
          </w:p>
        </w:tc>
        <w:tc>
          <w:tcPr>
            <w:tcW w:w="1474" w:type="dxa"/>
            <w:vAlign w:val="center"/>
          </w:tcPr>
          <w:p>
            <w:pPr>
              <w:pStyle w:val="15"/>
            </w:pPr>
            <w:r>
              <w:t>180.72</w:t>
            </w:r>
          </w:p>
        </w:tc>
        <w:tc>
          <w:tcPr>
            <w:tcW w:w="1474" w:type="dxa"/>
            <w:vAlign w:val="center"/>
          </w:tcPr>
          <w:p>
            <w:pPr>
              <w:pStyle w:val="15"/>
            </w:pPr>
            <w:r>
              <w:t>180.72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180.72</w:t>
            </w:r>
          </w:p>
        </w:tc>
        <w:tc>
          <w:tcPr>
            <w:tcW w:w="3402" w:type="dxa"/>
            <w:vAlign w:val="center"/>
          </w:tcPr>
          <w:p>
            <w:pPr>
              <w:pStyle w:val="14"/>
            </w:pPr>
            <w:r>
              <w:t>支出总计</w:t>
            </w:r>
          </w:p>
        </w:tc>
        <w:tc>
          <w:tcPr>
            <w:tcW w:w="1474" w:type="dxa"/>
            <w:vAlign w:val="center"/>
          </w:tcPr>
          <w:p>
            <w:pPr>
              <w:pStyle w:val="15"/>
            </w:pPr>
            <w:r>
              <w:t>180.72</w:t>
            </w:r>
          </w:p>
        </w:tc>
        <w:tc>
          <w:tcPr>
            <w:tcW w:w="1474" w:type="dxa"/>
            <w:vAlign w:val="center"/>
          </w:tcPr>
          <w:p>
            <w:pPr>
              <w:pStyle w:val="15"/>
            </w:pPr>
            <w:r>
              <w:t>180.72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318004晋州市收费中心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180.72</w:t>
            </w:r>
          </w:p>
        </w:tc>
        <w:tc>
          <w:tcPr>
            <w:tcW w:w="2551" w:type="dxa"/>
            <w:vAlign w:val="center"/>
          </w:tcPr>
          <w:p>
            <w:pPr>
              <w:pStyle w:val="15"/>
            </w:pPr>
            <w:r>
              <w:t>180.72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180.72</w:t>
            </w:r>
          </w:p>
        </w:tc>
        <w:tc>
          <w:tcPr>
            <w:tcW w:w="2551" w:type="dxa"/>
            <w:vAlign w:val="center"/>
          </w:tcPr>
          <w:p>
            <w:pPr>
              <w:pStyle w:val="11"/>
            </w:pPr>
            <w:r>
              <w:t>180.72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180.72</w:t>
            </w:r>
          </w:p>
        </w:tc>
        <w:tc>
          <w:tcPr>
            <w:tcW w:w="2551" w:type="dxa"/>
            <w:vAlign w:val="center"/>
          </w:tcPr>
          <w:p>
            <w:pPr>
              <w:pStyle w:val="11"/>
            </w:pPr>
            <w:r>
              <w:t>180.72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180.72</w:t>
            </w:r>
          </w:p>
        </w:tc>
        <w:tc>
          <w:tcPr>
            <w:tcW w:w="2551" w:type="dxa"/>
            <w:vAlign w:val="center"/>
          </w:tcPr>
          <w:p>
            <w:pPr>
              <w:pStyle w:val="11"/>
            </w:pPr>
            <w:r>
              <w:t>180.72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318004晋州市收费中心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180.72</w:t>
            </w:r>
          </w:p>
        </w:tc>
        <w:tc>
          <w:tcPr>
            <w:tcW w:w="2551" w:type="dxa"/>
            <w:vAlign w:val="center"/>
          </w:tcPr>
          <w:p>
            <w:pPr>
              <w:pStyle w:val="15"/>
            </w:pPr>
            <w:r>
              <w:t>165.19</w:t>
            </w:r>
          </w:p>
        </w:tc>
        <w:tc>
          <w:tcPr>
            <w:tcW w:w="2551" w:type="dxa"/>
            <w:vAlign w:val="center"/>
          </w:tcPr>
          <w:p>
            <w:pPr>
              <w:pStyle w:val="15"/>
            </w:pPr>
            <w:r>
              <w:t>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165.19</w:t>
            </w:r>
          </w:p>
        </w:tc>
        <w:tc>
          <w:tcPr>
            <w:tcW w:w="2551" w:type="dxa"/>
            <w:vAlign w:val="center"/>
          </w:tcPr>
          <w:p>
            <w:pPr>
              <w:pStyle w:val="11"/>
            </w:pPr>
            <w:r>
              <w:t>165.19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62.18</w:t>
            </w:r>
          </w:p>
        </w:tc>
        <w:tc>
          <w:tcPr>
            <w:tcW w:w="2551" w:type="dxa"/>
            <w:vAlign w:val="center"/>
          </w:tcPr>
          <w:p>
            <w:pPr>
              <w:pStyle w:val="11"/>
            </w:pPr>
            <w:r>
              <w:t>62.18</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15.31</w:t>
            </w:r>
          </w:p>
        </w:tc>
        <w:tc>
          <w:tcPr>
            <w:tcW w:w="2551" w:type="dxa"/>
            <w:vAlign w:val="center"/>
          </w:tcPr>
          <w:p>
            <w:pPr>
              <w:pStyle w:val="11"/>
            </w:pPr>
            <w:r>
              <w:t>15.31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10.54</w:t>
            </w:r>
          </w:p>
        </w:tc>
        <w:tc>
          <w:tcPr>
            <w:tcW w:w="2551" w:type="dxa"/>
            <w:vAlign w:val="center"/>
          </w:tcPr>
          <w:p>
            <w:pPr>
              <w:pStyle w:val="11"/>
            </w:pPr>
            <w:r>
              <w:t>10.54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34.25</w:t>
            </w:r>
          </w:p>
        </w:tc>
        <w:tc>
          <w:tcPr>
            <w:tcW w:w="2551" w:type="dxa"/>
            <w:vAlign w:val="center"/>
          </w:tcPr>
          <w:p>
            <w:pPr>
              <w:pStyle w:val="11"/>
            </w:pPr>
            <w:r>
              <w:t>34.25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17.11</w:t>
            </w:r>
          </w:p>
        </w:tc>
        <w:tc>
          <w:tcPr>
            <w:tcW w:w="2551" w:type="dxa"/>
            <w:vAlign w:val="center"/>
          </w:tcPr>
          <w:p>
            <w:pPr>
              <w:pStyle w:val="11"/>
            </w:pPr>
            <w:r>
              <w:t>17.11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7.10</w:t>
            </w:r>
          </w:p>
        </w:tc>
        <w:tc>
          <w:tcPr>
            <w:tcW w:w="2551" w:type="dxa"/>
            <w:vAlign w:val="center"/>
          </w:tcPr>
          <w:p>
            <w:pPr>
              <w:pStyle w:val="11"/>
            </w:pPr>
            <w:r>
              <w:t>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3.61</w:t>
            </w:r>
          </w:p>
        </w:tc>
        <w:tc>
          <w:tcPr>
            <w:tcW w:w="2551" w:type="dxa"/>
            <w:vAlign w:val="center"/>
          </w:tcPr>
          <w:p>
            <w:pPr>
              <w:pStyle w:val="11"/>
            </w:pPr>
            <w:r>
              <w:t>3.61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1.33</w:t>
            </w:r>
          </w:p>
        </w:tc>
        <w:tc>
          <w:tcPr>
            <w:tcW w:w="2551" w:type="dxa"/>
            <w:vAlign w:val="center"/>
          </w:tcPr>
          <w:p>
            <w:pPr>
              <w:pStyle w:val="11"/>
            </w:pPr>
            <w:r>
              <w:t>1.33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13.76</w:t>
            </w:r>
          </w:p>
        </w:tc>
        <w:tc>
          <w:tcPr>
            <w:tcW w:w="2551" w:type="dxa"/>
            <w:vAlign w:val="center"/>
          </w:tcPr>
          <w:p>
            <w:pPr>
              <w:pStyle w:val="11"/>
            </w:pPr>
            <w:r>
              <w:t>13.76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15.53</w:t>
            </w:r>
          </w:p>
        </w:tc>
        <w:tc>
          <w:tcPr>
            <w:tcW w:w="2551" w:type="dxa"/>
            <w:vAlign w:val="center"/>
          </w:tcPr>
          <w:p>
            <w:pPr>
              <w:pStyle w:val="11"/>
            </w:pPr>
          </w:p>
        </w:tc>
        <w:tc>
          <w:tcPr>
            <w:tcW w:w="2551" w:type="dxa"/>
            <w:vAlign w:val="center"/>
          </w:tcPr>
          <w:p>
            <w:pPr>
              <w:pStyle w:val="11"/>
            </w:pPr>
            <w:r>
              <w:t>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2.44</w:t>
            </w:r>
          </w:p>
        </w:tc>
        <w:tc>
          <w:tcPr>
            <w:tcW w:w="2551" w:type="dxa"/>
            <w:vAlign w:val="center"/>
          </w:tcPr>
          <w:p>
            <w:pPr>
              <w:pStyle w:val="11"/>
            </w:pPr>
          </w:p>
        </w:tc>
        <w:tc>
          <w:tcPr>
            <w:tcW w:w="2551" w:type="dxa"/>
            <w:vAlign w:val="center"/>
          </w:tcPr>
          <w:p>
            <w:pPr>
              <w:pStyle w:val="11"/>
            </w:pPr>
            <w:r>
              <w:t>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0.14</w:t>
            </w:r>
          </w:p>
        </w:tc>
        <w:tc>
          <w:tcPr>
            <w:tcW w:w="2551" w:type="dxa"/>
            <w:vAlign w:val="center"/>
          </w:tcPr>
          <w:p>
            <w:pPr>
              <w:pStyle w:val="11"/>
            </w:pP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1.12</w:t>
            </w:r>
          </w:p>
        </w:tc>
        <w:tc>
          <w:tcPr>
            <w:tcW w:w="2551" w:type="dxa"/>
            <w:vAlign w:val="center"/>
          </w:tcPr>
          <w:p>
            <w:pPr>
              <w:pStyle w:val="11"/>
            </w:pPr>
          </w:p>
        </w:tc>
        <w:tc>
          <w:tcPr>
            <w:tcW w:w="2551" w:type="dxa"/>
            <w:vAlign w:val="center"/>
          </w:tcPr>
          <w:p>
            <w:pPr>
              <w:pStyle w:val="11"/>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2.82</w:t>
            </w:r>
          </w:p>
        </w:tc>
        <w:tc>
          <w:tcPr>
            <w:tcW w:w="2551" w:type="dxa"/>
            <w:vAlign w:val="center"/>
          </w:tcPr>
          <w:p>
            <w:pPr>
              <w:pStyle w:val="11"/>
            </w:pPr>
          </w:p>
        </w:tc>
        <w:tc>
          <w:tcPr>
            <w:tcW w:w="2551" w:type="dxa"/>
            <w:vAlign w:val="center"/>
          </w:tcPr>
          <w:p>
            <w:pPr>
              <w:pStyle w:val="11"/>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1.28</w:t>
            </w:r>
          </w:p>
        </w:tc>
        <w:tc>
          <w:tcPr>
            <w:tcW w:w="2551" w:type="dxa"/>
            <w:vAlign w:val="center"/>
          </w:tcPr>
          <w:p>
            <w:pPr>
              <w:pStyle w:val="11"/>
            </w:pPr>
          </w:p>
        </w:tc>
        <w:tc>
          <w:tcPr>
            <w:tcW w:w="2551" w:type="dxa"/>
            <w:vAlign w:val="center"/>
          </w:tcPr>
          <w:p>
            <w:pPr>
              <w:pStyle w:val="11"/>
            </w:pPr>
            <w:r>
              <w:t>1.28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4.98</w:t>
            </w:r>
          </w:p>
        </w:tc>
        <w:tc>
          <w:tcPr>
            <w:tcW w:w="2551" w:type="dxa"/>
            <w:vAlign w:val="center"/>
          </w:tcPr>
          <w:p>
            <w:pPr>
              <w:pStyle w:val="11"/>
            </w:pPr>
          </w:p>
        </w:tc>
        <w:tc>
          <w:tcPr>
            <w:tcW w:w="2551" w:type="dxa"/>
            <w:vAlign w:val="center"/>
          </w:tcPr>
          <w:p>
            <w:pPr>
              <w:pStyle w:val="11"/>
            </w:pPr>
            <w: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2.75</w:t>
            </w:r>
          </w:p>
        </w:tc>
        <w:tc>
          <w:tcPr>
            <w:tcW w:w="2551" w:type="dxa"/>
            <w:vAlign w:val="center"/>
          </w:tcPr>
          <w:p>
            <w:pPr>
              <w:pStyle w:val="11"/>
            </w:pPr>
          </w:p>
        </w:tc>
        <w:tc>
          <w:tcPr>
            <w:tcW w:w="2551" w:type="dxa"/>
            <w:vAlign w:val="center"/>
          </w:tcPr>
          <w:p>
            <w:pPr>
              <w:pStyle w:val="11"/>
            </w:pPr>
            <w:r>
              <w:t>2.75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318004晋州市收费中心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318004晋州市收费中心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318004晋州市收费中心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晋州市收费中心2026年单位预算信息公开情况说明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按照《中华人民共和国预算法》、《地方预决算公开操作规程》和《关于进一步推进预算公开工作的实施意见》规定，现将晋州市收费中心2026年单位预算公开如下：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负责提出上级授权税目税率调整、减免和地方税收政策等重大事项的建议，对地方承担出口退税事务实施监管，监督检查税收政策的执行情况。</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晋州市收费中心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180.72万元，其中：一般公共预算收入180.72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收费中心年度单位预算中支出预算的总体情况。2026年支出预算180.72万元，其中基本支出180.72万元，包括人员经费165.19万元和日常公用经费15.53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2026年预算收支安排180.72万元，较2025年预算减少7.79万元，其中：基本支出减少7.79万元，主要为人员退休导致基本支出减少。项目支出增加0.00万元，主要为无项目支出。预计下年使用的单位资金结余增加0.00万元。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2026年，我单位机关运行经费共计安排15.53万元，主要用于日常维修、办公用房水电费、办公用房取暖费、办公用房物业管理费等日常运行支出。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318004晋州市收费中心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晋州市收费中心上年末固定资产金额为0.00万元（详见下表）。本年度拟购置固定资产总额为0.00万元，已按要求列入政府采购预算，详见政府采购预算表。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318004晋州市收费中心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四、晋州市农村财务中心收支预算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318005晋州市农村财务中心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170.95</w:t>
            </w:r>
          </w:p>
        </w:tc>
        <w:tc>
          <w:tcPr>
            <w:tcW w:w="4535" w:type="dxa"/>
            <w:vAlign w:val="center"/>
          </w:tcPr>
          <w:p>
            <w:pPr>
              <w:pStyle w:val="12"/>
            </w:pPr>
            <w:r>
              <w:t>一、一般公共服务支出</w:t>
            </w:r>
          </w:p>
        </w:tc>
        <w:tc>
          <w:tcPr>
            <w:tcW w:w="2126" w:type="dxa"/>
            <w:vAlign w:val="center"/>
          </w:tcPr>
          <w:p>
            <w:pPr>
              <w:pStyle w:val="11"/>
            </w:pPr>
            <w:r>
              <w:t>170.95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170.95</w:t>
            </w:r>
          </w:p>
        </w:tc>
        <w:tc>
          <w:tcPr>
            <w:tcW w:w="4535" w:type="dxa"/>
            <w:vAlign w:val="center"/>
          </w:tcPr>
          <w:p>
            <w:pPr>
              <w:pStyle w:val="14"/>
            </w:pPr>
            <w:r>
              <w:t>本年支出合计</w:t>
            </w:r>
          </w:p>
        </w:tc>
        <w:tc>
          <w:tcPr>
            <w:tcW w:w="2126" w:type="dxa"/>
            <w:vAlign w:val="center"/>
          </w:tcPr>
          <w:p>
            <w:pPr>
              <w:pStyle w:val="15"/>
            </w:pPr>
            <w:r>
              <w:t>170.95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170.95</w:t>
            </w:r>
          </w:p>
        </w:tc>
        <w:tc>
          <w:tcPr>
            <w:tcW w:w="4535" w:type="dxa"/>
            <w:vAlign w:val="center"/>
          </w:tcPr>
          <w:p>
            <w:pPr>
              <w:pStyle w:val="14"/>
            </w:pPr>
            <w:r>
              <w:t>支出总计</w:t>
            </w:r>
          </w:p>
        </w:tc>
        <w:tc>
          <w:tcPr>
            <w:tcW w:w="2126" w:type="dxa"/>
            <w:vAlign w:val="center"/>
          </w:tcPr>
          <w:p>
            <w:pPr>
              <w:pStyle w:val="15"/>
            </w:pPr>
            <w:r>
              <w:t>170.95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318005晋州市农村财务中心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170.95</w:t>
            </w:r>
          </w:p>
        </w:tc>
        <w:tc>
          <w:tcPr>
            <w:tcW w:w="1134" w:type="dxa"/>
            <w:vAlign w:val="center"/>
          </w:tcPr>
          <w:p>
            <w:pPr>
              <w:pStyle w:val="15"/>
            </w:pPr>
            <w:r>
              <w:t>170.95</w:t>
            </w:r>
          </w:p>
        </w:tc>
        <w:tc>
          <w:tcPr>
            <w:tcW w:w="1134" w:type="dxa"/>
            <w:vAlign w:val="center"/>
          </w:tcPr>
          <w:p>
            <w:pPr>
              <w:pStyle w:val="15"/>
            </w:pPr>
            <w:r>
              <w:t>170.95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170.95</w:t>
            </w:r>
          </w:p>
        </w:tc>
        <w:tc>
          <w:tcPr>
            <w:tcW w:w="1134" w:type="dxa"/>
            <w:vAlign w:val="center"/>
          </w:tcPr>
          <w:p>
            <w:pPr>
              <w:pStyle w:val="11"/>
            </w:pPr>
            <w:r>
              <w:t>170.95</w:t>
            </w:r>
          </w:p>
        </w:tc>
        <w:tc>
          <w:tcPr>
            <w:tcW w:w="1134" w:type="dxa"/>
            <w:vAlign w:val="center"/>
          </w:tcPr>
          <w:p>
            <w:pPr>
              <w:pStyle w:val="11"/>
            </w:pPr>
            <w:r>
              <w:t>170.95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170.95</w:t>
            </w:r>
          </w:p>
        </w:tc>
        <w:tc>
          <w:tcPr>
            <w:tcW w:w="1134" w:type="dxa"/>
            <w:vAlign w:val="center"/>
          </w:tcPr>
          <w:p>
            <w:pPr>
              <w:pStyle w:val="11"/>
            </w:pPr>
            <w:r>
              <w:t>170.95</w:t>
            </w:r>
          </w:p>
        </w:tc>
        <w:tc>
          <w:tcPr>
            <w:tcW w:w="1134" w:type="dxa"/>
            <w:vAlign w:val="center"/>
          </w:tcPr>
          <w:p>
            <w:pPr>
              <w:pStyle w:val="11"/>
            </w:pPr>
            <w:r>
              <w:t>170.95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170.95</w:t>
            </w:r>
          </w:p>
        </w:tc>
        <w:tc>
          <w:tcPr>
            <w:tcW w:w="1134" w:type="dxa"/>
            <w:vAlign w:val="center"/>
          </w:tcPr>
          <w:p>
            <w:pPr>
              <w:pStyle w:val="11"/>
            </w:pPr>
            <w:r>
              <w:t>170.95</w:t>
            </w:r>
          </w:p>
        </w:tc>
        <w:tc>
          <w:tcPr>
            <w:tcW w:w="1134" w:type="dxa"/>
            <w:vAlign w:val="center"/>
          </w:tcPr>
          <w:p>
            <w:pPr>
              <w:pStyle w:val="11"/>
            </w:pPr>
            <w:r>
              <w:t>170.95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318005晋州市农村财务中心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170.95</w:t>
            </w:r>
          </w:p>
        </w:tc>
        <w:tc>
          <w:tcPr>
            <w:tcW w:w="1361" w:type="dxa"/>
            <w:vAlign w:val="center"/>
          </w:tcPr>
          <w:p>
            <w:pPr>
              <w:pStyle w:val="15"/>
            </w:pPr>
            <w:r>
              <w:t>170.95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170.95</w:t>
            </w:r>
          </w:p>
        </w:tc>
        <w:tc>
          <w:tcPr>
            <w:tcW w:w="1361" w:type="dxa"/>
            <w:vAlign w:val="center"/>
          </w:tcPr>
          <w:p>
            <w:pPr>
              <w:pStyle w:val="11"/>
            </w:pPr>
            <w:r>
              <w:t>170.95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170.95</w:t>
            </w:r>
          </w:p>
        </w:tc>
        <w:tc>
          <w:tcPr>
            <w:tcW w:w="1361" w:type="dxa"/>
            <w:vAlign w:val="center"/>
          </w:tcPr>
          <w:p>
            <w:pPr>
              <w:pStyle w:val="11"/>
            </w:pPr>
            <w:r>
              <w:t>170.95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170.95</w:t>
            </w:r>
          </w:p>
        </w:tc>
        <w:tc>
          <w:tcPr>
            <w:tcW w:w="1361" w:type="dxa"/>
            <w:vAlign w:val="center"/>
          </w:tcPr>
          <w:p>
            <w:pPr>
              <w:pStyle w:val="11"/>
            </w:pPr>
            <w:r>
              <w:t>170.95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318005晋州市农村财务中心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170.95</w:t>
            </w:r>
          </w:p>
        </w:tc>
        <w:tc>
          <w:tcPr>
            <w:tcW w:w="3402" w:type="dxa"/>
            <w:vAlign w:val="center"/>
          </w:tcPr>
          <w:p>
            <w:pPr>
              <w:pStyle w:val="12"/>
            </w:pPr>
            <w:r>
              <w:t>一、一般公共服务支出</w:t>
            </w:r>
          </w:p>
        </w:tc>
        <w:tc>
          <w:tcPr>
            <w:tcW w:w="1474" w:type="dxa"/>
            <w:vAlign w:val="center"/>
          </w:tcPr>
          <w:p>
            <w:pPr>
              <w:pStyle w:val="11"/>
            </w:pPr>
            <w:r>
              <w:t>170.95</w:t>
            </w:r>
          </w:p>
        </w:tc>
        <w:tc>
          <w:tcPr>
            <w:tcW w:w="1474" w:type="dxa"/>
            <w:vAlign w:val="center"/>
          </w:tcPr>
          <w:p>
            <w:pPr>
              <w:pStyle w:val="11"/>
            </w:pPr>
            <w:r>
              <w:t>170.95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170.95</w:t>
            </w:r>
          </w:p>
        </w:tc>
        <w:tc>
          <w:tcPr>
            <w:tcW w:w="3402" w:type="dxa"/>
            <w:vAlign w:val="center"/>
          </w:tcPr>
          <w:p>
            <w:pPr>
              <w:pStyle w:val="14"/>
            </w:pPr>
            <w:r>
              <w:t>本年支出合计</w:t>
            </w:r>
          </w:p>
        </w:tc>
        <w:tc>
          <w:tcPr>
            <w:tcW w:w="1474" w:type="dxa"/>
            <w:vAlign w:val="center"/>
          </w:tcPr>
          <w:p>
            <w:pPr>
              <w:pStyle w:val="15"/>
            </w:pPr>
            <w:r>
              <w:t>170.95</w:t>
            </w:r>
          </w:p>
        </w:tc>
        <w:tc>
          <w:tcPr>
            <w:tcW w:w="1474" w:type="dxa"/>
            <w:vAlign w:val="center"/>
          </w:tcPr>
          <w:p>
            <w:pPr>
              <w:pStyle w:val="15"/>
            </w:pPr>
            <w:r>
              <w:t>170.95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170.95</w:t>
            </w:r>
          </w:p>
        </w:tc>
        <w:tc>
          <w:tcPr>
            <w:tcW w:w="3402" w:type="dxa"/>
            <w:vAlign w:val="center"/>
          </w:tcPr>
          <w:p>
            <w:pPr>
              <w:pStyle w:val="14"/>
            </w:pPr>
            <w:r>
              <w:t>支出总计</w:t>
            </w:r>
          </w:p>
        </w:tc>
        <w:tc>
          <w:tcPr>
            <w:tcW w:w="1474" w:type="dxa"/>
            <w:vAlign w:val="center"/>
          </w:tcPr>
          <w:p>
            <w:pPr>
              <w:pStyle w:val="15"/>
            </w:pPr>
            <w:r>
              <w:t>170.95</w:t>
            </w:r>
          </w:p>
        </w:tc>
        <w:tc>
          <w:tcPr>
            <w:tcW w:w="1474" w:type="dxa"/>
            <w:vAlign w:val="center"/>
          </w:tcPr>
          <w:p>
            <w:pPr>
              <w:pStyle w:val="15"/>
            </w:pPr>
            <w:r>
              <w:t>170.95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318005晋州市农村财务中心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170.95</w:t>
            </w:r>
          </w:p>
        </w:tc>
        <w:tc>
          <w:tcPr>
            <w:tcW w:w="2551" w:type="dxa"/>
            <w:vAlign w:val="center"/>
          </w:tcPr>
          <w:p>
            <w:pPr>
              <w:pStyle w:val="15"/>
            </w:pPr>
            <w:r>
              <w:t>170.95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170.95</w:t>
            </w:r>
          </w:p>
        </w:tc>
        <w:tc>
          <w:tcPr>
            <w:tcW w:w="2551" w:type="dxa"/>
            <w:vAlign w:val="center"/>
          </w:tcPr>
          <w:p>
            <w:pPr>
              <w:pStyle w:val="11"/>
            </w:pPr>
            <w:r>
              <w:t>170.95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170.95</w:t>
            </w:r>
          </w:p>
        </w:tc>
        <w:tc>
          <w:tcPr>
            <w:tcW w:w="2551" w:type="dxa"/>
            <w:vAlign w:val="center"/>
          </w:tcPr>
          <w:p>
            <w:pPr>
              <w:pStyle w:val="11"/>
            </w:pPr>
            <w:r>
              <w:t>170.95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170.95</w:t>
            </w:r>
          </w:p>
        </w:tc>
        <w:tc>
          <w:tcPr>
            <w:tcW w:w="2551" w:type="dxa"/>
            <w:vAlign w:val="center"/>
          </w:tcPr>
          <w:p>
            <w:pPr>
              <w:pStyle w:val="11"/>
            </w:pPr>
            <w:r>
              <w:t>170.95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318005晋州市农村财务中心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170.95</w:t>
            </w:r>
          </w:p>
        </w:tc>
        <w:tc>
          <w:tcPr>
            <w:tcW w:w="2551" w:type="dxa"/>
            <w:vAlign w:val="center"/>
          </w:tcPr>
          <w:p>
            <w:pPr>
              <w:pStyle w:val="15"/>
            </w:pPr>
            <w:r>
              <w:t>154.67</w:t>
            </w:r>
          </w:p>
        </w:tc>
        <w:tc>
          <w:tcPr>
            <w:tcW w:w="2551" w:type="dxa"/>
            <w:vAlign w:val="center"/>
          </w:tcPr>
          <w:p>
            <w:pPr>
              <w:pStyle w:val="15"/>
            </w:pPr>
            <w:r>
              <w:t>16.28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154.67</w:t>
            </w:r>
          </w:p>
        </w:tc>
        <w:tc>
          <w:tcPr>
            <w:tcW w:w="2551" w:type="dxa"/>
            <w:vAlign w:val="center"/>
          </w:tcPr>
          <w:p>
            <w:pPr>
              <w:pStyle w:val="11"/>
            </w:pPr>
            <w:r>
              <w:t>154.67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62.04</w:t>
            </w:r>
          </w:p>
        </w:tc>
        <w:tc>
          <w:tcPr>
            <w:tcW w:w="2551" w:type="dxa"/>
            <w:vAlign w:val="center"/>
          </w:tcPr>
          <w:p>
            <w:pPr>
              <w:pStyle w:val="11"/>
            </w:pPr>
            <w:r>
              <w:t>62.04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18.25</w:t>
            </w:r>
          </w:p>
        </w:tc>
        <w:tc>
          <w:tcPr>
            <w:tcW w:w="2551" w:type="dxa"/>
            <w:vAlign w:val="center"/>
          </w:tcPr>
          <w:p>
            <w:pPr>
              <w:pStyle w:val="11"/>
            </w:pPr>
            <w:r>
              <w:t>18.25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14.91</w:t>
            </w:r>
          </w:p>
        </w:tc>
        <w:tc>
          <w:tcPr>
            <w:tcW w:w="2551" w:type="dxa"/>
            <w:vAlign w:val="center"/>
          </w:tcPr>
          <w:p>
            <w:pPr>
              <w:pStyle w:val="11"/>
            </w:pPr>
            <w:r>
              <w:t>14.91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19.56</w:t>
            </w:r>
          </w:p>
        </w:tc>
        <w:tc>
          <w:tcPr>
            <w:tcW w:w="2551" w:type="dxa"/>
            <w:vAlign w:val="center"/>
          </w:tcPr>
          <w:p>
            <w:pPr>
              <w:pStyle w:val="11"/>
            </w:pPr>
            <w:r>
              <w:t>19.56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16.13</w:t>
            </w:r>
          </w:p>
        </w:tc>
        <w:tc>
          <w:tcPr>
            <w:tcW w:w="2551" w:type="dxa"/>
            <w:vAlign w:val="center"/>
          </w:tcPr>
          <w:p>
            <w:pPr>
              <w:pStyle w:val="11"/>
            </w:pPr>
            <w:r>
              <w:t>16.13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6.40</w:t>
            </w:r>
          </w:p>
        </w:tc>
        <w:tc>
          <w:tcPr>
            <w:tcW w:w="2551" w:type="dxa"/>
            <w:vAlign w:val="center"/>
          </w:tcPr>
          <w:p>
            <w:pPr>
              <w:pStyle w:val="11"/>
            </w:pPr>
            <w:r>
              <w:t>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3.25</w:t>
            </w:r>
          </w:p>
        </w:tc>
        <w:tc>
          <w:tcPr>
            <w:tcW w:w="2551" w:type="dxa"/>
            <w:vAlign w:val="center"/>
          </w:tcPr>
          <w:p>
            <w:pPr>
              <w:pStyle w:val="11"/>
            </w:pPr>
            <w:r>
              <w:t>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1.24</w:t>
            </w:r>
          </w:p>
        </w:tc>
        <w:tc>
          <w:tcPr>
            <w:tcW w:w="2551" w:type="dxa"/>
            <w:vAlign w:val="center"/>
          </w:tcPr>
          <w:p>
            <w:pPr>
              <w:pStyle w:val="11"/>
            </w:pPr>
            <w:r>
              <w:t>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12.89</w:t>
            </w:r>
          </w:p>
        </w:tc>
        <w:tc>
          <w:tcPr>
            <w:tcW w:w="2551" w:type="dxa"/>
            <w:vAlign w:val="center"/>
          </w:tcPr>
          <w:p>
            <w:pPr>
              <w:pStyle w:val="11"/>
            </w:pPr>
            <w:r>
              <w:t>12.89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16.28</w:t>
            </w:r>
          </w:p>
        </w:tc>
        <w:tc>
          <w:tcPr>
            <w:tcW w:w="2551" w:type="dxa"/>
            <w:vAlign w:val="center"/>
          </w:tcPr>
          <w:p>
            <w:pPr>
              <w:pStyle w:val="11"/>
            </w:pPr>
          </w:p>
        </w:tc>
        <w:tc>
          <w:tcPr>
            <w:tcW w:w="2551" w:type="dxa"/>
            <w:vAlign w:val="center"/>
          </w:tcPr>
          <w:p>
            <w:pPr>
              <w:pStyle w:val="11"/>
            </w:pPr>
            <w:r>
              <w:t>16.28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2.09</w:t>
            </w:r>
          </w:p>
        </w:tc>
        <w:tc>
          <w:tcPr>
            <w:tcW w:w="2551" w:type="dxa"/>
            <w:vAlign w:val="center"/>
          </w:tcPr>
          <w:p>
            <w:pPr>
              <w:pStyle w:val="11"/>
            </w:pPr>
          </w:p>
        </w:tc>
        <w:tc>
          <w:tcPr>
            <w:tcW w:w="2551" w:type="dxa"/>
            <w:vAlign w:val="center"/>
          </w:tcPr>
          <w:p>
            <w:pPr>
              <w:pStyle w:val="11"/>
            </w:pPr>
            <w:r>
              <w:t>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0.96</w:t>
            </w:r>
          </w:p>
        </w:tc>
        <w:tc>
          <w:tcPr>
            <w:tcW w:w="2551" w:type="dxa"/>
            <w:vAlign w:val="center"/>
          </w:tcPr>
          <w:p>
            <w:pPr>
              <w:pStyle w:val="11"/>
            </w:pPr>
          </w:p>
        </w:tc>
        <w:tc>
          <w:tcPr>
            <w:tcW w:w="2551" w:type="dxa"/>
            <w:vAlign w:val="center"/>
          </w:tcPr>
          <w:p>
            <w:pPr>
              <w:pStyle w:val="11"/>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3.72</w:t>
            </w:r>
          </w:p>
        </w:tc>
        <w:tc>
          <w:tcPr>
            <w:tcW w:w="2551" w:type="dxa"/>
            <w:vAlign w:val="center"/>
          </w:tcPr>
          <w:p>
            <w:pPr>
              <w:pStyle w:val="11"/>
            </w:pPr>
          </w:p>
        </w:tc>
        <w:tc>
          <w:tcPr>
            <w:tcW w:w="2551" w:type="dxa"/>
            <w:vAlign w:val="center"/>
          </w:tcPr>
          <w:p>
            <w:pPr>
              <w:pStyle w:val="11"/>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1.21</w:t>
            </w:r>
          </w:p>
        </w:tc>
        <w:tc>
          <w:tcPr>
            <w:tcW w:w="2551" w:type="dxa"/>
            <w:vAlign w:val="center"/>
          </w:tcPr>
          <w:p>
            <w:pPr>
              <w:pStyle w:val="11"/>
            </w:pPr>
          </w:p>
        </w:tc>
        <w:tc>
          <w:tcPr>
            <w:tcW w:w="2551" w:type="dxa"/>
            <w:vAlign w:val="center"/>
          </w:tcPr>
          <w:p>
            <w:pPr>
              <w:pStyle w:val="11"/>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5.59</w:t>
            </w:r>
          </w:p>
        </w:tc>
        <w:tc>
          <w:tcPr>
            <w:tcW w:w="2551" w:type="dxa"/>
            <w:vAlign w:val="center"/>
          </w:tcPr>
          <w:p>
            <w:pPr>
              <w:pStyle w:val="11"/>
            </w:pPr>
          </w:p>
        </w:tc>
        <w:tc>
          <w:tcPr>
            <w:tcW w:w="2551" w:type="dxa"/>
            <w:vAlign w:val="center"/>
          </w:tcPr>
          <w:p>
            <w:pPr>
              <w:pStyle w:val="11"/>
            </w:pPr>
            <w:r>
              <w:t>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2.59</w:t>
            </w:r>
          </w:p>
        </w:tc>
        <w:tc>
          <w:tcPr>
            <w:tcW w:w="2551" w:type="dxa"/>
            <w:vAlign w:val="center"/>
          </w:tcPr>
          <w:p>
            <w:pPr>
              <w:pStyle w:val="11"/>
            </w:pPr>
          </w:p>
        </w:tc>
        <w:tc>
          <w:tcPr>
            <w:tcW w:w="2551" w:type="dxa"/>
            <w:vAlign w:val="center"/>
          </w:tcPr>
          <w:p>
            <w:pPr>
              <w:pStyle w:val="11"/>
            </w:pPr>
            <w:r>
              <w:t>2.59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318005晋州市农村财务中心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318005晋州市农村财务中心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318005晋州市农村财务中心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晋州市农村财务中心2026年单位预算信息公开情况说明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按照《中华人民共和国预算法》、《地方预决算公开操作规程》和《关于进一步推进预算公开工作的实施意见》规定，现将晋州市农村财务中心2026年单位预算公开如下：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负责办理市级财政经济发展支出、市政府投资项目的财政拨款，参与拟订市建设投资的有关方案，制定基本建设财务制度；负责有关政策性补贴和专项储备资金财政管理。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晋州市农村财务中心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170.95万元，其中：一般公共预算收入170.95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农村财务中心年度单位预算中支出预算的总体情况。2026年支出预算170.95万元，其中基本支出170.95万元，包括人员经费154.67万元和日常公用经费16.28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170.95万元，较2025年预算增加21.81万元，其中：基本支出增加21.81万元，主要为人员调入以及职工工资水平提高导致基本支出增加。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2026年，我单位机关运行经费共计安排16.28万元，主要用于日常维修、办公用房水电费、办公用房取暖费、办公用房物业管理费等日常运行支出。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360" w:lineRule="auto"/>
        <w:ind w:firstLine="560" w:firstLineChars="200"/>
        <w:outlineLvl w:val="2"/>
        <w:rPr>
          <w:rFonts w:ascii="黑体" w:hAnsi="黑体" w:eastAsia="黑体" w:cs="黑体"/>
          <w:color w:val="000000"/>
          <w:sz w:val="32"/>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318005晋州市农村财务中心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晋州市农村财务中心上年末固定资产金额为0.00万元（详见下表）。本年度拟购置固定资产总额为0.00万元，已按要求列入政府采购预算，详见政府采购预算表。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318005晋州市农村财务中心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五、晋州市综合治税服务中心收支预算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318006晋州市综合治税服务中心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74.70</w:t>
            </w:r>
          </w:p>
        </w:tc>
        <w:tc>
          <w:tcPr>
            <w:tcW w:w="4535" w:type="dxa"/>
            <w:vAlign w:val="center"/>
          </w:tcPr>
          <w:p>
            <w:pPr>
              <w:pStyle w:val="12"/>
            </w:pPr>
            <w:r>
              <w:t>一、一般公共服务支出</w:t>
            </w:r>
          </w:p>
        </w:tc>
        <w:tc>
          <w:tcPr>
            <w:tcW w:w="2126" w:type="dxa"/>
            <w:vAlign w:val="center"/>
          </w:tcPr>
          <w:p>
            <w:pPr>
              <w:pStyle w:val="11"/>
            </w:pPr>
            <w:r>
              <w:t>74.70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74.70</w:t>
            </w:r>
          </w:p>
        </w:tc>
        <w:tc>
          <w:tcPr>
            <w:tcW w:w="4535" w:type="dxa"/>
            <w:vAlign w:val="center"/>
          </w:tcPr>
          <w:p>
            <w:pPr>
              <w:pStyle w:val="14"/>
            </w:pPr>
            <w:r>
              <w:t>本年支出合计</w:t>
            </w:r>
          </w:p>
        </w:tc>
        <w:tc>
          <w:tcPr>
            <w:tcW w:w="2126" w:type="dxa"/>
            <w:vAlign w:val="center"/>
          </w:tcPr>
          <w:p>
            <w:pPr>
              <w:pStyle w:val="15"/>
            </w:pPr>
            <w:r>
              <w:t>74.70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74.70</w:t>
            </w:r>
          </w:p>
        </w:tc>
        <w:tc>
          <w:tcPr>
            <w:tcW w:w="4535" w:type="dxa"/>
            <w:vAlign w:val="center"/>
          </w:tcPr>
          <w:p>
            <w:pPr>
              <w:pStyle w:val="14"/>
            </w:pPr>
            <w:r>
              <w:t>支出总计</w:t>
            </w:r>
          </w:p>
        </w:tc>
        <w:tc>
          <w:tcPr>
            <w:tcW w:w="2126" w:type="dxa"/>
            <w:vAlign w:val="center"/>
          </w:tcPr>
          <w:p>
            <w:pPr>
              <w:pStyle w:val="15"/>
            </w:pPr>
            <w:r>
              <w:t>74.70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318006晋州市综合治税服务中心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74.70</w:t>
            </w:r>
          </w:p>
        </w:tc>
        <w:tc>
          <w:tcPr>
            <w:tcW w:w="1134" w:type="dxa"/>
            <w:vAlign w:val="center"/>
          </w:tcPr>
          <w:p>
            <w:pPr>
              <w:pStyle w:val="15"/>
            </w:pPr>
            <w:r>
              <w:t>74.70</w:t>
            </w:r>
          </w:p>
        </w:tc>
        <w:tc>
          <w:tcPr>
            <w:tcW w:w="1134" w:type="dxa"/>
            <w:vAlign w:val="center"/>
          </w:tcPr>
          <w:p>
            <w:pPr>
              <w:pStyle w:val="15"/>
            </w:pPr>
            <w:r>
              <w:t>74.70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74.70</w:t>
            </w:r>
          </w:p>
        </w:tc>
        <w:tc>
          <w:tcPr>
            <w:tcW w:w="1134" w:type="dxa"/>
            <w:vAlign w:val="center"/>
          </w:tcPr>
          <w:p>
            <w:pPr>
              <w:pStyle w:val="11"/>
            </w:pPr>
            <w:r>
              <w:t>74.70</w:t>
            </w:r>
          </w:p>
        </w:tc>
        <w:tc>
          <w:tcPr>
            <w:tcW w:w="1134" w:type="dxa"/>
            <w:vAlign w:val="center"/>
          </w:tcPr>
          <w:p>
            <w:pPr>
              <w:pStyle w:val="11"/>
            </w:pPr>
            <w:r>
              <w:t>74.70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74.70</w:t>
            </w:r>
          </w:p>
        </w:tc>
        <w:tc>
          <w:tcPr>
            <w:tcW w:w="1134" w:type="dxa"/>
            <w:vAlign w:val="center"/>
          </w:tcPr>
          <w:p>
            <w:pPr>
              <w:pStyle w:val="11"/>
            </w:pPr>
            <w:r>
              <w:t>74.70</w:t>
            </w:r>
          </w:p>
        </w:tc>
        <w:tc>
          <w:tcPr>
            <w:tcW w:w="1134" w:type="dxa"/>
            <w:vAlign w:val="center"/>
          </w:tcPr>
          <w:p>
            <w:pPr>
              <w:pStyle w:val="11"/>
            </w:pPr>
            <w:r>
              <w:t>74.70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74.70</w:t>
            </w:r>
          </w:p>
        </w:tc>
        <w:tc>
          <w:tcPr>
            <w:tcW w:w="1134" w:type="dxa"/>
            <w:vAlign w:val="center"/>
          </w:tcPr>
          <w:p>
            <w:pPr>
              <w:pStyle w:val="11"/>
            </w:pPr>
            <w:r>
              <w:t>74.70</w:t>
            </w:r>
          </w:p>
        </w:tc>
        <w:tc>
          <w:tcPr>
            <w:tcW w:w="1134" w:type="dxa"/>
            <w:vAlign w:val="center"/>
          </w:tcPr>
          <w:p>
            <w:pPr>
              <w:pStyle w:val="11"/>
            </w:pPr>
            <w:r>
              <w:t>74.70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318006晋州市综合治税服务中心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74.70</w:t>
            </w:r>
          </w:p>
        </w:tc>
        <w:tc>
          <w:tcPr>
            <w:tcW w:w="1361" w:type="dxa"/>
            <w:vAlign w:val="center"/>
          </w:tcPr>
          <w:p>
            <w:pPr>
              <w:pStyle w:val="15"/>
            </w:pPr>
            <w:r>
              <w:t>74.70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74.70</w:t>
            </w:r>
          </w:p>
        </w:tc>
        <w:tc>
          <w:tcPr>
            <w:tcW w:w="1361" w:type="dxa"/>
            <w:vAlign w:val="center"/>
          </w:tcPr>
          <w:p>
            <w:pPr>
              <w:pStyle w:val="11"/>
            </w:pPr>
            <w:r>
              <w:t>74.70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74.70</w:t>
            </w:r>
          </w:p>
        </w:tc>
        <w:tc>
          <w:tcPr>
            <w:tcW w:w="1361" w:type="dxa"/>
            <w:vAlign w:val="center"/>
          </w:tcPr>
          <w:p>
            <w:pPr>
              <w:pStyle w:val="11"/>
            </w:pPr>
            <w:r>
              <w:t>74.70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74.70</w:t>
            </w:r>
          </w:p>
        </w:tc>
        <w:tc>
          <w:tcPr>
            <w:tcW w:w="1361" w:type="dxa"/>
            <w:vAlign w:val="center"/>
          </w:tcPr>
          <w:p>
            <w:pPr>
              <w:pStyle w:val="11"/>
            </w:pPr>
            <w:r>
              <w:t>74.70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318006晋州市综合治税服务中心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74.70</w:t>
            </w:r>
          </w:p>
        </w:tc>
        <w:tc>
          <w:tcPr>
            <w:tcW w:w="3402" w:type="dxa"/>
            <w:vAlign w:val="center"/>
          </w:tcPr>
          <w:p>
            <w:pPr>
              <w:pStyle w:val="12"/>
            </w:pPr>
            <w:r>
              <w:t>一、一般公共服务支出</w:t>
            </w:r>
          </w:p>
        </w:tc>
        <w:tc>
          <w:tcPr>
            <w:tcW w:w="1474" w:type="dxa"/>
            <w:vAlign w:val="center"/>
          </w:tcPr>
          <w:p>
            <w:pPr>
              <w:pStyle w:val="11"/>
            </w:pPr>
            <w:r>
              <w:t>74.70</w:t>
            </w:r>
          </w:p>
        </w:tc>
        <w:tc>
          <w:tcPr>
            <w:tcW w:w="1474" w:type="dxa"/>
            <w:vAlign w:val="center"/>
          </w:tcPr>
          <w:p>
            <w:pPr>
              <w:pStyle w:val="11"/>
            </w:pPr>
            <w:r>
              <w:t>74.70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74.70</w:t>
            </w:r>
          </w:p>
        </w:tc>
        <w:tc>
          <w:tcPr>
            <w:tcW w:w="3402" w:type="dxa"/>
            <w:vAlign w:val="center"/>
          </w:tcPr>
          <w:p>
            <w:pPr>
              <w:pStyle w:val="14"/>
            </w:pPr>
            <w:r>
              <w:t>本年支出合计</w:t>
            </w:r>
          </w:p>
        </w:tc>
        <w:tc>
          <w:tcPr>
            <w:tcW w:w="1474" w:type="dxa"/>
            <w:vAlign w:val="center"/>
          </w:tcPr>
          <w:p>
            <w:pPr>
              <w:pStyle w:val="15"/>
            </w:pPr>
            <w:r>
              <w:t>74.70</w:t>
            </w:r>
          </w:p>
        </w:tc>
        <w:tc>
          <w:tcPr>
            <w:tcW w:w="1474" w:type="dxa"/>
            <w:vAlign w:val="center"/>
          </w:tcPr>
          <w:p>
            <w:pPr>
              <w:pStyle w:val="15"/>
            </w:pPr>
            <w:r>
              <w:t>74.70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74.70</w:t>
            </w:r>
          </w:p>
        </w:tc>
        <w:tc>
          <w:tcPr>
            <w:tcW w:w="3402" w:type="dxa"/>
            <w:vAlign w:val="center"/>
          </w:tcPr>
          <w:p>
            <w:pPr>
              <w:pStyle w:val="14"/>
            </w:pPr>
            <w:r>
              <w:t>支出总计</w:t>
            </w:r>
          </w:p>
        </w:tc>
        <w:tc>
          <w:tcPr>
            <w:tcW w:w="1474" w:type="dxa"/>
            <w:vAlign w:val="center"/>
          </w:tcPr>
          <w:p>
            <w:pPr>
              <w:pStyle w:val="15"/>
            </w:pPr>
            <w:r>
              <w:t>74.70</w:t>
            </w:r>
          </w:p>
        </w:tc>
        <w:tc>
          <w:tcPr>
            <w:tcW w:w="1474" w:type="dxa"/>
            <w:vAlign w:val="center"/>
          </w:tcPr>
          <w:p>
            <w:pPr>
              <w:pStyle w:val="15"/>
            </w:pPr>
            <w:r>
              <w:t>74.70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318006晋州市综合治税服务中心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74.70</w:t>
            </w:r>
          </w:p>
        </w:tc>
        <w:tc>
          <w:tcPr>
            <w:tcW w:w="2551" w:type="dxa"/>
            <w:vAlign w:val="center"/>
          </w:tcPr>
          <w:p>
            <w:pPr>
              <w:pStyle w:val="15"/>
            </w:pPr>
            <w:r>
              <w:t>74.70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74.70</w:t>
            </w:r>
          </w:p>
        </w:tc>
        <w:tc>
          <w:tcPr>
            <w:tcW w:w="2551" w:type="dxa"/>
            <w:vAlign w:val="center"/>
          </w:tcPr>
          <w:p>
            <w:pPr>
              <w:pStyle w:val="11"/>
            </w:pPr>
            <w:r>
              <w:t>74.70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74.70</w:t>
            </w:r>
          </w:p>
        </w:tc>
        <w:tc>
          <w:tcPr>
            <w:tcW w:w="2551" w:type="dxa"/>
            <w:vAlign w:val="center"/>
          </w:tcPr>
          <w:p>
            <w:pPr>
              <w:pStyle w:val="11"/>
            </w:pPr>
            <w:r>
              <w:t>74.70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74.70</w:t>
            </w:r>
          </w:p>
        </w:tc>
        <w:tc>
          <w:tcPr>
            <w:tcW w:w="2551" w:type="dxa"/>
            <w:vAlign w:val="center"/>
          </w:tcPr>
          <w:p>
            <w:pPr>
              <w:pStyle w:val="11"/>
            </w:pPr>
            <w:r>
              <w:t>74.70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318006晋州市综合治税服务中心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74.70</w:t>
            </w:r>
          </w:p>
        </w:tc>
        <w:tc>
          <w:tcPr>
            <w:tcW w:w="2551" w:type="dxa"/>
            <w:vAlign w:val="center"/>
          </w:tcPr>
          <w:p>
            <w:pPr>
              <w:pStyle w:val="15"/>
            </w:pPr>
            <w:r>
              <w:t>70.61</w:t>
            </w:r>
          </w:p>
        </w:tc>
        <w:tc>
          <w:tcPr>
            <w:tcW w:w="2551" w:type="dxa"/>
            <w:vAlign w:val="center"/>
          </w:tcPr>
          <w:p>
            <w:pPr>
              <w:pStyle w:val="15"/>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70.61</w:t>
            </w:r>
          </w:p>
        </w:tc>
        <w:tc>
          <w:tcPr>
            <w:tcW w:w="2551" w:type="dxa"/>
            <w:vAlign w:val="center"/>
          </w:tcPr>
          <w:p>
            <w:pPr>
              <w:pStyle w:val="11"/>
            </w:pPr>
            <w:r>
              <w:t>70.61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26.09</w:t>
            </w:r>
          </w:p>
        </w:tc>
        <w:tc>
          <w:tcPr>
            <w:tcW w:w="2551" w:type="dxa"/>
            <w:vAlign w:val="center"/>
          </w:tcPr>
          <w:p>
            <w:pPr>
              <w:pStyle w:val="11"/>
            </w:pPr>
            <w:r>
              <w:t>26.09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3.33</w:t>
            </w:r>
          </w:p>
        </w:tc>
        <w:tc>
          <w:tcPr>
            <w:tcW w:w="2551" w:type="dxa"/>
            <w:vAlign w:val="center"/>
          </w:tcPr>
          <w:p>
            <w:pPr>
              <w:pStyle w:val="11"/>
            </w:pPr>
            <w:r>
              <w:t>3.33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22.95</w:t>
            </w:r>
          </w:p>
        </w:tc>
        <w:tc>
          <w:tcPr>
            <w:tcW w:w="2551" w:type="dxa"/>
            <w:vAlign w:val="center"/>
          </w:tcPr>
          <w:p>
            <w:pPr>
              <w:pStyle w:val="11"/>
            </w:pPr>
            <w:r>
              <w:t>22.95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7.31</w:t>
            </w:r>
          </w:p>
        </w:tc>
        <w:tc>
          <w:tcPr>
            <w:tcW w:w="2551" w:type="dxa"/>
            <w:vAlign w:val="center"/>
          </w:tcPr>
          <w:p>
            <w:pPr>
              <w:pStyle w:val="11"/>
            </w:pPr>
            <w:r>
              <w:t>7.31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2.97</w:t>
            </w:r>
          </w:p>
        </w:tc>
        <w:tc>
          <w:tcPr>
            <w:tcW w:w="2551" w:type="dxa"/>
            <w:vAlign w:val="center"/>
          </w:tcPr>
          <w:p>
            <w:pPr>
              <w:pStyle w:val="11"/>
            </w:pPr>
            <w:r>
              <w:t>2.97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1.51</w:t>
            </w:r>
          </w:p>
        </w:tc>
        <w:tc>
          <w:tcPr>
            <w:tcW w:w="2551" w:type="dxa"/>
            <w:vAlign w:val="center"/>
          </w:tcPr>
          <w:p>
            <w:pPr>
              <w:pStyle w:val="11"/>
            </w:pPr>
            <w:r>
              <w:t>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0.57</w:t>
            </w:r>
          </w:p>
        </w:tc>
        <w:tc>
          <w:tcPr>
            <w:tcW w:w="2551" w:type="dxa"/>
            <w:vAlign w:val="center"/>
          </w:tcPr>
          <w:p>
            <w:pPr>
              <w:pStyle w:val="11"/>
            </w:pPr>
            <w:r>
              <w:t>0.57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5.88</w:t>
            </w:r>
          </w:p>
        </w:tc>
        <w:tc>
          <w:tcPr>
            <w:tcW w:w="2551" w:type="dxa"/>
            <w:vAlign w:val="center"/>
          </w:tcPr>
          <w:p>
            <w:pPr>
              <w:pStyle w:val="11"/>
            </w:pPr>
            <w:r>
              <w:t>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4.09</w:t>
            </w:r>
          </w:p>
        </w:tc>
        <w:tc>
          <w:tcPr>
            <w:tcW w:w="2551" w:type="dxa"/>
            <w:vAlign w:val="center"/>
          </w:tcPr>
          <w:p>
            <w:pPr>
              <w:pStyle w:val="11"/>
            </w:pPr>
          </w:p>
        </w:tc>
        <w:tc>
          <w:tcPr>
            <w:tcW w:w="2551" w:type="dxa"/>
            <w:vAlign w:val="center"/>
          </w:tcPr>
          <w:p>
            <w:pPr>
              <w:pStyle w:val="11"/>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1.04</w:t>
            </w:r>
          </w:p>
        </w:tc>
        <w:tc>
          <w:tcPr>
            <w:tcW w:w="2551" w:type="dxa"/>
            <w:vAlign w:val="center"/>
          </w:tcPr>
          <w:p>
            <w:pPr>
              <w:pStyle w:val="11"/>
            </w:pPr>
          </w:p>
        </w:tc>
        <w:tc>
          <w:tcPr>
            <w:tcW w:w="2551"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0.48</w:t>
            </w:r>
          </w:p>
        </w:tc>
        <w:tc>
          <w:tcPr>
            <w:tcW w:w="2551" w:type="dxa"/>
            <w:vAlign w:val="center"/>
          </w:tcPr>
          <w:p>
            <w:pPr>
              <w:pStyle w:val="11"/>
            </w:pPr>
          </w:p>
        </w:tc>
        <w:tc>
          <w:tcPr>
            <w:tcW w:w="2551"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0.55</w:t>
            </w:r>
          </w:p>
        </w:tc>
        <w:tc>
          <w:tcPr>
            <w:tcW w:w="2551" w:type="dxa"/>
            <w:vAlign w:val="center"/>
          </w:tcPr>
          <w:p>
            <w:pPr>
              <w:pStyle w:val="11"/>
            </w:pPr>
          </w:p>
        </w:tc>
        <w:tc>
          <w:tcPr>
            <w:tcW w:w="2551"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1.18</w:t>
            </w:r>
          </w:p>
        </w:tc>
        <w:tc>
          <w:tcPr>
            <w:tcW w:w="2551" w:type="dxa"/>
            <w:vAlign w:val="center"/>
          </w:tcPr>
          <w:p>
            <w:pPr>
              <w:pStyle w:val="11"/>
            </w:pPr>
          </w:p>
        </w:tc>
        <w:tc>
          <w:tcPr>
            <w:tcW w:w="2551" w:type="dxa"/>
            <w:vAlign w:val="center"/>
          </w:tcPr>
          <w:p>
            <w:pPr>
              <w:pStyle w:val="11"/>
            </w:pPr>
            <w:r>
              <w:t>1.18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318006晋州市综合治税服务中心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318006晋州市综合治税服务中心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318006晋州市综合治税服务中心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晋州市综合治税服务中心2026年单位预算信息公开情况说明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按照《中华人民共和国预算法》、《地方预决算公开操作规程》和《关于进一步推进预算公开工作的实施意见》规定，现将晋州市综合治税服务中心2026年单位预算公开如下：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政府非税收入和政府性基金管理，按规定管理行政事业性收费；管理财政票据；贯彻实施彩票管理政策，参与制定彩票管理有关办法，参与管理彩票市场，接规定管理彩票资金。负责组织、协调国税、地税等部门，加强税收综合治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晋州市综合治税服务中心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74.70万元，其中：一般公共预算收入74.70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综合治税服务中心年度单位预算中支出预算的总体情况。2026年支出预算74.70万元，其中基本支出74.70万元，包括人员经费70.61万元和日常公用经费4.09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74.70万元，较2025年预算增加4.35万元，其中：基本支出增加4.35万元，主要为职工工资水平提高导致基本支出相应增加。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2026年，我单位机关运行经费共计安排4.09万元，主要用于日常维修、办公用房水电费、办公用房取暖费、办公用房物业管理费等日常运行支出。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360" w:lineRule="auto"/>
        <w:ind w:firstLine="560" w:firstLineChars="200"/>
        <w:outlineLvl w:val="2"/>
        <w:rPr>
          <w:rFonts w:ascii="黑体" w:hAnsi="黑体" w:eastAsia="黑体" w:cs="黑体"/>
          <w:color w:val="000000"/>
          <w:sz w:val="32"/>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318006晋州市综合治税服务中心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晋州市综合治税服务中心上年末固定资产金额为0.00万元（详见下表）。本年度拟购置固定资产总额为0.00万元，已按要求列入政府采购预算，详见政府采购预算表。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318006晋州市综合治税服务中心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8F6B9F"/>
    <w:multiLevelType w:val="singleLevel"/>
    <w:tmpl w:val="E88F6B9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FB3BB6"/>
    <w:rsid w:val="2BCD6698"/>
    <w:rsid w:val="34C10813"/>
    <w:rsid w:val="49D844C2"/>
    <w:rsid w:val="69B20A85"/>
    <w:rsid w:val="784C5AA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126</Pages>
  <TotalTime>2</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2026-03-02T14:35:00Z</dcterms:created>
  <dc:creator>Administrator</dc:creator>
  <cp:lastModifiedBy>Administrator</cp:lastModifiedBy>
  <dcterms:modified xsi:type="dcterms:W3CDTF">2026-03-02T09:03:16Z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