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318晋州市财政局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2220.71</w:t>
            </w:r>
          </w:p>
        </w:tc>
        <w:tc>
          <w:tcPr>
            <w:tcW w:w="4535" w:type="dxa"/>
            <w:vAlign w:val="center"/>
          </w:tcPr>
          <w:p>
            <w:pPr>
              <w:pStyle w:val="13"/>
            </w:pPr>
            <w:r>
              <w:t>一、一般公共服务支出</w:t>
            </w:r>
          </w:p>
        </w:tc>
        <w:tc>
          <w:tcPr>
            <w:tcW w:w="2126" w:type="dxa"/>
            <w:vAlign w:val="center"/>
          </w:tcPr>
          <w:p>
            <w:pPr>
              <w:pStyle w:val="12"/>
            </w:pPr>
            <w:r>
              <w:t>2220.71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2220.71</w:t>
            </w:r>
          </w:p>
        </w:tc>
        <w:tc>
          <w:tcPr>
            <w:tcW w:w="4535" w:type="dxa"/>
            <w:vAlign w:val="center"/>
          </w:tcPr>
          <w:p>
            <w:pPr>
              <w:pStyle w:val="15"/>
            </w:pPr>
            <w:r>
              <w:t>本年支出合计</w:t>
            </w:r>
          </w:p>
        </w:tc>
        <w:tc>
          <w:tcPr>
            <w:tcW w:w="2126" w:type="dxa"/>
            <w:vAlign w:val="center"/>
          </w:tcPr>
          <w:p>
            <w:pPr>
              <w:pStyle w:val="16"/>
            </w:pPr>
            <w:r>
              <w:t>2220.71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2220.71</w:t>
            </w:r>
          </w:p>
        </w:tc>
        <w:tc>
          <w:tcPr>
            <w:tcW w:w="4535" w:type="dxa"/>
            <w:vAlign w:val="center"/>
          </w:tcPr>
          <w:p>
            <w:pPr>
              <w:pStyle w:val="15"/>
            </w:pPr>
            <w:r>
              <w:t>支出总计</w:t>
            </w:r>
          </w:p>
        </w:tc>
        <w:tc>
          <w:tcPr>
            <w:tcW w:w="2126" w:type="dxa"/>
            <w:vAlign w:val="center"/>
          </w:tcPr>
          <w:p>
            <w:pPr>
              <w:pStyle w:val="16"/>
            </w:pPr>
            <w:r>
              <w:t>2220.71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318晋州市财政局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2220.71</w:t>
            </w:r>
          </w:p>
        </w:tc>
        <w:tc>
          <w:tcPr>
            <w:tcW w:w="1134" w:type="dxa"/>
            <w:vAlign w:val="center"/>
          </w:tcPr>
          <w:p>
            <w:pPr>
              <w:pStyle w:val="16"/>
            </w:pPr>
            <w:r>
              <w:t>2220.71</w:t>
            </w:r>
          </w:p>
        </w:tc>
        <w:tc>
          <w:tcPr>
            <w:tcW w:w="1134" w:type="dxa"/>
            <w:vAlign w:val="center"/>
          </w:tcPr>
          <w:p>
            <w:pPr>
              <w:pStyle w:val="16"/>
            </w:pPr>
            <w:r>
              <w:t>2220.71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2220.71</w:t>
            </w:r>
          </w:p>
        </w:tc>
        <w:tc>
          <w:tcPr>
            <w:tcW w:w="1134" w:type="dxa"/>
            <w:vAlign w:val="center"/>
          </w:tcPr>
          <w:p>
            <w:pPr>
              <w:pStyle w:val="12"/>
            </w:pPr>
            <w:r>
              <w:t>2220.71</w:t>
            </w:r>
          </w:p>
        </w:tc>
        <w:tc>
          <w:tcPr>
            <w:tcW w:w="1134" w:type="dxa"/>
            <w:vAlign w:val="center"/>
          </w:tcPr>
          <w:p>
            <w:pPr>
              <w:pStyle w:val="12"/>
            </w:pPr>
            <w:r>
              <w:t>2220.71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2220.71</w:t>
            </w:r>
          </w:p>
        </w:tc>
        <w:tc>
          <w:tcPr>
            <w:tcW w:w="1134" w:type="dxa"/>
            <w:vAlign w:val="center"/>
          </w:tcPr>
          <w:p>
            <w:pPr>
              <w:pStyle w:val="12"/>
            </w:pPr>
            <w:r>
              <w:t>2220.71</w:t>
            </w:r>
          </w:p>
        </w:tc>
        <w:tc>
          <w:tcPr>
            <w:tcW w:w="1134" w:type="dxa"/>
            <w:vAlign w:val="center"/>
          </w:tcPr>
          <w:p>
            <w:pPr>
              <w:pStyle w:val="12"/>
            </w:pPr>
            <w:r>
              <w:t>2220.71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1318.78</w:t>
            </w:r>
          </w:p>
        </w:tc>
        <w:tc>
          <w:tcPr>
            <w:tcW w:w="1134" w:type="dxa"/>
            <w:vAlign w:val="center"/>
          </w:tcPr>
          <w:p>
            <w:pPr>
              <w:pStyle w:val="12"/>
            </w:pPr>
            <w:r>
              <w:t>1318.78</w:t>
            </w:r>
          </w:p>
        </w:tc>
        <w:tc>
          <w:tcPr>
            <w:tcW w:w="1134" w:type="dxa"/>
            <w:vAlign w:val="center"/>
          </w:tcPr>
          <w:p>
            <w:pPr>
              <w:pStyle w:val="12"/>
            </w:pPr>
            <w:r>
              <w:t>1318.78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601.93</w:t>
            </w:r>
          </w:p>
        </w:tc>
        <w:tc>
          <w:tcPr>
            <w:tcW w:w="1134" w:type="dxa"/>
            <w:vAlign w:val="center"/>
          </w:tcPr>
          <w:p>
            <w:pPr>
              <w:pStyle w:val="12"/>
            </w:pPr>
            <w:r>
              <w:t>601.93</w:t>
            </w:r>
          </w:p>
        </w:tc>
        <w:tc>
          <w:tcPr>
            <w:tcW w:w="1134" w:type="dxa"/>
            <w:vAlign w:val="center"/>
          </w:tcPr>
          <w:p>
            <w:pPr>
              <w:pStyle w:val="12"/>
            </w:pPr>
            <w:r>
              <w:t>601.93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2010699</w:t>
            </w:r>
          </w:p>
        </w:tc>
        <w:tc>
          <w:tcPr>
            <w:tcW w:w="1559" w:type="dxa"/>
            <w:vAlign w:val="center"/>
          </w:tcPr>
          <w:p>
            <w:pPr>
              <w:pStyle w:val="13"/>
            </w:pPr>
            <w:r>
              <w:t>其他财政事务支出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2220.71</w:t>
            </w:r>
          </w:p>
        </w:tc>
        <w:tc>
          <w:tcPr>
            <w:tcW w:w="1361" w:type="dxa"/>
            <w:vAlign w:val="center"/>
          </w:tcPr>
          <w:p>
            <w:pPr>
              <w:pStyle w:val="16"/>
            </w:pPr>
            <w:r>
              <w:t>1618.78</w:t>
            </w:r>
          </w:p>
        </w:tc>
        <w:tc>
          <w:tcPr>
            <w:tcW w:w="1361" w:type="dxa"/>
            <w:vAlign w:val="center"/>
          </w:tcPr>
          <w:p>
            <w:pPr>
              <w:pStyle w:val="16"/>
            </w:pPr>
            <w:r>
              <w:t>601.93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2220.71</w:t>
            </w:r>
          </w:p>
        </w:tc>
        <w:tc>
          <w:tcPr>
            <w:tcW w:w="1361" w:type="dxa"/>
            <w:vAlign w:val="center"/>
          </w:tcPr>
          <w:p>
            <w:pPr>
              <w:pStyle w:val="12"/>
            </w:pPr>
            <w:r>
              <w:t>1618.78</w:t>
            </w:r>
          </w:p>
        </w:tc>
        <w:tc>
          <w:tcPr>
            <w:tcW w:w="1361" w:type="dxa"/>
            <w:vAlign w:val="center"/>
          </w:tcPr>
          <w:p>
            <w:pPr>
              <w:pStyle w:val="12"/>
            </w:pPr>
            <w:r>
              <w:t>601.93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2220.71</w:t>
            </w:r>
          </w:p>
        </w:tc>
        <w:tc>
          <w:tcPr>
            <w:tcW w:w="1361" w:type="dxa"/>
            <w:vAlign w:val="center"/>
          </w:tcPr>
          <w:p>
            <w:pPr>
              <w:pStyle w:val="12"/>
            </w:pPr>
            <w:r>
              <w:t>1618.78</w:t>
            </w:r>
          </w:p>
        </w:tc>
        <w:tc>
          <w:tcPr>
            <w:tcW w:w="1361" w:type="dxa"/>
            <w:vAlign w:val="center"/>
          </w:tcPr>
          <w:p>
            <w:pPr>
              <w:pStyle w:val="12"/>
            </w:pPr>
            <w:r>
              <w:t>601.93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1318.78</w:t>
            </w:r>
          </w:p>
        </w:tc>
        <w:tc>
          <w:tcPr>
            <w:tcW w:w="1361" w:type="dxa"/>
            <w:vAlign w:val="center"/>
          </w:tcPr>
          <w:p>
            <w:pPr>
              <w:pStyle w:val="12"/>
            </w:pPr>
            <w:r>
              <w:t>1318.78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601.93</w:t>
            </w:r>
          </w:p>
        </w:tc>
        <w:tc>
          <w:tcPr>
            <w:tcW w:w="1361" w:type="dxa"/>
            <w:vAlign w:val="center"/>
          </w:tcPr>
          <w:p>
            <w:pPr>
              <w:pStyle w:val="12"/>
            </w:pPr>
          </w:p>
        </w:tc>
        <w:tc>
          <w:tcPr>
            <w:tcW w:w="1361" w:type="dxa"/>
            <w:vAlign w:val="center"/>
          </w:tcPr>
          <w:p>
            <w:pPr>
              <w:pStyle w:val="12"/>
            </w:pPr>
            <w:r>
              <w:t>601.93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2010699</w:t>
            </w:r>
          </w:p>
        </w:tc>
        <w:tc>
          <w:tcPr>
            <w:tcW w:w="4535" w:type="dxa"/>
            <w:vAlign w:val="center"/>
          </w:tcPr>
          <w:p>
            <w:pPr>
              <w:pStyle w:val="13"/>
            </w:pPr>
            <w:r>
              <w:t>其他财政事务支出</w:t>
            </w:r>
          </w:p>
        </w:tc>
        <w:tc>
          <w:tcPr>
            <w:tcW w:w="1361" w:type="dxa"/>
            <w:vAlign w:val="center"/>
          </w:tcPr>
          <w:p>
            <w:pPr>
              <w:pStyle w:val="12"/>
            </w:pPr>
            <w:r>
              <w:t>300.00</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2220.71</w:t>
            </w:r>
          </w:p>
        </w:tc>
        <w:tc>
          <w:tcPr>
            <w:tcW w:w="3402" w:type="dxa"/>
            <w:vAlign w:val="center"/>
          </w:tcPr>
          <w:p>
            <w:pPr>
              <w:pStyle w:val="13"/>
            </w:pPr>
            <w:r>
              <w:t>一、一般公共服务支出</w:t>
            </w:r>
          </w:p>
        </w:tc>
        <w:tc>
          <w:tcPr>
            <w:tcW w:w="1474" w:type="dxa"/>
            <w:vAlign w:val="center"/>
          </w:tcPr>
          <w:p>
            <w:pPr>
              <w:pStyle w:val="12"/>
            </w:pPr>
            <w:r>
              <w:t>2220.71</w:t>
            </w:r>
          </w:p>
        </w:tc>
        <w:tc>
          <w:tcPr>
            <w:tcW w:w="1474" w:type="dxa"/>
            <w:vAlign w:val="center"/>
          </w:tcPr>
          <w:p>
            <w:pPr>
              <w:pStyle w:val="12"/>
            </w:pPr>
            <w:r>
              <w:t>2220.71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2220.71</w:t>
            </w:r>
          </w:p>
        </w:tc>
        <w:tc>
          <w:tcPr>
            <w:tcW w:w="3402" w:type="dxa"/>
            <w:vAlign w:val="center"/>
          </w:tcPr>
          <w:p>
            <w:pPr>
              <w:pStyle w:val="15"/>
            </w:pPr>
            <w:r>
              <w:t>本年支出合计</w:t>
            </w:r>
          </w:p>
        </w:tc>
        <w:tc>
          <w:tcPr>
            <w:tcW w:w="1474" w:type="dxa"/>
            <w:vAlign w:val="center"/>
          </w:tcPr>
          <w:p>
            <w:pPr>
              <w:pStyle w:val="16"/>
            </w:pPr>
            <w:r>
              <w:t>2220.71</w:t>
            </w:r>
          </w:p>
        </w:tc>
        <w:tc>
          <w:tcPr>
            <w:tcW w:w="1474" w:type="dxa"/>
            <w:vAlign w:val="center"/>
          </w:tcPr>
          <w:p>
            <w:pPr>
              <w:pStyle w:val="16"/>
            </w:pPr>
            <w:r>
              <w:t>2220.71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2220.71</w:t>
            </w:r>
          </w:p>
        </w:tc>
        <w:tc>
          <w:tcPr>
            <w:tcW w:w="3402" w:type="dxa"/>
            <w:vAlign w:val="center"/>
          </w:tcPr>
          <w:p>
            <w:pPr>
              <w:pStyle w:val="15"/>
            </w:pPr>
            <w:r>
              <w:t>支出总计</w:t>
            </w:r>
          </w:p>
        </w:tc>
        <w:tc>
          <w:tcPr>
            <w:tcW w:w="1474" w:type="dxa"/>
            <w:vAlign w:val="center"/>
          </w:tcPr>
          <w:p>
            <w:pPr>
              <w:pStyle w:val="16"/>
            </w:pPr>
            <w:r>
              <w:t>2220.71</w:t>
            </w:r>
          </w:p>
        </w:tc>
        <w:tc>
          <w:tcPr>
            <w:tcW w:w="1474" w:type="dxa"/>
            <w:vAlign w:val="center"/>
          </w:tcPr>
          <w:p>
            <w:pPr>
              <w:pStyle w:val="16"/>
            </w:pPr>
            <w:r>
              <w:t>2220.71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2220.71</w:t>
            </w:r>
          </w:p>
        </w:tc>
        <w:tc>
          <w:tcPr>
            <w:tcW w:w="2551" w:type="dxa"/>
            <w:vAlign w:val="center"/>
          </w:tcPr>
          <w:p>
            <w:pPr>
              <w:pStyle w:val="16"/>
            </w:pPr>
            <w:r>
              <w:t>1618.78</w:t>
            </w:r>
          </w:p>
        </w:tc>
        <w:tc>
          <w:tcPr>
            <w:tcW w:w="2551" w:type="dxa"/>
            <w:vAlign w:val="center"/>
          </w:tcPr>
          <w:p>
            <w:pPr>
              <w:pStyle w:val="16"/>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2220.71</w:t>
            </w:r>
          </w:p>
        </w:tc>
        <w:tc>
          <w:tcPr>
            <w:tcW w:w="2551" w:type="dxa"/>
            <w:vAlign w:val="center"/>
          </w:tcPr>
          <w:p>
            <w:pPr>
              <w:pStyle w:val="12"/>
            </w:pPr>
            <w:r>
              <w:t>1618.78</w:t>
            </w:r>
          </w:p>
        </w:tc>
        <w:tc>
          <w:tcPr>
            <w:tcW w:w="2551" w:type="dxa"/>
            <w:vAlign w:val="center"/>
          </w:tcPr>
          <w:p>
            <w:pPr>
              <w:pStyle w:val="12"/>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2220.71</w:t>
            </w:r>
          </w:p>
        </w:tc>
        <w:tc>
          <w:tcPr>
            <w:tcW w:w="2551" w:type="dxa"/>
            <w:vAlign w:val="center"/>
          </w:tcPr>
          <w:p>
            <w:pPr>
              <w:pStyle w:val="12"/>
            </w:pPr>
            <w:r>
              <w:t>1618.78</w:t>
            </w:r>
          </w:p>
        </w:tc>
        <w:tc>
          <w:tcPr>
            <w:tcW w:w="2551" w:type="dxa"/>
            <w:vAlign w:val="center"/>
          </w:tcPr>
          <w:p>
            <w:pPr>
              <w:pStyle w:val="12"/>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1318.78</w:t>
            </w:r>
          </w:p>
        </w:tc>
        <w:tc>
          <w:tcPr>
            <w:tcW w:w="2551" w:type="dxa"/>
            <w:vAlign w:val="center"/>
          </w:tcPr>
          <w:p>
            <w:pPr>
              <w:pStyle w:val="12"/>
            </w:pPr>
            <w:r>
              <w:t>1318.78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601.93</w:t>
            </w:r>
          </w:p>
        </w:tc>
        <w:tc>
          <w:tcPr>
            <w:tcW w:w="2551" w:type="dxa"/>
            <w:vAlign w:val="center"/>
          </w:tcPr>
          <w:p>
            <w:pPr>
              <w:pStyle w:val="12"/>
            </w:pPr>
          </w:p>
        </w:tc>
        <w:tc>
          <w:tcPr>
            <w:tcW w:w="2551" w:type="dxa"/>
            <w:vAlign w:val="center"/>
          </w:tcPr>
          <w:p>
            <w:pPr>
              <w:pStyle w:val="12"/>
            </w:pPr>
            <w:r>
              <w:t>601.93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2010699</w:t>
            </w:r>
          </w:p>
        </w:tc>
        <w:tc>
          <w:tcPr>
            <w:tcW w:w="4535" w:type="dxa"/>
            <w:vAlign w:val="center"/>
          </w:tcPr>
          <w:p>
            <w:pPr>
              <w:pStyle w:val="13"/>
            </w:pPr>
            <w:r>
              <w:t>其他财政事务支出</w:t>
            </w:r>
          </w:p>
        </w:tc>
        <w:tc>
          <w:tcPr>
            <w:tcW w:w="2551" w:type="dxa"/>
            <w:vAlign w:val="center"/>
          </w:tcPr>
          <w:p>
            <w:pPr>
              <w:pStyle w:val="12"/>
            </w:pPr>
            <w:r>
              <w:t>300.00</w:t>
            </w:r>
          </w:p>
        </w:tc>
        <w:tc>
          <w:tcPr>
            <w:tcW w:w="2551" w:type="dxa"/>
            <w:vAlign w:val="center"/>
          </w:tcPr>
          <w:p>
            <w:pPr>
              <w:pStyle w:val="12"/>
            </w:pPr>
            <w:r>
              <w:t>300.00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1618.78</w:t>
            </w:r>
          </w:p>
        </w:tc>
        <w:tc>
          <w:tcPr>
            <w:tcW w:w="2551" w:type="dxa"/>
            <w:vAlign w:val="center"/>
          </w:tcPr>
          <w:p>
            <w:pPr>
              <w:pStyle w:val="16"/>
            </w:pPr>
            <w:r>
              <w:t>1470.43</w:t>
            </w:r>
          </w:p>
        </w:tc>
        <w:tc>
          <w:tcPr>
            <w:tcW w:w="2551" w:type="dxa"/>
            <w:vAlign w:val="center"/>
          </w:tcPr>
          <w:p>
            <w:pPr>
              <w:pStyle w:val="16"/>
            </w:pPr>
            <w:r>
              <w:t>148.35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1286.18</w:t>
            </w:r>
          </w:p>
        </w:tc>
        <w:tc>
          <w:tcPr>
            <w:tcW w:w="2551" w:type="dxa"/>
            <w:vAlign w:val="center"/>
          </w:tcPr>
          <w:p>
            <w:pPr>
              <w:pStyle w:val="12"/>
            </w:pPr>
            <w:r>
              <w:t>1286.18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410.43</w:t>
            </w:r>
          </w:p>
        </w:tc>
        <w:tc>
          <w:tcPr>
            <w:tcW w:w="2551" w:type="dxa"/>
            <w:vAlign w:val="center"/>
          </w:tcPr>
          <w:p>
            <w:pPr>
              <w:pStyle w:val="12"/>
            </w:pPr>
            <w:r>
              <w:t>410.43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124.64</w:t>
            </w:r>
          </w:p>
        </w:tc>
        <w:tc>
          <w:tcPr>
            <w:tcW w:w="2551" w:type="dxa"/>
            <w:vAlign w:val="center"/>
          </w:tcPr>
          <w:p>
            <w:pPr>
              <w:pStyle w:val="12"/>
            </w:pPr>
            <w:r>
              <w:t>124.64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91.21</w:t>
            </w:r>
          </w:p>
        </w:tc>
        <w:tc>
          <w:tcPr>
            <w:tcW w:w="2551" w:type="dxa"/>
            <w:vAlign w:val="center"/>
          </w:tcPr>
          <w:p>
            <w:pPr>
              <w:pStyle w:val="12"/>
            </w:pPr>
            <w:r>
              <w:t>91.21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171.39</w:t>
            </w:r>
          </w:p>
        </w:tc>
        <w:tc>
          <w:tcPr>
            <w:tcW w:w="2551" w:type="dxa"/>
            <w:vAlign w:val="center"/>
          </w:tcPr>
          <w:p>
            <w:pPr>
              <w:pStyle w:val="12"/>
            </w:pPr>
            <w:r>
              <w:t>171.39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102.66</w:t>
            </w:r>
          </w:p>
        </w:tc>
        <w:tc>
          <w:tcPr>
            <w:tcW w:w="2551" w:type="dxa"/>
            <w:vAlign w:val="center"/>
          </w:tcPr>
          <w:p>
            <w:pPr>
              <w:pStyle w:val="12"/>
            </w:pPr>
            <w:r>
              <w:t>102.66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13.36</w:t>
            </w:r>
          </w:p>
        </w:tc>
        <w:tc>
          <w:tcPr>
            <w:tcW w:w="2551" w:type="dxa"/>
            <w:vAlign w:val="center"/>
          </w:tcPr>
          <w:p>
            <w:pPr>
              <w:pStyle w:val="12"/>
            </w:pPr>
            <w:r>
              <w:t>13.36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42.23</w:t>
            </w:r>
          </w:p>
        </w:tc>
        <w:tc>
          <w:tcPr>
            <w:tcW w:w="2551" w:type="dxa"/>
            <w:vAlign w:val="center"/>
          </w:tcPr>
          <w:p>
            <w:pPr>
              <w:pStyle w:val="12"/>
            </w:pPr>
            <w:r>
              <w:t>42.23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15.48</w:t>
            </w:r>
          </w:p>
        </w:tc>
        <w:tc>
          <w:tcPr>
            <w:tcW w:w="2551" w:type="dxa"/>
            <w:vAlign w:val="center"/>
          </w:tcPr>
          <w:p>
            <w:pPr>
              <w:pStyle w:val="12"/>
            </w:pPr>
            <w:r>
              <w:t>15.48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6.56</w:t>
            </w:r>
          </w:p>
        </w:tc>
        <w:tc>
          <w:tcPr>
            <w:tcW w:w="2551" w:type="dxa"/>
            <w:vAlign w:val="center"/>
          </w:tcPr>
          <w:p>
            <w:pPr>
              <w:pStyle w:val="12"/>
            </w:pPr>
            <w:r>
              <w:t>6.56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82.89</w:t>
            </w:r>
          </w:p>
        </w:tc>
        <w:tc>
          <w:tcPr>
            <w:tcW w:w="2551" w:type="dxa"/>
            <w:vAlign w:val="center"/>
          </w:tcPr>
          <w:p>
            <w:pPr>
              <w:pStyle w:val="12"/>
            </w:pPr>
            <w:r>
              <w:t>82.89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225.33</w:t>
            </w:r>
          </w:p>
        </w:tc>
        <w:tc>
          <w:tcPr>
            <w:tcW w:w="2551" w:type="dxa"/>
            <w:vAlign w:val="center"/>
          </w:tcPr>
          <w:p>
            <w:pPr>
              <w:pStyle w:val="12"/>
            </w:pPr>
            <w:r>
              <w:t>225.33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148.35</w:t>
            </w:r>
          </w:p>
        </w:tc>
        <w:tc>
          <w:tcPr>
            <w:tcW w:w="2551" w:type="dxa"/>
            <w:vAlign w:val="center"/>
          </w:tcPr>
          <w:p>
            <w:pPr>
              <w:pStyle w:val="12"/>
            </w:pPr>
          </w:p>
        </w:tc>
        <w:tc>
          <w:tcPr>
            <w:tcW w:w="2551" w:type="dxa"/>
            <w:vAlign w:val="center"/>
          </w:tcPr>
          <w:p>
            <w:pPr>
              <w:pStyle w:val="12"/>
            </w:pPr>
            <w:r>
              <w:t>148.35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23.77</w:t>
            </w:r>
          </w:p>
        </w:tc>
        <w:tc>
          <w:tcPr>
            <w:tcW w:w="2551" w:type="dxa"/>
            <w:vAlign w:val="center"/>
          </w:tcPr>
          <w:p>
            <w:pPr>
              <w:pStyle w:val="12"/>
            </w:pPr>
          </w:p>
        </w:tc>
        <w:tc>
          <w:tcPr>
            <w:tcW w:w="2551" w:type="dxa"/>
            <w:vAlign w:val="center"/>
          </w:tcPr>
          <w:p>
            <w:pPr>
              <w:pStyle w:val="12"/>
            </w:pPr>
            <w:r>
              <w:t>23.77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1.07</w:t>
            </w:r>
          </w:p>
        </w:tc>
        <w:tc>
          <w:tcPr>
            <w:tcW w:w="2551" w:type="dxa"/>
            <w:vAlign w:val="center"/>
          </w:tcPr>
          <w:p>
            <w:pPr>
              <w:pStyle w:val="12"/>
            </w:pPr>
          </w:p>
        </w:tc>
        <w:tc>
          <w:tcPr>
            <w:tcW w:w="2551" w:type="dxa"/>
            <w:vAlign w:val="center"/>
          </w:tcPr>
          <w:p>
            <w:pPr>
              <w:pStyle w:val="12"/>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7.56</w:t>
            </w:r>
          </w:p>
        </w:tc>
        <w:tc>
          <w:tcPr>
            <w:tcW w:w="2551" w:type="dxa"/>
            <w:vAlign w:val="center"/>
          </w:tcPr>
          <w:p>
            <w:pPr>
              <w:pStyle w:val="12"/>
            </w:pPr>
          </w:p>
        </w:tc>
        <w:tc>
          <w:tcPr>
            <w:tcW w:w="2551" w:type="dxa"/>
            <w:vAlign w:val="center"/>
          </w:tcPr>
          <w:p>
            <w:pPr>
              <w:pStyle w:val="12"/>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25.17</w:t>
            </w:r>
          </w:p>
        </w:tc>
        <w:tc>
          <w:tcPr>
            <w:tcW w:w="2551" w:type="dxa"/>
            <w:vAlign w:val="center"/>
          </w:tcPr>
          <w:p>
            <w:pPr>
              <w:pStyle w:val="12"/>
            </w:pPr>
          </w:p>
        </w:tc>
        <w:tc>
          <w:tcPr>
            <w:tcW w:w="2551" w:type="dxa"/>
            <w:vAlign w:val="center"/>
          </w:tcPr>
          <w:p>
            <w:pPr>
              <w:pStyle w:val="12"/>
            </w:pPr>
            <w:r>
              <w:t>25.17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20.35</w:t>
            </w:r>
          </w:p>
        </w:tc>
        <w:tc>
          <w:tcPr>
            <w:tcW w:w="2551" w:type="dxa"/>
            <w:vAlign w:val="center"/>
          </w:tcPr>
          <w:p>
            <w:pPr>
              <w:pStyle w:val="12"/>
            </w:pPr>
          </w:p>
        </w:tc>
        <w:tc>
          <w:tcPr>
            <w:tcW w:w="2551" w:type="dxa"/>
            <w:vAlign w:val="center"/>
          </w:tcPr>
          <w:p>
            <w:pPr>
              <w:pStyle w:val="12"/>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10.05</w:t>
            </w:r>
          </w:p>
        </w:tc>
        <w:tc>
          <w:tcPr>
            <w:tcW w:w="2551" w:type="dxa"/>
            <w:vAlign w:val="center"/>
          </w:tcPr>
          <w:p>
            <w:pPr>
              <w:pStyle w:val="12"/>
            </w:pPr>
          </w:p>
        </w:tc>
        <w:tc>
          <w:tcPr>
            <w:tcW w:w="2551" w:type="dxa"/>
            <w:vAlign w:val="center"/>
          </w:tcPr>
          <w:p>
            <w:pPr>
              <w:pStyle w:val="12"/>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30.73</w:t>
            </w:r>
          </w:p>
        </w:tc>
        <w:tc>
          <w:tcPr>
            <w:tcW w:w="2551" w:type="dxa"/>
            <w:vAlign w:val="center"/>
          </w:tcPr>
          <w:p>
            <w:pPr>
              <w:pStyle w:val="12"/>
            </w:pPr>
          </w:p>
        </w:tc>
        <w:tc>
          <w:tcPr>
            <w:tcW w:w="2551" w:type="dxa"/>
            <w:vAlign w:val="center"/>
          </w:tcPr>
          <w:p>
            <w:pPr>
              <w:pStyle w:val="12"/>
            </w:pPr>
            <w:r>
              <w:t>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26.74</w:t>
            </w:r>
          </w:p>
        </w:tc>
        <w:tc>
          <w:tcPr>
            <w:tcW w:w="2551" w:type="dxa"/>
            <w:vAlign w:val="center"/>
          </w:tcPr>
          <w:p>
            <w:pPr>
              <w:pStyle w:val="12"/>
            </w:pPr>
          </w:p>
        </w:tc>
        <w:tc>
          <w:tcPr>
            <w:tcW w:w="2551" w:type="dxa"/>
            <w:vAlign w:val="center"/>
          </w:tcPr>
          <w:p>
            <w:pPr>
              <w:pStyle w:val="12"/>
            </w:pPr>
            <w:r>
              <w:t>26.74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184.25</w:t>
            </w:r>
          </w:p>
        </w:tc>
        <w:tc>
          <w:tcPr>
            <w:tcW w:w="2551" w:type="dxa"/>
            <w:vAlign w:val="center"/>
          </w:tcPr>
          <w:p>
            <w:pPr>
              <w:pStyle w:val="12"/>
            </w:pPr>
            <w:r>
              <w:t>184.25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182.66</w:t>
            </w:r>
          </w:p>
        </w:tc>
        <w:tc>
          <w:tcPr>
            <w:tcW w:w="2551" w:type="dxa"/>
            <w:vAlign w:val="center"/>
          </w:tcPr>
          <w:p>
            <w:pPr>
              <w:pStyle w:val="12"/>
            </w:pPr>
            <w:r>
              <w:t>182.66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1.59</w:t>
            </w:r>
          </w:p>
        </w:tc>
        <w:tc>
          <w:tcPr>
            <w:tcW w:w="2551" w:type="dxa"/>
            <w:vAlign w:val="center"/>
          </w:tcPr>
          <w:p>
            <w:pPr>
              <w:pStyle w:val="12"/>
            </w:pPr>
            <w:r>
              <w:t>1.59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318晋州市财政局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(一)制定财政、预算、财务、会计管理的有关规章制度。</w:t>
      </w:r>
    </w:p>
    <w:p>
      <w:pPr>
        <w:pStyle w:val="18"/>
      </w:pPr>
      <w:r>
        <w:t>(二)承担财政预算管理的责任。负责编制年度市本级预决算草案并组织执行，汇编全市年度预决算草案；受市政府委托，向市人民代表大会报告全市和市本级财政预算及其执行情况，向市人大常委会报告决算；组织制定经费开支标准、定额，负责审核批复部门(单位)的年度预决算。</w:t>
      </w:r>
    </w:p>
    <w:p>
      <w:pPr>
        <w:pStyle w:val="18"/>
      </w:pPr>
      <w:r>
        <w:t xml:space="preserve">(三)承担财政国库管理的责任。组织制定国库管理制度、国库集中收付制度并组织实施，指导市本级国库业务，按规定开展国库现金管理。 </w:t>
      </w:r>
    </w:p>
    <w:p>
      <w:pPr>
        <w:pStyle w:val="18"/>
      </w:pPr>
      <w:r>
        <w:t>(四)负责政府非税收入和政府性基金管理，按规定管理行政事业性收费；管理财政票据；贯彻实施彩票管理政策，参与制定彩票管理有关办法，参与管理彩票市场，接规定管理彩票资金。</w:t>
      </w:r>
    </w:p>
    <w:p>
      <w:pPr>
        <w:pStyle w:val="18"/>
      </w:pPr>
      <w:r>
        <w:t>(五)负责提出上级授权税目税率调整、减免和地方税收政策等重大事项的建议，对地方承担出口退税事务实施监管，监督检查税收政策的执行情况。</w:t>
      </w:r>
    </w:p>
    <w:p>
      <w:pPr>
        <w:pStyle w:val="18"/>
      </w:pPr>
      <w:r>
        <w:t>(六)负责制定行政事业单位国有资产管理规章制度，对市本级行政事业单位国有资产进行监督管理。</w:t>
      </w:r>
    </w:p>
    <w:p>
      <w:pPr>
        <w:pStyle w:val="18"/>
      </w:pPr>
      <w:r>
        <w:t>(七)负责办理市级财政经济发展支出、市政府投资项目的财政拨款，参与拟订市建设投资的有关方案，制定基本建设财务制度；负责有关政策性补贴和专项储备资金财政管理；承担财政投资评审管理工作。</w:t>
      </w:r>
    </w:p>
    <w:p>
      <w:pPr>
        <w:pStyle w:val="18"/>
      </w:pPr>
      <w:r>
        <w:t>(八)会同有关部门管理市级财政社会保障、就业及医疗卫生支出，会同有关部门拟订社会保障资金(基金)的财务管理制度，编制市级社会保障预决算草案。</w:t>
      </w:r>
    </w:p>
    <w:p>
      <w:pPr>
        <w:pStyle w:val="18"/>
      </w:pPr>
      <w:r>
        <w:t>(九)负责管理市政府的国内外债权、债务。执行国家外债管理政策，拟订具体实施办法；根据有关规定，做好外国政府贷款、国际金融组织贷款的对外谈判与磋商工作；负责财政预算内行政、事业单位和社会团体的非贸易外汇管理；受市政府委托会同有关部门处理涉及财政、债务等方面的涉外事务。</w:t>
      </w:r>
    </w:p>
    <w:p>
      <w:pPr>
        <w:pStyle w:val="18"/>
      </w:pPr>
      <w:r>
        <w:t>(十)拟订政府采购相关制度和办法，负责政府采购工作的监督管理，承担全市行政、事业单位公务车辆编制管理工作。</w:t>
      </w:r>
    </w:p>
    <w:p>
      <w:pPr>
        <w:pStyle w:val="18"/>
      </w:pPr>
      <w:r>
        <w:t>(十一)负责管理全市会计工作，监督和规范会计行为，组织实施国家统一的会计制度。</w:t>
      </w:r>
    </w:p>
    <w:p>
      <w:pPr>
        <w:pStyle w:val="18"/>
      </w:pPr>
      <w:r>
        <w:t>(十二)监督检查财税法规、政策的执行情况，依法查处违法违规行为；反映财政收支管理中的重大问题，提出加强财政管理的建议。</w:t>
      </w:r>
    </w:p>
    <w:p>
      <w:pPr>
        <w:pStyle w:val="18"/>
      </w:pPr>
      <w:r>
        <w:t>(十三)负责组织、协调国税、地税等部门，加强税收综合治理。</w:t>
      </w:r>
    </w:p>
    <w:p>
      <w:pPr>
        <w:pStyle w:val="18"/>
      </w:pPr>
      <w:r>
        <w:t>(十四)承办市政府交办的其他事项。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晋州市财政局本级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晋州市财政国库支付中心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晋州市收费中心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晋州市农村财务中心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晋州市综合治税服务中心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bookmarkStart w:id="20" w:name="_GoBack"/>
      <w:bookmarkEnd w:id="20"/>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按照预算管理有关规定，目前部门预算的编制实行综合预算管理，即全部收入和支出都反映在预算中。晋州市财政局机关及所属事业单位的收支包含在部门预算中。</w:t>
      </w:r>
    </w:p>
    <w:p>
      <w:pPr>
        <w:pStyle w:val="19"/>
      </w:pPr>
      <w:r>
        <w:t>1、收入说明</w:t>
      </w:r>
    </w:p>
    <w:p>
      <w:pPr>
        <w:pStyle w:val="19"/>
      </w:pPr>
      <w:r>
        <w:t>反映本部门当年全部收入。2026年预算收入2220.71万元，其中：一般公共预算收入2220.71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财政局年度部门预算中支出预算的总体情况。2026年支出预算2220.71万元，其中基本支出1618.78万元，包括人员经费1470.43万元和日常公用经费148.35万元；项目支出601.93万元，主要为第三方土地增值税清算30万元，财政投资项目评审费300万元，税收合规性检查资金61.93万元，业务费210万元；预计下年使用的单位资金结余0.00万元。委托业务费共计安排391.93万元，主要用于因技术原因确需对外委托的辅助性工作和确有必要对外委托开展咨询、评审、规划等工作。</w:t>
      </w:r>
    </w:p>
    <w:p>
      <w:pPr>
        <w:pStyle w:val="19"/>
      </w:pPr>
      <w:r>
        <w:t>3、比上年增减情况</w:t>
      </w:r>
    </w:p>
    <w:p>
      <w:pPr>
        <w:pStyle w:val="19"/>
      </w:pPr>
      <w:r>
        <w:t>2026年预算收支安排2220.71万元，较2025年预算增加8.70万元，其中：基本支出增加8.70万元，主要为职工工资水平提高导致基本支出相应增加。项目支出增加0.00万元，主要为延续上年度部分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2026年，我部门机关运行经费共计安排148.35万元，主要用于日常维修、办公用房水电费、办公用房取暖费、办公用房物业管理费等日常运行支出。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0.73万元，增减变化的主要原因是响应厉行节俭政策，减少相对应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财政管理目标：构建财政事权清晰、服务社会公共需要、管理科学规范的公共财政体系，继续加大对农业、社保、科技、教育、卫生、环保等公共民生领域的投入。逐步改善税源结构，使财政收入形成稳定增长机制，提高支持经济社会发展能力。围绕建立现代财政制度，深入推进财政改革，稳步提高财政资金使用效率。以充实的财力保障全市“十五五”各项规划全面落实。</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（一）财政收入</w:t>
      </w:r>
    </w:p>
    <w:p>
      <w:pPr>
        <w:pStyle w:val="23"/>
      </w:pPr>
      <w:r>
        <w:t>绩效目标：拟订财税发展规划、政策和改革方案并组织实施。分析预测宏观经济形势，参与制定各项宏观经济政策，提出运用财税政策实施宏观调控和综合平衡社会财力的建议；完善鼓励公益事业发展的财税政策。</w:t>
      </w:r>
    </w:p>
    <w:p>
      <w:pPr>
        <w:pStyle w:val="23"/>
      </w:pPr>
      <w:r>
        <w:t>绩效指标：财政政策制定完成率达到100%；财政政策部署落实及时性达到95%以上。</w:t>
      </w:r>
    </w:p>
    <w:p>
      <w:pPr>
        <w:pStyle w:val="23"/>
      </w:pPr>
      <w:r>
        <w:t>（二）预算管理</w:t>
      </w:r>
    </w:p>
    <w:p>
      <w:pPr>
        <w:pStyle w:val="23"/>
      </w:pPr>
      <w:r>
        <w:t>绩效目标：负责管理市级各项财政收支。按规定编制年度市级预决算草案并组织执行，汇编全市预决算草案。及时公开市级财政预决算。</w:t>
      </w:r>
    </w:p>
    <w:p>
      <w:pPr>
        <w:pStyle w:val="23"/>
      </w:pPr>
      <w:r>
        <w:t>绩效指标：编制预决算草案完成情况达到100%；预决算公开及时性和完成性达到100%。</w:t>
      </w:r>
    </w:p>
    <w:p>
      <w:pPr>
        <w:pStyle w:val="23"/>
      </w:pPr>
      <w:r>
        <w:t>（三）国库管理</w:t>
      </w:r>
    </w:p>
    <w:p>
      <w:pPr>
        <w:pStyle w:val="23"/>
      </w:pPr>
      <w:r>
        <w:t>绩效目标：研究制定国库管理制度、国库集中收付制度。确保国库现金增值运作收益逐年提高；确保国库支出进度；确保总预算会计核算信息真实准确。</w:t>
      </w:r>
    </w:p>
    <w:p>
      <w:pPr>
        <w:pStyle w:val="23"/>
      </w:pPr>
      <w:r>
        <w:t>绩效指标：国库现金增值运作收益较上年提高至少一个百分点；国库支出进度达到考核序时要求；总预算会计核算信息准确率达到95%以上。</w:t>
      </w:r>
    </w:p>
    <w:p>
      <w:pPr>
        <w:pStyle w:val="23"/>
      </w:pPr>
      <w:r>
        <w:t>（四）政府专项工作服务与管理</w:t>
      </w:r>
    </w:p>
    <w:p>
      <w:pPr>
        <w:pStyle w:val="23"/>
      </w:pPr>
      <w:r>
        <w:t>绩效目标：拟订政府债务管理制度和办法并组织实施。对政府债务进行限额管理，按规定组织政府债券申报、转贷和还本付息。</w:t>
      </w:r>
    </w:p>
    <w:p>
      <w:pPr>
        <w:pStyle w:val="23"/>
      </w:pPr>
      <w:r>
        <w:t>绩效指标：新增政府债务限额分配下达完成率达到100%；组织代发政府债券成功率达到100%；资金筹集任务完成率达到95%以上。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1、财政投资项目评审费绩效目标表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13018326P00032810311M</w:t>
            </w:r>
          </w:p>
        </w:tc>
        <w:tc>
          <w:tcPr>
            <w:tcW w:w="2835" w:type="dxa"/>
            <w:vAlign w:val="center"/>
          </w:tcPr>
          <w:p>
            <w:pPr>
              <w:pStyle w:val="11"/>
            </w:pPr>
            <w:r>
              <w:t>项目名称</w:t>
            </w:r>
          </w:p>
        </w:tc>
        <w:tc>
          <w:tcPr>
            <w:tcW w:w="6095" w:type="dxa"/>
            <w:gridSpan w:val="3"/>
            <w:vAlign w:val="center"/>
          </w:tcPr>
          <w:p>
            <w:pPr>
              <w:pStyle w:val="13"/>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委托第三方中介机构对财政投资项目进行评审评估。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1.保障财政投资项目工程施工图预算进行委托中介机构评审顺利进行。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评审项目资金金额</w:t>
            </w:r>
          </w:p>
        </w:tc>
        <w:tc>
          <w:tcPr>
            <w:tcW w:w="5386" w:type="dxa"/>
            <w:vAlign w:val="center"/>
          </w:tcPr>
          <w:p>
            <w:pPr>
              <w:pStyle w:val="13"/>
            </w:pPr>
            <w:r>
              <w:t>评审项目资金金额</w:t>
            </w:r>
          </w:p>
        </w:tc>
        <w:tc>
          <w:tcPr>
            <w:tcW w:w="2268" w:type="dxa"/>
            <w:vAlign w:val="center"/>
          </w:tcPr>
          <w:p>
            <w:pPr>
              <w:pStyle w:val="13"/>
            </w:pPr>
            <w:r>
              <w:t>≥10亿元</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财政投资项目施工图预算标的评审和工程量清单确定任务完成情况</w:t>
            </w:r>
          </w:p>
        </w:tc>
        <w:tc>
          <w:tcPr>
            <w:tcW w:w="5386" w:type="dxa"/>
            <w:vAlign w:val="center"/>
          </w:tcPr>
          <w:p>
            <w:pPr>
              <w:pStyle w:val="13"/>
            </w:pPr>
            <w:r>
              <w:t>财政投资项目施工图预算标的评审和工程量清单确定任务完成情况</w:t>
            </w:r>
          </w:p>
        </w:tc>
        <w:tc>
          <w:tcPr>
            <w:tcW w:w="2268" w:type="dxa"/>
            <w:vAlign w:val="center"/>
          </w:tcPr>
          <w:p>
            <w:pPr>
              <w:pStyle w:val="13"/>
            </w:pPr>
            <w:r>
              <w:t>≥90%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评审项目及时率</w:t>
            </w:r>
          </w:p>
        </w:tc>
        <w:tc>
          <w:tcPr>
            <w:tcW w:w="5386" w:type="dxa"/>
            <w:vAlign w:val="center"/>
          </w:tcPr>
          <w:p>
            <w:pPr>
              <w:pStyle w:val="13"/>
            </w:pPr>
            <w:r>
              <w:t>评审项目及时率</w:t>
            </w:r>
          </w:p>
        </w:tc>
        <w:tc>
          <w:tcPr>
            <w:tcW w:w="2268" w:type="dxa"/>
            <w:vAlign w:val="center"/>
          </w:tcPr>
          <w:p>
            <w:pPr>
              <w:pStyle w:val="13"/>
            </w:pPr>
            <w:r>
              <w:t>≥95%</w:t>
            </w:r>
          </w:p>
        </w:tc>
        <w:tc>
          <w:tcPr>
            <w:tcW w:w="1276" w:type="dxa"/>
            <w:vAlign w:val="center"/>
          </w:tcPr>
          <w:p>
            <w:pPr>
              <w:pStyle w:val="13"/>
            </w:pPr>
            <w:r>
              <w:t>行业依据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年度评审费用</w:t>
            </w:r>
          </w:p>
        </w:tc>
        <w:tc>
          <w:tcPr>
            <w:tcW w:w="5386" w:type="dxa"/>
            <w:vAlign w:val="center"/>
          </w:tcPr>
          <w:p>
            <w:pPr>
              <w:pStyle w:val="13"/>
            </w:pPr>
            <w:r>
              <w:t>年度评审费用</w:t>
            </w:r>
          </w:p>
        </w:tc>
        <w:tc>
          <w:tcPr>
            <w:tcW w:w="2268" w:type="dxa"/>
            <w:vAlign w:val="center"/>
          </w:tcPr>
          <w:p>
            <w:pPr>
              <w:pStyle w:val="13"/>
            </w:pPr>
            <w:r>
              <w:t>300万元</w:t>
            </w:r>
          </w:p>
        </w:tc>
        <w:tc>
          <w:tcPr>
            <w:tcW w:w="1276" w:type="dxa"/>
            <w:vAlign w:val="center"/>
          </w:tcPr>
          <w:p>
            <w:pPr>
              <w:pStyle w:val="13"/>
            </w:pPr>
            <w:r>
              <w:t>行业依据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确保财政投资项目招投标中标率</w:t>
            </w:r>
          </w:p>
        </w:tc>
        <w:tc>
          <w:tcPr>
            <w:tcW w:w="5386" w:type="dxa"/>
            <w:vAlign w:val="center"/>
          </w:tcPr>
          <w:p>
            <w:pPr>
              <w:pStyle w:val="13"/>
            </w:pPr>
            <w:r>
              <w:t>确保财政投资项目招投标中标率</w:t>
            </w:r>
          </w:p>
        </w:tc>
        <w:tc>
          <w:tcPr>
            <w:tcW w:w="2268" w:type="dxa"/>
            <w:vAlign w:val="center"/>
          </w:tcPr>
          <w:p>
            <w:pPr>
              <w:pStyle w:val="13"/>
            </w:pPr>
            <w:r>
              <w:t>≥90%</w:t>
            </w:r>
          </w:p>
        </w:tc>
        <w:tc>
          <w:tcPr>
            <w:tcW w:w="1276" w:type="dxa"/>
            <w:vAlign w:val="center"/>
          </w:tcPr>
          <w:p>
            <w:pPr>
              <w:pStyle w:val="13"/>
            </w:pPr>
            <w:r>
              <w:t>行业依据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2、第三方土地增值税清算绩效目标表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13018326P000328103129</w:t>
            </w:r>
          </w:p>
        </w:tc>
        <w:tc>
          <w:tcPr>
            <w:tcW w:w="2835" w:type="dxa"/>
            <w:vAlign w:val="center"/>
          </w:tcPr>
          <w:p>
            <w:pPr>
              <w:pStyle w:val="11"/>
            </w:pPr>
            <w:r>
              <w:t>项目名称</w:t>
            </w:r>
          </w:p>
        </w:tc>
        <w:tc>
          <w:tcPr>
            <w:tcW w:w="6095" w:type="dxa"/>
            <w:gridSpan w:val="3"/>
            <w:vAlign w:val="center"/>
          </w:tcPr>
          <w:p>
            <w:pPr>
              <w:pStyle w:val="13"/>
            </w:pPr>
            <w:r>
              <w:t>第三方土地增值税清算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聘请第三方机构进行土地增值税清算。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1.通过清算保证土地增值税业务正常运转，高质量完成各项任务。</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清算任务完成率</w:t>
            </w:r>
          </w:p>
        </w:tc>
        <w:tc>
          <w:tcPr>
            <w:tcW w:w="5386" w:type="dxa"/>
            <w:vAlign w:val="center"/>
          </w:tcPr>
          <w:p>
            <w:pPr>
              <w:pStyle w:val="13"/>
            </w:pPr>
            <w:r>
              <w:t>清算任务完成率</w:t>
            </w:r>
          </w:p>
        </w:tc>
        <w:tc>
          <w:tcPr>
            <w:tcW w:w="2268" w:type="dxa"/>
            <w:vAlign w:val="center"/>
          </w:tcPr>
          <w:p>
            <w:pPr>
              <w:pStyle w:val="13"/>
            </w:pPr>
            <w:r>
              <w:t>≥95%</w:t>
            </w:r>
          </w:p>
        </w:tc>
        <w:tc>
          <w:tcPr>
            <w:tcW w:w="1276" w:type="dxa"/>
            <w:vAlign w:val="center"/>
          </w:tcPr>
          <w:p>
            <w:pPr>
              <w:pStyle w:val="13"/>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各项工作和业务完成率</w:t>
            </w:r>
          </w:p>
        </w:tc>
        <w:tc>
          <w:tcPr>
            <w:tcW w:w="5386" w:type="dxa"/>
            <w:vAlign w:val="center"/>
          </w:tcPr>
          <w:p>
            <w:pPr>
              <w:pStyle w:val="13"/>
            </w:pPr>
            <w:r>
              <w:t>各项工作和业务完成率</w:t>
            </w:r>
          </w:p>
        </w:tc>
        <w:tc>
          <w:tcPr>
            <w:tcW w:w="2268" w:type="dxa"/>
            <w:vAlign w:val="center"/>
          </w:tcPr>
          <w:p>
            <w:pPr>
              <w:pStyle w:val="13"/>
            </w:pPr>
            <w:r>
              <w:t>≥95%</w:t>
            </w:r>
          </w:p>
        </w:tc>
        <w:tc>
          <w:tcPr>
            <w:tcW w:w="1276" w:type="dxa"/>
            <w:vAlign w:val="center"/>
          </w:tcPr>
          <w:p>
            <w:pPr>
              <w:pStyle w:val="13"/>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各项任务及时完成的比率</w:t>
            </w:r>
          </w:p>
        </w:tc>
        <w:tc>
          <w:tcPr>
            <w:tcW w:w="5386" w:type="dxa"/>
            <w:vAlign w:val="center"/>
          </w:tcPr>
          <w:p>
            <w:pPr>
              <w:pStyle w:val="13"/>
            </w:pPr>
            <w:r>
              <w:t>各项任务及时完成的比率</w:t>
            </w:r>
          </w:p>
        </w:tc>
        <w:tc>
          <w:tcPr>
            <w:tcW w:w="2268" w:type="dxa"/>
            <w:vAlign w:val="center"/>
          </w:tcPr>
          <w:p>
            <w:pPr>
              <w:pStyle w:val="13"/>
            </w:pPr>
            <w:r>
              <w:t>≥90%</w:t>
            </w:r>
          </w:p>
        </w:tc>
        <w:tc>
          <w:tcPr>
            <w:tcW w:w="1276" w:type="dxa"/>
            <w:vAlign w:val="center"/>
          </w:tcPr>
          <w:p>
            <w:pPr>
              <w:pStyle w:val="13"/>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项目年度成本</w:t>
            </w:r>
          </w:p>
        </w:tc>
        <w:tc>
          <w:tcPr>
            <w:tcW w:w="5386" w:type="dxa"/>
            <w:vAlign w:val="center"/>
          </w:tcPr>
          <w:p>
            <w:pPr>
              <w:pStyle w:val="13"/>
            </w:pPr>
            <w:r>
              <w:t>项目年度成本</w:t>
            </w:r>
          </w:p>
        </w:tc>
        <w:tc>
          <w:tcPr>
            <w:tcW w:w="2268" w:type="dxa"/>
            <w:vAlign w:val="center"/>
          </w:tcPr>
          <w:p>
            <w:pPr>
              <w:pStyle w:val="13"/>
            </w:pPr>
            <w:r>
              <w:t>30万元</w:t>
            </w:r>
          </w:p>
        </w:tc>
        <w:tc>
          <w:tcPr>
            <w:tcW w:w="1276" w:type="dxa"/>
            <w:vAlign w:val="center"/>
          </w:tcPr>
          <w:p>
            <w:pPr>
              <w:pStyle w:val="13"/>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工作正常、高质量运行</w:t>
            </w:r>
          </w:p>
        </w:tc>
        <w:tc>
          <w:tcPr>
            <w:tcW w:w="5386" w:type="dxa"/>
            <w:vAlign w:val="center"/>
          </w:tcPr>
          <w:p>
            <w:pPr>
              <w:pStyle w:val="13"/>
            </w:pPr>
            <w:r>
              <w:t>工作正常、高质量运行</w:t>
            </w:r>
          </w:p>
        </w:tc>
        <w:tc>
          <w:tcPr>
            <w:tcW w:w="2268" w:type="dxa"/>
            <w:vAlign w:val="center"/>
          </w:tcPr>
          <w:p>
            <w:pPr>
              <w:pStyle w:val="13"/>
            </w:pPr>
            <w:r>
              <w:t>正常运行</w:t>
            </w:r>
          </w:p>
        </w:tc>
        <w:tc>
          <w:tcPr>
            <w:tcW w:w="1276" w:type="dxa"/>
            <w:vAlign w:val="center"/>
          </w:tcPr>
          <w:p>
            <w:pPr>
              <w:pStyle w:val="13"/>
            </w:pPr>
            <w:r>
              <w:t>聘请第三方清算土地增值税项目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收益群体满意度</w:t>
            </w:r>
          </w:p>
        </w:tc>
        <w:tc>
          <w:tcPr>
            <w:tcW w:w="5386" w:type="dxa"/>
            <w:vAlign w:val="center"/>
          </w:tcPr>
          <w:p>
            <w:pPr>
              <w:pStyle w:val="13"/>
            </w:pPr>
            <w:r>
              <w:t>收益群体满意度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3、税收合规性检查资金绩效目标表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13018326P00032810314G</w:t>
            </w:r>
          </w:p>
        </w:tc>
        <w:tc>
          <w:tcPr>
            <w:tcW w:w="2835" w:type="dxa"/>
            <w:vAlign w:val="center"/>
          </w:tcPr>
          <w:p>
            <w:pPr>
              <w:pStyle w:val="11"/>
            </w:pPr>
            <w:r>
              <w:t>项目名称</w:t>
            </w:r>
          </w:p>
        </w:tc>
        <w:tc>
          <w:tcPr>
            <w:tcW w:w="6095" w:type="dxa"/>
            <w:gridSpan w:val="3"/>
            <w:vAlign w:val="center"/>
          </w:tcPr>
          <w:p>
            <w:pPr>
              <w:pStyle w:val="13"/>
            </w:pPr>
            <w:r>
              <w:t>税收合规性检查资金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61.93</w:t>
            </w:r>
          </w:p>
        </w:tc>
        <w:tc>
          <w:tcPr>
            <w:tcW w:w="2835" w:type="dxa"/>
            <w:vAlign w:val="center"/>
          </w:tcPr>
          <w:p>
            <w:pPr>
              <w:pStyle w:val="11"/>
            </w:pPr>
            <w:r>
              <w:t>其中：财政    资金</w:t>
            </w:r>
          </w:p>
        </w:tc>
        <w:tc>
          <w:tcPr>
            <w:tcW w:w="2551" w:type="dxa"/>
            <w:vAlign w:val="center"/>
          </w:tcPr>
          <w:p>
            <w:pPr>
              <w:pStyle w:val="13"/>
            </w:pPr>
            <w:r>
              <w:t>61.93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聘请第三方机构进行税收合规性检查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1.保障各项任务的圆满完成和工作正常运转。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检查各类企业数量</w:t>
            </w:r>
          </w:p>
        </w:tc>
        <w:tc>
          <w:tcPr>
            <w:tcW w:w="5386" w:type="dxa"/>
            <w:vAlign w:val="center"/>
          </w:tcPr>
          <w:p>
            <w:pPr>
              <w:pStyle w:val="13"/>
            </w:pPr>
            <w:r>
              <w:t>检查各类企业数量</w:t>
            </w:r>
          </w:p>
        </w:tc>
        <w:tc>
          <w:tcPr>
            <w:tcW w:w="2268" w:type="dxa"/>
            <w:vAlign w:val="center"/>
          </w:tcPr>
          <w:p>
            <w:pPr>
              <w:pStyle w:val="13"/>
            </w:pPr>
            <w:r>
              <w:t>≥50户</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企业合规率</w:t>
            </w:r>
          </w:p>
        </w:tc>
        <w:tc>
          <w:tcPr>
            <w:tcW w:w="5386" w:type="dxa"/>
            <w:vAlign w:val="center"/>
          </w:tcPr>
          <w:p>
            <w:pPr>
              <w:pStyle w:val="13"/>
            </w:pPr>
            <w:r>
              <w:t>企业合规率</w:t>
            </w:r>
          </w:p>
        </w:tc>
        <w:tc>
          <w:tcPr>
            <w:tcW w:w="2268" w:type="dxa"/>
            <w:vAlign w:val="center"/>
          </w:tcPr>
          <w:p>
            <w:pPr>
              <w:pStyle w:val="13"/>
            </w:pPr>
            <w:r>
              <w:t>≥80%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项目完成及时性</w:t>
            </w:r>
          </w:p>
        </w:tc>
        <w:tc>
          <w:tcPr>
            <w:tcW w:w="5386" w:type="dxa"/>
            <w:vAlign w:val="center"/>
          </w:tcPr>
          <w:p>
            <w:pPr>
              <w:pStyle w:val="13"/>
            </w:pPr>
            <w:r>
              <w:t>在规定时间内完成</w:t>
            </w:r>
          </w:p>
        </w:tc>
        <w:tc>
          <w:tcPr>
            <w:tcW w:w="2268" w:type="dxa"/>
            <w:vAlign w:val="center"/>
          </w:tcPr>
          <w:p>
            <w:pPr>
              <w:pStyle w:val="13"/>
            </w:pPr>
            <w:r>
              <w:t>≥95%</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聘请第三方机构成本</w:t>
            </w:r>
          </w:p>
        </w:tc>
        <w:tc>
          <w:tcPr>
            <w:tcW w:w="5386" w:type="dxa"/>
            <w:vAlign w:val="center"/>
          </w:tcPr>
          <w:p>
            <w:pPr>
              <w:pStyle w:val="13"/>
            </w:pPr>
            <w:r>
              <w:t>聘请第三方机构费用</w:t>
            </w:r>
          </w:p>
        </w:tc>
        <w:tc>
          <w:tcPr>
            <w:tcW w:w="2268" w:type="dxa"/>
            <w:vAlign w:val="center"/>
          </w:tcPr>
          <w:p>
            <w:pPr>
              <w:pStyle w:val="13"/>
            </w:pPr>
            <w:r>
              <w:t>61.93万元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项目依据政策能持续运行</w:t>
            </w:r>
          </w:p>
        </w:tc>
        <w:tc>
          <w:tcPr>
            <w:tcW w:w="5386" w:type="dxa"/>
            <w:vAlign w:val="center"/>
          </w:tcPr>
          <w:p>
            <w:pPr>
              <w:pStyle w:val="13"/>
            </w:pPr>
            <w:r>
              <w:t>项目依据政策能持续运行</w:t>
            </w:r>
          </w:p>
        </w:tc>
        <w:tc>
          <w:tcPr>
            <w:tcW w:w="2268" w:type="dxa"/>
            <w:vAlign w:val="center"/>
          </w:tcPr>
          <w:p>
            <w:pPr>
              <w:pStyle w:val="13"/>
            </w:pPr>
            <w:r>
              <w:t>工作正常运行</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13018326P00032810313W</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w:t>
            </w:r>
          </w:p>
        </w:tc>
        <w:tc>
          <w:tcPr>
            <w:tcW w:w="2835" w:type="dxa"/>
            <w:vAlign w:val="center"/>
          </w:tcPr>
          <w:p>
            <w:pPr>
              <w:pStyle w:val="11"/>
            </w:pPr>
            <w:r>
              <w:t>其中：财政    资金</w:t>
            </w:r>
          </w:p>
        </w:tc>
        <w:tc>
          <w:tcPr>
            <w:tcW w:w="2551" w:type="dxa"/>
            <w:vAlign w:val="center"/>
          </w:tcPr>
          <w:p>
            <w:pPr>
              <w:pStyle w:val="13"/>
            </w:pPr>
            <w:r>
              <w:t>210.00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用于日常办公开销。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1.保障各项任务的圆满完成和工作正常运转。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日常工作完成的比率</w:t>
            </w:r>
          </w:p>
        </w:tc>
        <w:tc>
          <w:tcPr>
            <w:tcW w:w="5386" w:type="dxa"/>
            <w:vAlign w:val="center"/>
          </w:tcPr>
          <w:p>
            <w:pPr>
              <w:pStyle w:val="13"/>
            </w:pPr>
            <w:r>
              <w:t>日常工作完成的比率</w:t>
            </w:r>
          </w:p>
        </w:tc>
        <w:tc>
          <w:tcPr>
            <w:tcW w:w="2268" w:type="dxa"/>
            <w:vAlign w:val="center"/>
          </w:tcPr>
          <w:p>
            <w:pPr>
              <w:pStyle w:val="13"/>
            </w:pPr>
            <w:r>
              <w:t>≥95%</w:t>
            </w:r>
          </w:p>
        </w:tc>
        <w:tc>
          <w:tcPr>
            <w:tcW w:w="1276" w:type="dxa"/>
            <w:vAlign w:val="center"/>
          </w:tcPr>
          <w:p>
            <w:pPr>
              <w:pStyle w:val="13"/>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各项工作和业务达标率</w:t>
            </w:r>
          </w:p>
        </w:tc>
        <w:tc>
          <w:tcPr>
            <w:tcW w:w="5386" w:type="dxa"/>
            <w:vAlign w:val="center"/>
          </w:tcPr>
          <w:p>
            <w:pPr>
              <w:pStyle w:val="13"/>
            </w:pPr>
            <w:r>
              <w:t>各项工作和业务达标率</w:t>
            </w:r>
          </w:p>
        </w:tc>
        <w:tc>
          <w:tcPr>
            <w:tcW w:w="2268" w:type="dxa"/>
            <w:vAlign w:val="center"/>
          </w:tcPr>
          <w:p>
            <w:pPr>
              <w:pStyle w:val="13"/>
            </w:pPr>
            <w:r>
              <w:t>≥90%</w:t>
            </w:r>
          </w:p>
        </w:tc>
        <w:tc>
          <w:tcPr>
            <w:tcW w:w="1276" w:type="dxa"/>
            <w:vAlign w:val="center"/>
          </w:tcPr>
          <w:p>
            <w:pPr>
              <w:pStyle w:val="13"/>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各项工作及时完成的比率</w:t>
            </w:r>
          </w:p>
        </w:tc>
        <w:tc>
          <w:tcPr>
            <w:tcW w:w="5386" w:type="dxa"/>
            <w:vAlign w:val="center"/>
          </w:tcPr>
          <w:p>
            <w:pPr>
              <w:pStyle w:val="13"/>
            </w:pPr>
            <w:r>
              <w:t>各项工作及时完成的比率</w:t>
            </w:r>
          </w:p>
        </w:tc>
        <w:tc>
          <w:tcPr>
            <w:tcW w:w="2268" w:type="dxa"/>
            <w:vAlign w:val="center"/>
          </w:tcPr>
          <w:p>
            <w:pPr>
              <w:pStyle w:val="13"/>
            </w:pPr>
            <w:r>
              <w:t>≥90%</w:t>
            </w:r>
          </w:p>
        </w:tc>
        <w:tc>
          <w:tcPr>
            <w:tcW w:w="1276" w:type="dxa"/>
            <w:vAlign w:val="center"/>
          </w:tcPr>
          <w:p>
            <w:pPr>
              <w:pStyle w:val="13"/>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项目年度需要成本</w:t>
            </w:r>
          </w:p>
        </w:tc>
        <w:tc>
          <w:tcPr>
            <w:tcW w:w="5386" w:type="dxa"/>
            <w:vAlign w:val="center"/>
          </w:tcPr>
          <w:p>
            <w:pPr>
              <w:pStyle w:val="13"/>
            </w:pPr>
            <w:r>
              <w:t>项目年度需要成本</w:t>
            </w:r>
          </w:p>
        </w:tc>
        <w:tc>
          <w:tcPr>
            <w:tcW w:w="2268" w:type="dxa"/>
            <w:vAlign w:val="center"/>
          </w:tcPr>
          <w:p>
            <w:pPr>
              <w:pStyle w:val="13"/>
            </w:pPr>
            <w:r>
              <w:t>210万元</w:t>
            </w:r>
          </w:p>
        </w:tc>
        <w:tc>
          <w:tcPr>
            <w:tcW w:w="1276" w:type="dxa"/>
            <w:vAlign w:val="center"/>
          </w:tcPr>
          <w:p>
            <w:pPr>
              <w:pStyle w:val="13"/>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项目依据政策能持续运行</w:t>
            </w:r>
          </w:p>
        </w:tc>
        <w:tc>
          <w:tcPr>
            <w:tcW w:w="5386" w:type="dxa"/>
            <w:vAlign w:val="center"/>
          </w:tcPr>
          <w:p>
            <w:pPr>
              <w:pStyle w:val="13"/>
            </w:pPr>
            <w:r>
              <w:t>项目依据政策能持续运行</w:t>
            </w:r>
          </w:p>
        </w:tc>
        <w:tc>
          <w:tcPr>
            <w:tcW w:w="2268" w:type="dxa"/>
            <w:vAlign w:val="center"/>
          </w:tcPr>
          <w:p>
            <w:pPr>
              <w:pStyle w:val="13"/>
            </w:pPr>
            <w:r>
              <w:t>工作正常运行</w:t>
            </w:r>
          </w:p>
        </w:tc>
        <w:tc>
          <w:tcPr>
            <w:tcW w:w="1276" w:type="dxa"/>
            <w:vAlign w:val="center"/>
          </w:tcPr>
          <w:p>
            <w:pPr>
              <w:pStyle w:val="13"/>
            </w:pPr>
            <w:r>
              <w:t>财政业务经费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318晋州市财政局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309.50</w:t>
            </w:r>
          </w:p>
        </w:tc>
        <w:tc>
          <w:tcPr>
            <w:tcW w:w="964" w:type="dxa"/>
            <w:vAlign w:val="center"/>
          </w:tcPr>
          <w:p>
            <w:pPr>
              <w:pStyle w:val="16"/>
            </w:pPr>
            <w:r>
              <w:t>309.50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晋州市财政局本级小计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306.50</w:t>
            </w:r>
          </w:p>
        </w:tc>
        <w:tc>
          <w:tcPr>
            <w:tcW w:w="964" w:type="dxa"/>
            <w:vAlign w:val="center"/>
          </w:tcPr>
          <w:p>
            <w:pPr>
              <w:pStyle w:val="16"/>
            </w:pPr>
            <w:r>
              <w:t>306.50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19.30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75</w:t>
            </w:r>
          </w:p>
        </w:tc>
        <w:tc>
          <w:tcPr>
            <w:tcW w:w="850" w:type="dxa"/>
            <w:vAlign w:val="center"/>
          </w:tcPr>
          <w:p>
            <w:pPr>
              <w:pStyle w:val="12"/>
            </w:pPr>
            <w:r>
              <w:t>0.02</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19.30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0.50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财政投资项目评审费</w:t>
            </w:r>
          </w:p>
        </w:tc>
        <w:tc>
          <w:tcPr>
            <w:tcW w:w="964" w:type="dxa"/>
            <w:vAlign w:val="center"/>
          </w:tcPr>
          <w:p>
            <w:pPr>
              <w:pStyle w:val="12"/>
            </w:pPr>
            <w:r>
              <w:t>300.00</w:t>
            </w:r>
          </w:p>
        </w:tc>
        <w:tc>
          <w:tcPr>
            <w:tcW w:w="1134" w:type="dxa"/>
            <w:vAlign w:val="center"/>
          </w:tcPr>
          <w:p>
            <w:pPr>
              <w:pStyle w:val="13"/>
            </w:pPr>
            <w:r>
              <w:t>其他专业技术服务</w:t>
            </w:r>
          </w:p>
        </w:tc>
        <w:tc>
          <w:tcPr>
            <w:tcW w:w="1134" w:type="dxa"/>
            <w:vAlign w:val="center"/>
          </w:tcPr>
          <w:p>
            <w:pPr>
              <w:pStyle w:val="13"/>
            </w:pPr>
            <w:r>
              <w:t>C19990000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240.00</w:t>
            </w:r>
          </w:p>
        </w:tc>
        <w:tc>
          <w:tcPr>
            <w:tcW w:w="964" w:type="dxa"/>
            <w:vAlign w:val="center"/>
          </w:tcPr>
          <w:p>
            <w:pPr>
              <w:pStyle w:val="12"/>
            </w:pPr>
            <w:r>
              <w:t>240.00</w:t>
            </w:r>
          </w:p>
        </w:tc>
        <w:tc>
          <w:tcPr>
            <w:tcW w:w="964" w:type="dxa"/>
            <w:vAlign w:val="center"/>
          </w:tcPr>
          <w:p>
            <w:pPr>
              <w:pStyle w:val="12"/>
            </w:pPr>
            <w:r>
              <w:t>240.00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财政投资项目评审费</w:t>
            </w:r>
          </w:p>
        </w:tc>
        <w:tc>
          <w:tcPr>
            <w:tcW w:w="964" w:type="dxa"/>
            <w:vAlign w:val="center"/>
          </w:tcPr>
          <w:p>
            <w:pPr>
              <w:pStyle w:val="12"/>
            </w:pPr>
            <w:r>
              <w:t>300.00</w:t>
            </w:r>
          </w:p>
        </w:tc>
        <w:tc>
          <w:tcPr>
            <w:tcW w:w="1134" w:type="dxa"/>
            <w:vAlign w:val="center"/>
          </w:tcPr>
          <w:p>
            <w:pPr>
              <w:pStyle w:val="13"/>
            </w:pPr>
            <w:r>
              <w:t>评审咨询服务</w:t>
            </w:r>
          </w:p>
        </w:tc>
        <w:tc>
          <w:tcPr>
            <w:tcW w:w="1134" w:type="dxa"/>
            <w:vAlign w:val="center"/>
          </w:tcPr>
          <w:p>
            <w:pPr>
              <w:pStyle w:val="13"/>
            </w:pPr>
            <w:r>
              <w:t>C20030900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晋州市财政国库支付中心小计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w:t>
            </w:r>
          </w:p>
        </w:tc>
        <w:tc>
          <w:tcPr>
            <w:tcW w:w="964" w:type="dxa"/>
            <w:vAlign w:val="center"/>
          </w:tcPr>
          <w:p>
            <w:pPr>
              <w:pStyle w:val="16"/>
            </w:pPr>
            <w:r>
              <w:t>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6.90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6.90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0.29</w:t>
            </w:r>
          </w:p>
        </w:tc>
        <w:tc>
          <w:tcPr>
            <w:tcW w:w="964" w:type="dxa"/>
            <w:vAlign w:val="center"/>
          </w:tcPr>
          <w:p>
            <w:pPr>
              <w:pStyle w:val="12"/>
            </w:pPr>
            <w:r>
              <w:t>2.90</w:t>
            </w:r>
          </w:p>
        </w:tc>
        <w:tc>
          <w:tcPr>
            <w:tcW w:w="964" w:type="dxa"/>
            <w:vAlign w:val="center"/>
          </w:tcPr>
          <w:p>
            <w:pPr>
              <w:pStyle w:val="12"/>
            </w:pPr>
            <w:r>
              <w:t>2.90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晋州市财政局（含所属单位）上年末固定资产金额为769.05万元（详见下表）。本年度拟购置固定资产总额为0.00万元，已按要求列入政府采购预算，详见政府采购预算表。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318晋州市财政局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9002.80</w:t>
            </w:r>
          </w:p>
        </w:tc>
        <w:tc>
          <w:tcPr>
            <w:tcW w:w="2835" w:type="dxa"/>
            <w:vAlign w:val="center"/>
          </w:tcPr>
          <w:p>
            <w:pPr>
              <w:pStyle w:val="12"/>
            </w:pPr>
            <w:r>
              <w:t>547.56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8772.80</w:t>
            </w:r>
          </w:p>
        </w:tc>
        <w:tc>
          <w:tcPr>
            <w:tcW w:w="2835" w:type="dxa"/>
            <w:vAlign w:val="center"/>
          </w:tcPr>
          <w:p>
            <w:pPr>
              <w:pStyle w:val="12"/>
            </w:pPr>
            <w:r>
              <w:t>515.96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33.48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1026</w:t>
            </w:r>
          </w:p>
        </w:tc>
        <w:tc>
          <w:tcPr>
            <w:tcW w:w="2835" w:type="dxa"/>
            <w:vAlign w:val="center"/>
          </w:tcPr>
          <w:p>
            <w:pPr>
              <w:pStyle w:val="12"/>
            </w:pPr>
            <w:r>
              <w:t>178.85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32B56D"/>
    <w:multiLevelType w:val="singleLevel"/>
    <w:tmpl w:val="5232B56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06A0161"/>
    <w:rsid w:val="6037187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2026-03-02T08:46:00Z</dcterms:created>
  <dc:creator>Administrator</dc:creator>
  <cp:lastModifiedBy>Administrator</cp:lastModifiedBy>
  <dcterms:modified xsi:type="dcterms:W3CDTF">2026-03-02T09:27:39Z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