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319晋州市审计局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839.83</w:t>
            </w:r>
          </w:p>
        </w:tc>
        <w:tc>
          <w:tcPr>
            <w:tcW w:w="4535" w:type="dxa"/>
            <w:vAlign w:val="center"/>
          </w:tcPr>
          <w:p>
            <w:pPr>
              <w:pStyle w:val="13"/>
            </w:pPr>
            <w:r>
              <w:t>一、一般公共服务支出</w:t>
            </w:r>
          </w:p>
        </w:tc>
        <w:tc>
          <w:tcPr>
            <w:tcW w:w="2126" w:type="dxa"/>
            <w:vAlign w:val="center"/>
          </w:tcPr>
          <w:p>
            <w:pPr>
              <w:pStyle w:val="12"/>
            </w:pPr>
            <w:r>
              <w:t>839.83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839.83</w:t>
            </w:r>
          </w:p>
        </w:tc>
        <w:tc>
          <w:tcPr>
            <w:tcW w:w="4535" w:type="dxa"/>
            <w:vAlign w:val="center"/>
          </w:tcPr>
          <w:p>
            <w:pPr>
              <w:pStyle w:val="15"/>
            </w:pPr>
            <w:r>
              <w:t>本年支出合计</w:t>
            </w:r>
          </w:p>
        </w:tc>
        <w:tc>
          <w:tcPr>
            <w:tcW w:w="2126" w:type="dxa"/>
            <w:vAlign w:val="center"/>
          </w:tcPr>
          <w:p>
            <w:pPr>
              <w:pStyle w:val="16"/>
            </w:pPr>
            <w:r>
              <w:t>839.83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839.83</w:t>
            </w:r>
          </w:p>
        </w:tc>
        <w:tc>
          <w:tcPr>
            <w:tcW w:w="4535" w:type="dxa"/>
            <w:vAlign w:val="center"/>
          </w:tcPr>
          <w:p>
            <w:pPr>
              <w:pStyle w:val="15"/>
            </w:pPr>
            <w:r>
              <w:t>支出总计</w:t>
            </w:r>
          </w:p>
        </w:tc>
        <w:tc>
          <w:tcPr>
            <w:tcW w:w="2126" w:type="dxa"/>
            <w:vAlign w:val="center"/>
          </w:tcPr>
          <w:p>
            <w:pPr>
              <w:pStyle w:val="16"/>
            </w:pPr>
            <w:r>
              <w:t>839.83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319晋州市审计局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839.83</w:t>
            </w:r>
          </w:p>
        </w:tc>
        <w:tc>
          <w:tcPr>
            <w:tcW w:w="1134" w:type="dxa"/>
            <w:vAlign w:val="center"/>
          </w:tcPr>
          <w:p>
            <w:pPr>
              <w:pStyle w:val="16"/>
            </w:pPr>
            <w:r>
              <w:t>839.83</w:t>
            </w:r>
          </w:p>
        </w:tc>
        <w:tc>
          <w:tcPr>
            <w:tcW w:w="1134" w:type="dxa"/>
            <w:vAlign w:val="center"/>
          </w:tcPr>
          <w:p>
            <w:pPr>
              <w:pStyle w:val="16"/>
            </w:pPr>
            <w:r>
              <w:t>839.83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839.83</w:t>
            </w:r>
          </w:p>
        </w:tc>
        <w:tc>
          <w:tcPr>
            <w:tcW w:w="1134" w:type="dxa"/>
            <w:vAlign w:val="center"/>
          </w:tcPr>
          <w:p>
            <w:pPr>
              <w:pStyle w:val="12"/>
            </w:pPr>
            <w:r>
              <w:t>839.83</w:t>
            </w:r>
          </w:p>
        </w:tc>
        <w:tc>
          <w:tcPr>
            <w:tcW w:w="1134" w:type="dxa"/>
            <w:vAlign w:val="center"/>
          </w:tcPr>
          <w:p>
            <w:pPr>
              <w:pStyle w:val="12"/>
            </w:pPr>
            <w:r>
              <w:t>839.83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839.83</w:t>
            </w:r>
          </w:p>
        </w:tc>
        <w:tc>
          <w:tcPr>
            <w:tcW w:w="1134" w:type="dxa"/>
            <w:vAlign w:val="center"/>
          </w:tcPr>
          <w:p>
            <w:pPr>
              <w:pStyle w:val="12"/>
            </w:pPr>
            <w:r>
              <w:t>839.83</w:t>
            </w:r>
          </w:p>
        </w:tc>
        <w:tc>
          <w:tcPr>
            <w:tcW w:w="1134" w:type="dxa"/>
            <w:vAlign w:val="center"/>
          </w:tcPr>
          <w:p>
            <w:pPr>
              <w:pStyle w:val="12"/>
            </w:pPr>
            <w:r>
              <w:t>839.83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t>行政运行</w:t>
            </w:r>
          </w:p>
        </w:tc>
        <w:tc>
          <w:tcPr>
            <w:tcW w:w="1134" w:type="dxa"/>
            <w:vAlign w:val="center"/>
          </w:tcPr>
          <w:p>
            <w:pPr>
              <w:pStyle w:val="12"/>
            </w:pPr>
            <w:r>
              <w:t>442.83</w:t>
            </w:r>
          </w:p>
        </w:tc>
        <w:tc>
          <w:tcPr>
            <w:tcW w:w="1134" w:type="dxa"/>
            <w:vAlign w:val="center"/>
          </w:tcPr>
          <w:p>
            <w:pPr>
              <w:pStyle w:val="12"/>
            </w:pPr>
            <w:r>
              <w:t>442.83</w:t>
            </w:r>
          </w:p>
        </w:tc>
        <w:tc>
          <w:tcPr>
            <w:tcW w:w="1134" w:type="dxa"/>
            <w:vAlign w:val="center"/>
          </w:tcPr>
          <w:p>
            <w:pPr>
              <w:pStyle w:val="12"/>
            </w:pPr>
            <w:r>
              <w:t>442.83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387.00</w:t>
            </w:r>
          </w:p>
        </w:tc>
        <w:tc>
          <w:tcPr>
            <w:tcW w:w="1134" w:type="dxa"/>
            <w:vAlign w:val="center"/>
          </w:tcPr>
          <w:p>
            <w:pPr>
              <w:pStyle w:val="12"/>
            </w:pPr>
            <w:r>
              <w:t>387.00</w:t>
            </w:r>
          </w:p>
        </w:tc>
        <w:tc>
          <w:tcPr>
            <w:tcW w:w="1134" w:type="dxa"/>
            <w:vAlign w:val="center"/>
          </w:tcPr>
          <w:p>
            <w:pPr>
              <w:pStyle w:val="12"/>
            </w:pPr>
            <w:r>
              <w:t>387.00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2010806</w:t>
            </w:r>
          </w:p>
        </w:tc>
        <w:tc>
          <w:tcPr>
            <w:tcW w:w="1559" w:type="dxa"/>
            <w:vAlign w:val="center"/>
          </w:tcPr>
          <w:p>
            <w:pPr>
              <w:pStyle w:val="13"/>
            </w:pPr>
            <w:r>
              <w:t>信息化建设</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839.83</w:t>
            </w:r>
          </w:p>
        </w:tc>
        <w:tc>
          <w:tcPr>
            <w:tcW w:w="1361" w:type="dxa"/>
            <w:vAlign w:val="center"/>
          </w:tcPr>
          <w:p>
            <w:pPr>
              <w:pStyle w:val="16"/>
            </w:pPr>
            <w:r>
              <w:t>442.83</w:t>
            </w:r>
          </w:p>
        </w:tc>
        <w:tc>
          <w:tcPr>
            <w:tcW w:w="1361" w:type="dxa"/>
            <w:vAlign w:val="center"/>
          </w:tcPr>
          <w:p>
            <w:pPr>
              <w:pStyle w:val="16"/>
            </w:pPr>
            <w:r>
              <w:t>397.00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839.83</w:t>
            </w:r>
          </w:p>
        </w:tc>
        <w:tc>
          <w:tcPr>
            <w:tcW w:w="1361" w:type="dxa"/>
            <w:vAlign w:val="center"/>
          </w:tcPr>
          <w:p>
            <w:pPr>
              <w:pStyle w:val="12"/>
            </w:pPr>
            <w:r>
              <w:t>442.83</w:t>
            </w:r>
          </w:p>
        </w:tc>
        <w:tc>
          <w:tcPr>
            <w:tcW w:w="1361" w:type="dxa"/>
            <w:vAlign w:val="center"/>
          </w:tcPr>
          <w:p>
            <w:pPr>
              <w:pStyle w:val="12"/>
            </w:pPr>
            <w:r>
              <w:t>397.00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839.83</w:t>
            </w:r>
          </w:p>
        </w:tc>
        <w:tc>
          <w:tcPr>
            <w:tcW w:w="1361" w:type="dxa"/>
            <w:vAlign w:val="center"/>
          </w:tcPr>
          <w:p>
            <w:pPr>
              <w:pStyle w:val="12"/>
            </w:pPr>
            <w:r>
              <w:t>442.83</w:t>
            </w:r>
          </w:p>
        </w:tc>
        <w:tc>
          <w:tcPr>
            <w:tcW w:w="1361" w:type="dxa"/>
            <w:vAlign w:val="center"/>
          </w:tcPr>
          <w:p>
            <w:pPr>
              <w:pStyle w:val="12"/>
            </w:pPr>
            <w:r>
              <w:t>397.00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2010801</w:t>
            </w:r>
          </w:p>
        </w:tc>
        <w:tc>
          <w:tcPr>
            <w:tcW w:w="4535" w:type="dxa"/>
            <w:vAlign w:val="center"/>
          </w:tcPr>
          <w:p>
            <w:pPr>
              <w:pStyle w:val="13"/>
            </w:pPr>
            <w:r>
              <w:t>行政运行</w:t>
            </w:r>
          </w:p>
        </w:tc>
        <w:tc>
          <w:tcPr>
            <w:tcW w:w="1361" w:type="dxa"/>
            <w:vAlign w:val="center"/>
          </w:tcPr>
          <w:p>
            <w:pPr>
              <w:pStyle w:val="12"/>
            </w:pPr>
            <w:r>
              <w:t>442.83</w:t>
            </w:r>
          </w:p>
        </w:tc>
        <w:tc>
          <w:tcPr>
            <w:tcW w:w="1361" w:type="dxa"/>
            <w:vAlign w:val="center"/>
          </w:tcPr>
          <w:p>
            <w:pPr>
              <w:pStyle w:val="12"/>
            </w:pPr>
            <w:r>
              <w:t>442.83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387.00</w:t>
            </w:r>
          </w:p>
        </w:tc>
        <w:tc>
          <w:tcPr>
            <w:tcW w:w="1361" w:type="dxa"/>
            <w:vAlign w:val="center"/>
          </w:tcPr>
          <w:p>
            <w:pPr>
              <w:pStyle w:val="12"/>
            </w:pPr>
          </w:p>
        </w:tc>
        <w:tc>
          <w:tcPr>
            <w:tcW w:w="1361" w:type="dxa"/>
            <w:vAlign w:val="center"/>
          </w:tcPr>
          <w:p>
            <w:pPr>
              <w:pStyle w:val="12"/>
            </w:pPr>
            <w:r>
              <w:t>387.00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2010806</w:t>
            </w:r>
          </w:p>
        </w:tc>
        <w:tc>
          <w:tcPr>
            <w:tcW w:w="4535" w:type="dxa"/>
            <w:vAlign w:val="center"/>
          </w:tcPr>
          <w:p>
            <w:pPr>
              <w:pStyle w:val="13"/>
            </w:pPr>
            <w:r>
              <w:t>信息化建设</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839.83</w:t>
            </w:r>
          </w:p>
        </w:tc>
        <w:tc>
          <w:tcPr>
            <w:tcW w:w="3402" w:type="dxa"/>
            <w:vAlign w:val="center"/>
          </w:tcPr>
          <w:p>
            <w:pPr>
              <w:pStyle w:val="13"/>
            </w:pPr>
            <w:r>
              <w:t>一、一般公共服务支出</w:t>
            </w:r>
          </w:p>
        </w:tc>
        <w:tc>
          <w:tcPr>
            <w:tcW w:w="1474" w:type="dxa"/>
            <w:vAlign w:val="center"/>
          </w:tcPr>
          <w:p>
            <w:pPr>
              <w:pStyle w:val="12"/>
            </w:pPr>
            <w:r>
              <w:t>839.83</w:t>
            </w:r>
          </w:p>
        </w:tc>
        <w:tc>
          <w:tcPr>
            <w:tcW w:w="1474" w:type="dxa"/>
            <w:vAlign w:val="center"/>
          </w:tcPr>
          <w:p>
            <w:pPr>
              <w:pStyle w:val="12"/>
            </w:pPr>
            <w:r>
              <w:t>839.83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839.83</w:t>
            </w:r>
          </w:p>
        </w:tc>
        <w:tc>
          <w:tcPr>
            <w:tcW w:w="3402" w:type="dxa"/>
            <w:vAlign w:val="center"/>
          </w:tcPr>
          <w:p>
            <w:pPr>
              <w:pStyle w:val="15"/>
            </w:pPr>
            <w:r>
              <w:t>本年支出合计</w:t>
            </w:r>
          </w:p>
        </w:tc>
        <w:tc>
          <w:tcPr>
            <w:tcW w:w="1474" w:type="dxa"/>
            <w:vAlign w:val="center"/>
          </w:tcPr>
          <w:p>
            <w:pPr>
              <w:pStyle w:val="16"/>
            </w:pPr>
            <w:r>
              <w:t>839.83</w:t>
            </w:r>
          </w:p>
        </w:tc>
        <w:tc>
          <w:tcPr>
            <w:tcW w:w="1474" w:type="dxa"/>
            <w:vAlign w:val="center"/>
          </w:tcPr>
          <w:p>
            <w:pPr>
              <w:pStyle w:val="16"/>
            </w:pPr>
            <w:r>
              <w:t>839.83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839.83</w:t>
            </w:r>
          </w:p>
        </w:tc>
        <w:tc>
          <w:tcPr>
            <w:tcW w:w="3402" w:type="dxa"/>
            <w:vAlign w:val="center"/>
          </w:tcPr>
          <w:p>
            <w:pPr>
              <w:pStyle w:val="15"/>
            </w:pPr>
            <w:r>
              <w:t>支出总计</w:t>
            </w:r>
          </w:p>
        </w:tc>
        <w:tc>
          <w:tcPr>
            <w:tcW w:w="1474" w:type="dxa"/>
            <w:vAlign w:val="center"/>
          </w:tcPr>
          <w:p>
            <w:pPr>
              <w:pStyle w:val="16"/>
            </w:pPr>
            <w:r>
              <w:t>839.83</w:t>
            </w:r>
          </w:p>
        </w:tc>
        <w:tc>
          <w:tcPr>
            <w:tcW w:w="1474" w:type="dxa"/>
            <w:vAlign w:val="center"/>
          </w:tcPr>
          <w:p>
            <w:pPr>
              <w:pStyle w:val="16"/>
            </w:pPr>
            <w:r>
              <w:t>839.83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839.83</w:t>
            </w:r>
          </w:p>
        </w:tc>
        <w:tc>
          <w:tcPr>
            <w:tcW w:w="2551" w:type="dxa"/>
            <w:vAlign w:val="center"/>
          </w:tcPr>
          <w:p>
            <w:pPr>
              <w:pStyle w:val="16"/>
            </w:pPr>
            <w:r>
              <w:t>442.83</w:t>
            </w:r>
          </w:p>
        </w:tc>
        <w:tc>
          <w:tcPr>
            <w:tcW w:w="2551" w:type="dxa"/>
            <w:vAlign w:val="center"/>
          </w:tcPr>
          <w:p>
            <w:pPr>
              <w:pStyle w:val="16"/>
            </w:pPr>
            <w:r>
              <w:t>397.00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839.83</w:t>
            </w:r>
          </w:p>
        </w:tc>
        <w:tc>
          <w:tcPr>
            <w:tcW w:w="2551" w:type="dxa"/>
            <w:vAlign w:val="center"/>
          </w:tcPr>
          <w:p>
            <w:pPr>
              <w:pStyle w:val="12"/>
            </w:pPr>
            <w:r>
              <w:t>442.83</w:t>
            </w:r>
          </w:p>
        </w:tc>
        <w:tc>
          <w:tcPr>
            <w:tcW w:w="2551" w:type="dxa"/>
            <w:vAlign w:val="center"/>
          </w:tcPr>
          <w:p>
            <w:pPr>
              <w:pStyle w:val="12"/>
            </w:pPr>
            <w:r>
              <w:t>397.00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839.83</w:t>
            </w:r>
          </w:p>
        </w:tc>
        <w:tc>
          <w:tcPr>
            <w:tcW w:w="2551" w:type="dxa"/>
            <w:vAlign w:val="center"/>
          </w:tcPr>
          <w:p>
            <w:pPr>
              <w:pStyle w:val="12"/>
            </w:pPr>
            <w:r>
              <w:t>442.83</w:t>
            </w:r>
          </w:p>
        </w:tc>
        <w:tc>
          <w:tcPr>
            <w:tcW w:w="2551" w:type="dxa"/>
            <w:vAlign w:val="center"/>
          </w:tcPr>
          <w:p>
            <w:pPr>
              <w:pStyle w:val="12"/>
            </w:pPr>
            <w:r>
              <w:t>397.00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442.83</w:t>
            </w:r>
          </w:p>
        </w:tc>
        <w:tc>
          <w:tcPr>
            <w:tcW w:w="2551" w:type="dxa"/>
            <w:vAlign w:val="center"/>
          </w:tcPr>
          <w:p>
            <w:pPr>
              <w:pStyle w:val="12"/>
            </w:pPr>
            <w:r>
              <w:t>442.83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387.00</w:t>
            </w:r>
          </w:p>
        </w:tc>
        <w:tc>
          <w:tcPr>
            <w:tcW w:w="2551" w:type="dxa"/>
            <w:vAlign w:val="center"/>
          </w:tcPr>
          <w:p>
            <w:pPr>
              <w:pStyle w:val="12"/>
            </w:pPr>
          </w:p>
        </w:tc>
        <w:tc>
          <w:tcPr>
            <w:tcW w:w="2551" w:type="dxa"/>
            <w:vAlign w:val="center"/>
          </w:tcPr>
          <w:p>
            <w:pPr>
              <w:pStyle w:val="12"/>
            </w:pPr>
            <w:r>
              <w:t>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2010806</w:t>
            </w:r>
          </w:p>
        </w:tc>
        <w:tc>
          <w:tcPr>
            <w:tcW w:w="4535" w:type="dxa"/>
            <w:vAlign w:val="center"/>
          </w:tcPr>
          <w:p>
            <w:pPr>
              <w:pStyle w:val="13"/>
            </w:pPr>
            <w:r>
              <w:t>信息化建设</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442.83</w:t>
            </w:r>
          </w:p>
        </w:tc>
        <w:tc>
          <w:tcPr>
            <w:tcW w:w="2551" w:type="dxa"/>
            <w:vAlign w:val="center"/>
          </w:tcPr>
          <w:p>
            <w:pPr>
              <w:pStyle w:val="16"/>
            </w:pPr>
            <w:r>
              <w:t>397.73</w:t>
            </w:r>
          </w:p>
        </w:tc>
        <w:tc>
          <w:tcPr>
            <w:tcW w:w="2551" w:type="dxa"/>
            <w:vAlign w:val="center"/>
          </w:tcPr>
          <w:p>
            <w:pPr>
              <w:pStyle w:val="16"/>
            </w:pPr>
            <w:r>
              <w:t>45.10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335.31</w:t>
            </w:r>
          </w:p>
        </w:tc>
        <w:tc>
          <w:tcPr>
            <w:tcW w:w="2551" w:type="dxa"/>
            <w:vAlign w:val="center"/>
          </w:tcPr>
          <w:p>
            <w:pPr>
              <w:pStyle w:val="12"/>
            </w:pPr>
            <w:r>
              <w:t>335.31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127.86</w:t>
            </w:r>
          </w:p>
        </w:tc>
        <w:tc>
          <w:tcPr>
            <w:tcW w:w="2551" w:type="dxa"/>
            <w:vAlign w:val="center"/>
          </w:tcPr>
          <w:p>
            <w:pPr>
              <w:pStyle w:val="12"/>
            </w:pPr>
            <w:r>
              <w:t>127.86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41.94</w:t>
            </w:r>
          </w:p>
        </w:tc>
        <w:tc>
          <w:tcPr>
            <w:tcW w:w="2551" w:type="dxa"/>
            <w:vAlign w:val="center"/>
          </w:tcPr>
          <w:p>
            <w:pPr>
              <w:pStyle w:val="12"/>
            </w:pPr>
            <w:r>
              <w:t>41.94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27.80</w:t>
            </w:r>
          </w:p>
        </w:tc>
        <w:tc>
          <w:tcPr>
            <w:tcW w:w="2551" w:type="dxa"/>
            <w:vAlign w:val="center"/>
          </w:tcPr>
          <w:p>
            <w:pPr>
              <w:pStyle w:val="12"/>
            </w:pPr>
            <w:r>
              <w:t>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49.13</w:t>
            </w:r>
          </w:p>
        </w:tc>
        <w:tc>
          <w:tcPr>
            <w:tcW w:w="2551" w:type="dxa"/>
            <w:vAlign w:val="center"/>
          </w:tcPr>
          <w:p>
            <w:pPr>
              <w:pStyle w:val="12"/>
            </w:pPr>
            <w:r>
              <w:t>49.13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34.17</w:t>
            </w:r>
          </w:p>
        </w:tc>
        <w:tc>
          <w:tcPr>
            <w:tcW w:w="2551" w:type="dxa"/>
            <w:vAlign w:val="center"/>
          </w:tcPr>
          <w:p>
            <w:pPr>
              <w:pStyle w:val="12"/>
            </w:pPr>
            <w:r>
              <w:t>34.17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14.03</w:t>
            </w:r>
          </w:p>
        </w:tc>
        <w:tc>
          <w:tcPr>
            <w:tcW w:w="2551" w:type="dxa"/>
            <w:vAlign w:val="center"/>
          </w:tcPr>
          <w:p>
            <w:pPr>
              <w:pStyle w:val="12"/>
            </w:pPr>
            <w:r>
              <w:t>14.03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7.13</w:t>
            </w:r>
          </w:p>
        </w:tc>
        <w:tc>
          <w:tcPr>
            <w:tcW w:w="2551" w:type="dxa"/>
            <w:vAlign w:val="center"/>
          </w:tcPr>
          <w:p>
            <w:pPr>
              <w:pStyle w:val="12"/>
            </w:pPr>
            <w:r>
              <w:t>7.13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1.78</w:t>
            </w:r>
          </w:p>
        </w:tc>
        <w:tc>
          <w:tcPr>
            <w:tcW w:w="2551" w:type="dxa"/>
            <w:vAlign w:val="center"/>
          </w:tcPr>
          <w:p>
            <w:pPr>
              <w:pStyle w:val="12"/>
            </w:pPr>
            <w:r>
              <w:t>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27.87</w:t>
            </w:r>
          </w:p>
        </w:tc>
        <w:tc>
          <w:tcPr>
            <w:tcW w:w="2551" w:type="dxa"/>
            <w:vAlign w:val="center"/>
          </w:tcPr>
          <w:p>
            <w:pPr>
              <w:pStyle w:val="12"/>
            </w:pPr>
            <w:r>
              <w:t>27.87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45.10</w:t>
            </w:r>
          </w:p>
        </w:tc>
        <w:tc>
          <w:tcPr>
            <w:tcW w:w="2551" w:type="dxa"/>
            <w:vAlign w:val="center"/>
          </w:tcPr>
          <w:p>
            <w:pPr>
              <w:pStyle w:val="12"/>
            </w:pPr>
          </w:p>
        </w:tc>
        <w:tc>
          <w:tcPr>
            <w:tcW w:w="2551" w:type="dxa"/>
            <w:vAlign w:val="center"/>
          </w:tcPr>
          <w:p>
            <w:pPr>
              <w:pStyle w:val="12"/>
            </w:pPr>
            <w:r>
              <w:t>45.10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6.21</w:t>
            </w:r>
          </w:p>
        </w:tc>
        <w:tc>
          <w:tcPr>
            <w:tcW w:w="2551" w:type="dxa"/>
            <w:vAlign w:val="center"/>
          </w:tcPr>
          <w:p>
            <w:pPr>
              <w:pStyle w:val="12"/>
            </w:pPr>
          </w:p>
        </w:tc>
        <w:tc>
          <w:tcPr>
            <w:tcW w:w="2551" w:type="dxa"/>
            <w:vAlign w:val="center"/>
          </w:tcPr>
          <w:p>
            <w:pPr>
              <w:pStyle w:val="12"/>
            </w:pPr>
            <w:r>
              <w:t>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6.99</w:t>
            </w:r>
          </w:p>
        </w:tc>
        <w:tc>
          <w:tcPr>
            <w:tcW w:w="2551" w:type="dxa"/>
            <w:vAlign w:val="center"/>
          </w:tcPr>
          <w:p>
            <w:pPr>
              <w:pStyle w:val="12"/>
            </w:pPr>
          </w:p>
        </w:tc>
        <w:tc>
          <w:tcPr>
            <w:tcW w:w="2551" w:type="dxa"/>
            <w:vAlign w:val="center"/>
          </w:tcPr>
          <w:p>
            <w:pPr>
              <w:pStyle w:val="12"/>
            </w:pPr>
            <w:r>
              <w:t>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8.94</w:t>
            </w:r>
          </w:p>
        </w:tc>
        <w:tc>
          <w:tcPr>
            <w:tcW w:w="2551" w:type="dxa"/>
            <w:vAlign w:val="center"/>
          </w:tcPr>
          <w:p>
            <w:pPr>
              <w:pStyle w:val="12"/>
            </w:pPr>
          </w:p>
        </w:tc>
        <w:tc>
          <w:tcPr>
            <w:tcW w:w="2551" w:type="dxa"/>
            <w:vAlign w:val="center"/>
          </w:tcPr>
          <w:p>
            <w:pPr>
              <w:pStyle w:val="12"/>
            </w:pPr>
            <w: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7.45</w:t>
            </w:r>
          </w:p>
        </w:tc>
        <w:tc>
          <w:tcPr>
            <w:tcW w:w="2551" w:type="dxa"/>
            <w:vAlign w:val="center"/>
          </w:tcPr>
          <w:p>
            <w:pPr>
              <w:pStyle w:val="12"/>
            </w:pPr>
          </w:p>
        </w:tc>
        <w:tc>
          <w:tcPr>
            <w:tcW w:w="2551" w:type="dxa"/>
            <w:vAlign w:val="center"/>
          </w:tcPr>
          <w:p>
            <w:pPr>
              <w:pStyle w:val="12"/>
            </w:pPr>
            <w: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62.42</w:t>
            </w:r>
          </w:p>
        </w:tc>
        <w:tc>
          <w:tcPr>
            <w:tcW w:w="2551" w:type="dxa"/>
            <w:vAlign w:val="center"/>
          </w:tcPr>
          <w:p>
            <w:pPr>
              <w:pStyle w:val="12"/>
            </w:pPr>
            <w:r>
              <w:t>62.42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61.36</w:t>
            </w:r>
          </w:p>
        </w:tc>
        <w:tc>
          <w:tcPr>
            <w:tcW w:w="2551" w:type="dxa"/>
            <w:vAlign w:val="center"/>
          </w:tcPr>
          <w:p>
            <w:pPr>
              <w:pStyle w:val="12"/>
            </w:pPr>
            <w:r>
              <w:t>61.36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319晋州市审计局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晋州市审计局2026年部门预算信息公开情况说明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晋州市审计局2026年部门预算信息公开情况说明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按照《中华人民共和国预算法》、《地方预决算公开操作规程》和《关于进一步推进预算公开工作的实施意见》规定，现将晋州市审计局2026年部门预算公开如下：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委省政府、石家庄市委市政府和晋州市委市政府有关重大政策措施贯彻落实情况进行跟踪审计；对审计、专项审计调查和核查社会审计机构相关审计报告的结果承担责任，并负有督促被审计单位整改的责任。</w:t>
      </w:r>
    </w:p>
    <w:p>
      <w:pPr>
        <w:pStyle w:val="18"/>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8"/>
      </w:pPr>
      <w:r>
        <w:t>（三）向中共晋州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pPr>
        <w:pStyle w:val="18"/>
      </w:pPr>
      <w:r>
        <w:t>（四）直接审计下列事项，出具审计报告。在法定职权范围内作出审计决定，包括国家、省、石家庄市和晋州市有关重大政策措施贯彻落实情况；市本级预算执行情况和其他财政收支，市直各部门（含所属单位）预算执行情况、决算草案和其他财政收支；乡镇政府（开发区）预算执行情况、决算草案和其他财政收支；中央、省和石家庄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pPr>
        <w:pStyle w:val="18"/>
      </w:pPr>
      <w:r>
        <w:t>（五）按规定对市党政主要领导干部及其他单位主要负责人实施经济责任审计和自然资源资产离任审计。</w:t>
      </w:r>
    </w:p>
    <w:p>
      <w:pPr>
        <w:pStyle w:val="18"/>
      </w:pPr>
      <w:r>
        <w:t>（六）组织实施对财经法律法规、规章、政策和宏观调控措施执行情况、财政预算管理及国有资产管理使用等与财政收支有关的特定事项进行专项审计调查。</w:t>
      </w:r>
    </w:p>
    <w:p>
      <w:pPr>
        <w:pStyle w:val="18"/>
      </w:pPr>
      <w:r>
        <w:t>（七）依法检查审计决定执行情况。督促整改审计查出的问题；依法办理被审计单位对审计决定提请行政复议、行政诉讼或市政府裁决中的有关事项；协助配合有关部门查处相关重大案件。                                                   （八）指导和监督内部审计工作。核查社会审计机构</w:t>
      </w:r>
    </w:p>
    <w:p>
      <w:pPr>
        <w:pStyle w:val="18"/>
      </w:pPr>
      <w:r>
        <w:t>对依法属于审计监督对象的单位出具的相关审计报告。</w:t>
      </w:r>
    </w:p>
    <w:p>
      <w:pPr>
        <w:pStyle w:val="18"/>
      </w:pPr>
      <w:r>
        <w:t>（九）会同市委机构编制委员会办公室，对党政机关及直属事业单位的机构设置、编制使用，以及有关机构编制规定的执行情况进行审计调查。</w:t>
      </w:r>
    </w:p>
    <w:p>
      <w:pPr>
        <w:pStyle w:val="18"/>
      </w:pPr>
      <w:r>
        <w:t>（十）组织开展审计领域的交流与合作。负责审计信息系统建设；指导和推广信息技术在审计领域的应用。</w:t>
      </w:r>
    </w:p>
    <w:p>
      <w:pPr>
        <w:pStyle w:val="18"/>
      </w:pPr>
      <w:r>
        <w:t>（十一）完成市委、市政府和上级审计机关交办的其他任务。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按照预算管理有关规定，目前部门预算的编制实行综合预算管理，即全部收入和支出都反映在预算中。晋州市审计局机关及所属事业单位的收支包含在部门预算中。</w:t>
      </w:r>
    </w:p>
    <w:p>
      <w:pPr>
        <w:pStyle w:val="19"/>
      </w:pPr>
      <w:r>
        <w:t>1、收入说明</w:t>
      </w:r>
    </w:p>
    <w:p>
      <w:pPr>
        <w:pStyle w:val="19"/>
      </w:pPr>
      <w:r>
        <w:t>反映本部门当年全部收入。2026年预算收入839.83万元，其中：一般公共预算收入839.83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审计局年度部门预算中支出预算的总体情况。2026年支出预算839.83万元，其中基本支出442.83万元，包括人员经费397.73万元和日常公用经费45.10万元；项目支出397.00万元，主要为项目审计费、重大政策跟踪审计经费、信息化建设及网络维护费等项目支出；预计下年使用的单位资金结余0.00万元。委托业务费共计安排350.00万元，主要用于因技术原因确需对外委托的辅助性工作和确有必要对外委托开展咨询、评审、规划等工作。</w:t>
      </w:r>
    </w:p>
    <w:p>
      <w:pPr>
        <w:pStyle w:val="19"/>
      </w:pPr>
      <w:r>
        <w:t>3、比上年增减情况</w:t>
      </w:r>
    </w:p>
    <w:p>
      <w:pPr>
        <w:pStyle w:val="19"/>
      </w:pPr>
      <w:r>
        <w:t>2026年预算收支安排839.83万元，较2025年预算增加9.17万元，其中：基本支出增加15.17万元，主要为调资及人员增加。项目支出减少6.00万元，主要为中央对地方审计专项补助经费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2026年，我部门机关运行经费共计安排45.10万元，主要用于日常维修、办公用房水电费、办公用房取暖费、办公用房物业管理费等日常运行支出。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压缩开支，节约财政资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引领，坚定不移地贯彻审计署党组审计部署，创新审计理念、聚焦审计重点，依法履职尽责。2026年充分调动审计人员工作积极性、主动性，保证审计质量，提高工作效率，履行好审计监督职责。做好国家重大政策措施落实情况跟踪审计、预算执行审计、建设项目、信息化建设、领导干部经济责任审计、自然资源责任审计、有关机构编制规定的执行及使用情况等各项工作。对经济领域中带有全局性、普遍性、倾向性的以及宏观调控措施执行情况、与财政收支有关的财政预算管理及国有资产管理使用等特定事项进行系统调查了解并向市政府报告情况和结果。制定内部审计措施并组织落实，制定内部审计业务规章、制度、管理办法等并开展监督检查；保障内部审计工作的顺利进行。组织开展信息化建设，教育培训，审计理论研究、抓好新闻宣传和文化建设，政务信息公开，开展审计服务和业务咨询，抓好干部队伍建设，基础设施建设及其他综合事务。加强宣传引导，提高人员业务水平，提高审计业务质量，推动审计事业发展。认真做好上级审计机关、市委、市政府安排的其他审计工作。通过财政财务收支审计真实、合法和效益情况，维护国家财政经济秩序，促进廉政建设，保障国民经济的健康运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（一）审计业务方面绩效目标</w:t>
      </w:r>
    </w:p>
    <w:p>
      <w:pPr>
        <w:pStyle w:val="23"/>
      </w:pPr>
      <w:r>
        <w:t>绩效目标：做好国家重大政策措施落实情况跟踪审计、预算执行审计、领导干部经济责任审计、建设项目、信息化建设、自然资源离任审计、有关机构编制规定的执行及使用情况以及上级审计机关，市委、市政府安排的其他审计等工作，通过审计调查，综合分析，向有关部门反映情况，揭露问题、提出解决问题的建议，为政府决策提供依据。</w:t>
      </w:r>
      <w:r>
        <w:tab/>
      </w:r>
    </w:p>
    <w:p>
      <w:pPr>
        <w:pStyle w:val="23"/>
      </w:pPr>
      <w:r>
        <w:t>绩效指标：审计计划完成情况≥100%；审计决定落实情况≥95%、专项审计工作完成率≥100%。</w:t>
      </w:r>
    </w:p>
    <w:p>
      <w:pPr>
        <w:pStyle w:val="23"/>
      </w:pPr>
      <w:r>
        <w:t>（二）审计管理方面绩效目标</w:t>
      </w:r>
    </w:p>
    <w:p>
      <w:pPr>
        <w:pStyle w:val="23"/>
      </w:pPr>
      <w:r>
        <w:t>绩效目标：进行内部审计管理和审计法制管理。贯彻落实相关法律法规及内部审计管理制度提高审计质量和审计机关法制管理水平；通过审计项目审理来保障审计质量，提高县级审计法制管理水平。</w:t>
      </w:r>
    </w:p>
    <w:p>
      <w:pPr>
        <w:pStyle w:val="23"/>
      </w:pPr>
      <w:r>
        <w:t>绩效指标：内审业务指导、监督检查率≥95%，审计项目审理覆盖率≥100%。</w:t>
      </w:r>
    </w:p>
    <w:p>
      <w:pPr>
        <w:pStyle w:val="23"/>
      </w:pPr>
      <w:r>
        <w:t>（三）审计政务管理方面绩效目标</w:t>
      </w:r>
    </w:p>
    <w:p>
      <w:pPr>
        <w:pStyle w:val="23"/>
      </w:pPr>
      <w:r>
        <w:t>绩效目标：充分发挥参谋助手作用和综合协调作用，推进审计事业科学协调发展，信息保障安全有效，信息化建设稳步推进，加强宣传引导；提高审计人员业务水平，保障机关正常运行，推动审计事业发展。</w:t>
      </w:r>
    </w:p>
    <w:p>
      <w:pPr>
        <w:pStyle w:val="23"/>
      </w:pPr>
      <w:r>
        <w:t>绩效指标：综合业务管理工作完成率≥95%，综合事务管理工作完成率≥95%。</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 加强宣传培训调研等。加强人员培训，提高本部门职工业务素质；加强调研，提出优化财政资金配置、提高资金使用效益的意见；加大宣传力度，强化预算绩效管理意识，促进预算绩效管理水平进一步提升。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1、项目审计费绩效目标表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13018326P00032810292Y</w:t>
            </w:r>
          </w:p>
        </w:tc>
        <w:tc>
          <w:tcPr>
            <w:tcW w:w="2835" w:type="dxa"/>
            <w:vAlign w:val="center"/>
          </w:tcPr>
          <w:p>
            <w:pPr>
              <w:pStyle w:val="11"/>
            </w:pPr>
            <w:r>
              <w:t>项目名称</w:t>
            </w:r>
          </w:p>
        </w:tc>
        <w:tc>
          <w:tcPr>
            <w:tcW w:w="6095" w:type="dxa"/>
            <w:gridSpan w:val="3"/>
            <w:vAlign w:val="center"/>
          </w:tcPr>
          <w:p>
            <w:pPr>
              <w:pStyle w:val="13"/>
            </w:pPr>
            <w:r>
              <w:t>项目审计费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w:t>
            </w:r>
          </w:p>
        </w:tc>
        <w:tc>
          <w:tcPr>
            <w:tcW w:w="2835" w:type="dxa"/>
            <w:vAlign w:val="center"/>
          </w:tcPr>
          <w:p>
            <w:pPr>
              <w:pStyle w:val="11"/>
            </w:pPr>
            <w:r>
              <w:t>其中：财政    资金</w:t>
            </w:r>
          </w:p>
        </w:tc>
        <w:tc>
          <w:tcPr>
            <w:tcW w:w="2551" w:type="dxa"/>
            <w:vAlign w:val="center"/>
          </w:tcPr>
          <w:p>
            <w:pPr>
              <w:pStyle w:val="13"/>
            </w:pPr>
            <w:r>
              <w:t>350.00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用于审计人员不足，需聘请外部审计人员和专家对重点项目进行审计。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1.对重点项目进行审计，及时发现问题，节约财政资金。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审计项目数量</w:t>
            </w:r>
          </w:p>
        </w:tc>
        <w:tc>
          <w:tcPr>
            <w:tcW w:w="5386" w:type="dxa"/>
            <w:vAlign w:val="center"/>
          </w:tcPr>
          <w:p>
            <w:pPr>
              <w:pStyle w:val="13"/>
            </w:pPr>
            <w:r>
              <w:t>财政投资重点建设项目计划审计的数量</w:t>
            </w:r>
          </w:p>
        </w:tc>
        <w:tc>
          <w:tcPr>
            <w:tcW w:w="2268" w:type="dxa"/>
            <w:vAlign w:val="center"/>
          </w:tcPr>
          <w:p>
            <w:pPr>
              <w:pStyle w:val="13"/>
            </w:pPr>
            <w:r>
              <w:t>≥15个</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审计计划完成率</w:t>
            </w:r>
          </w:p>
        </w:tc>
        <w:tc>
          <w:tcPr>
            <w:tcW w:w="5386" w:type="dxa"/>
            <w:vAlign w:val="center"/>
          </w:tcPr>
          <w:p>
            <w:pPr>
              <w:pStyle w:val="13"/>
            </w:pPr>
            <w:r>
              <w:t>反映审计结果落实情况</w:t>
            </w:r>
          </w:p>
        </w:tc>
        <w:tc>
          <w:tcPr>
            <w:tcW w:w="2268" w:type="dxa"/>
            <w:vAlign w:val="center"/>
          </w:tcPr>
          <w:p>
            <w:pPr>
              <w:pStyle w:val="13"/>
            </w:pPr>
            <w:r>
              <w:t>≥95%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审计项目完成率</w:t>
            </w:r>
          </w:p>
        </w:tc>
        <w:tc>
          <w:tcPr>
            <w:tcW w:w="5386" w:type="dxa"/>
            <w:vAlign w:val="center"/>
          </w:tcPr>
          <w:p>
            <w:pPr>
              <w:pStyle w:val="13"/>
            </w:pPr>
            <w:r>
              <w:t>财政投资重点建设项目审计计划完成情况</w:t>
            </w:r>
          </w:p>
        </w:tc>
        <w:tc>
          <w:tcPr>
            <w:tcW w:w="2268" w:type="dxa"/>
            <w:vAlign w:val="center"/>
          </w:tcPr>
          <w:p>
            <w:pPr>
              <w:pStyle w:val="13"/>
            </w:pPr>
            <w:r>
              <w:t>≥95%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350万元</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项目决算财政资金核减，节约财政资金</w:t>
            </w:r>
          </w:p>
        </w:tc>
        <w:tc>
          <w:tcPr>
            <w:tcW w:w="5386" w:type="dxa"/>
            <w:vAlign w:val="center"/>
          </w:tcPr>
          <w:p>
            <w:pPr>
              <w:pStyle w:val="13"/>
            </w:pPr>
            <w:r>
              <w:t>项目决算财政资金核减，节约财政资金</w:t>
            </w:r>
          </w:p>
        </w:tc>
        <w:tc>
          <w:tcPr>
            <w:tcW w:w="2268" w:type="dxa"/>
            <w:vAlign w:val="center"/>
          </w:tcPr>
          <w:p>
            <w:pPr>
              <w:pStyle w:val="13"/>
            </w:pPr>
            <w:r>
              <w:t>≥5%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2、信息化建设及网络维护费项目绩效目标表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13018326P00032810279G</w:t>
            </w:r>
          </w:p>
        </w:tc>
        <w:tc>
          <w:tcPr>
            <w:tcW w:w="2835" w:type="dxa"/>
            <w:vAlign w:val="center"/>
          </w:tcPr>
          <w:p>
            <w:pPr>
              <w:pStyle w:val="11"/>
            </w:pPr>
            <w:r>
              <w:t>项目名称</w:t>
            </w:r>
          </w:p>
        </w:tc>
        <w:tc>
          <w:tcPr>
            <w:tcW w:w="6095" w:type="dxa"/>
            <w:gridSpan w:val="3"/>
            <w:vAlign w:val="center"/>
          </w:tcPr>
          <w:p>
            <w:pPr>
              <w:pStyle w:val="13"/>
            </w:pPr>
            <w:r>
              <w:t>信息化建设及网络维护费项目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维护审计机关专网及信息安全系统正常运转。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1.主要用于维护审计机关网络信息安全，系统正常运转，保障审计网络系统运行畅通。</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设备维护次数</w:t>
            </w:r>
          </w:p>
        </w:tc>
        <w:tc>
          <w:tcPr>
            <w:tcW w:w="5386" w:type="dxa"/>
            <w:vAlign w:val="center"/>
          </w:tcPr>
          <w:p>
            <w:pPr>
              <w:pStyle w:val="13"/>
            </w:pPr>
            <w:r>
              <w:t>网络设备维护次数</w:t>
            </w:r>
          </w:p>
        </w:tc>
        <w:tc>
          <w:tcPr>
            <w:tcW w:w="2268" w:type="dxa"/>
            <w:vAlign w:val="center"/>
          </w:tcPr>
          <w:p>
            <w:pPr>
              <w:pStyle w:val="13"/>
            </w:pPr>
            <w:r>
              <w:t>≥1次</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网络及信息化建设情况</w:t>
            </w:r>
          </w:p>
        </w:tc>
        <w:tc>
          <w:tcPr>
            <w:tcW w:w="5386" w:type="dxa"/>
            <w:vAlign w:val="center"/>
          </w:tcPr>
          <w:p>
            <w:pPr>
              <w:pStyle w:val="13"/>
            </w:pPr>
            <w:r>
              <w:t>提高审计机关业务质量，保障机关正常运行</w:t>
            </w:r>
          </w:p>
        </w:tc>
        <w:tc>
          <w:tcPr>
            <w:tcW w:w="2268" w:type="dxa"/>
            <w:vAlign w:val="center"/>
          </w:tcPr>
          <w:p>
            <w:pPr>
              <w:pStyle w:val="13"/>
            </w:pPr>
            <w:r>
              <w:t>≥95%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未按时网络维护的次数</w:t>
            </w:r>
          </w:p>
        </w:tc>
        <w:tc>
          <w:tcPr>
            <w:tcW w:w="5386" w:type="dxa"/>
            <w:vAlign w:val="center"/>
          </w:tcPr>
          <w:p>
            <w:pPr>
              <w:pStyle w:val="13"/>
            </w:pPr>
            <w:r>
              <w:t>未按时对网络系统进行维护的次数</w:t>
            </w:r>
          </w:p>
        </w:tc>
        <w:tc>
          <w:tcPr>
            <w:tcW w:w="2268" w:type="dxa"/>
            <w:vAlign w:val="center"/>
          </w:tcPr>
          <w:p>
            <w:pPr>
              <w:pStyle w:val="13"/>
            </w:pPr>
            <w:r>
              <w:t>≤1次</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资金使用情况</w:t>
            </w:r>
          </w:p>
        </w:tc>
        <w:tc>
          <w:tcPr>
            <w:tcW w:w="5386" w:type="dxa"/>
            <w:vAlign w:val="center"/>
          </w:tcPr>
          <w:p>
            <w:pPr>
              <w:pStyle w:val="13"/>
            </w:pPr>
            <w:r>
              <w:t>资金按计划使用情况</w:t>
            </w:r>
          </w:p>
        </w:tc>
        <w:tc>
          <w:tcPr>
            <w:tcW w:w="2268" w:type="dxa"/>
            <w:vAlign w:val="center"/>
          </w:tcPr>
          <w:p>
            <w:pPr>
              <w:pStyle w:val="13"/>
            </w:pPr>
            <w:r>
              <w:t>100%</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网络信息保障情况</w:t>
            </w:r>
          </w:p>
        </w:tc>
        <w:tc>
          <w:tcPr>
            <w:tcW w:w="5386" w:type="dxa"/>
            <w:vAlign w:val="center"/>
          </w:tcPr>
          <w:p>
            <w:pPr>
              <w:pStyle w:val="13"/>
            </w:pPr>
            <w:r>
              <w:t>保障审计厅开发等审计专网网络畅通</w:t>
            </w:r>
          </w:p>
        </w:tc>
        <w:tc>
          <w:tcPr>
            <w:tcW w:w="2268" w:type="dxa"/>
            <w:vAlign w:val="center"/>
          </w:tcPr>
          <w:p>
            <w:pPr>
              <w:pStyle w:val="13"/>
            </w:pPr>
            <w:r>
              <w:t>≥95%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3、重大政策跟踪审计经费绩效目标表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13018326P00032810288Q</w:t>
            </w:r>
          </w:p>
        </w:tc>
        <w:tc>
          <w:tcPr>
            <w:tcW w:w="2835" w:type="dxa"/>
            <w:vAlign w:val="center"/>
          </w:tcPr>
          <w:p>
            <w:pPr>
              <w:pStyle w:val="11"/>
            </w:pPr>
            <w:r>
              <w:t>项目名称</w:t>
            </w:r>
          </w:p>
        </w:tc>
        <w:tc>
          <w:tcPr>
            <w:tcW w:w="6095" w:type="dxa"/>
            <w:gridSpan w:val="3"/>
            <w:vAlign w:val="center"/>
          </w:tcPr>
          <w:p>
            <w:pPr>
              <w:pStyle w:val="13"/>
            </w:pPr>
            <w:r>
              <w:t>重大政策跟踪审计经费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重大政策措施落实所需的保障经费、业务能力提升经费等费用的支出。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1.用于弥补“六稳”政策落实情况等重大政策措施落实情况跟踪审计经费不足，更好完成审计工作任务。</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补充办公经费，购买办公用品</w:t>
            </w:r>
          </w:p>
        </w:tc>
        <w:tc>
          <w:tcPr>
            <w:tcW w:w="5386" w:type="dxa"/>
            <w:vAlign w:val="center"/>
          </w:tcPr>
          <w:p>
            <w:pPr>
              <w:pStyle w:val="13"/>
            </w:pPr>
            <w:r>
              <w:t>补充办公经费，购买办公用品</w:t>
            </w:r>
          </w:p>
        </w:tc>
        <w:tc>
          <w:tcPr>
            <w:tcW w:w="2268" w:type="dxa"/>
            <w:vAlign w:val="center"/>
          </w:tcPr>
          <w:p>
            <w:pPr>
              <w:pStyle w:val="13"/>
            </w:pPr>
            <w:r>
              <w:t>≥3件/月</w:t>
            </w:r>
          </w:p>
        </w:tc>
        <w:tc>
          <w:tcPr>
            <w:tcW w:w="1276" w:type="dxa"/>
            <w:vAlign w:val="center"/>
          </w:tcPr>
          <w:p>
            <w:pPr>
              <w:pStyle w:val="13"/>
            </w:pPr>
            <w:r>
              <w:t>审发办[2007]41号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审计计划完成情况</w:t>
            </w:r>
          </w:p>
        </w:tc>
        <w:tc>
          <w:tcPr>
            <w:tcW w:w="5386" w:type="dxa"/>
            <w:vAlign w:val="center"/>
          </w:tcPr>
          <w:p>
            <w:pPr>
              <w:pStyle w:val="13"/>
            </w:pPr>
            <w:r>
              <w:t>通过弥补办公经费不足，保证正常办公</w:t>
            </w:r>
          </w:p>
        </w:tc>
        <w:tc>
          <w:tcPr>
            <w:tcW w:w="2268" w:type="dxa"/>
            <w:vAlign w:val="center"/>
          </w:tcPr>
          <w:p>
            <w:pPr>
              <w:pStyle w:val="13"/>
            </w:pPr>
            <w:r>
              <w:t>≥95%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资金使用情况</w:t>
            </w:r>
          </w:p>
        </w:tc>
        <w:tc>
          <w:tcPr>
            <w:tcW w:w="5386" w:type="dxa"/>
            <w:vAlign w:val="center"/>
          </w:tcPr>
          <w:p>
            <w:pPr>
              <w:pStyle w:val="13"/>
            </w:pPr>
            <w:r>
              <w:t>按计划使用资金情况</w:t>
            </w:r>
          </w:p>
        </w:tc>
        <w:tc>
          <w:tcPr>
            <w:tcW w:w="2268" w:type="dxa"/>
            <w:vAlign w:val="center"/>
          </w:tcPr>
          <w:p>
            <w:pPr>
              <w:pStyle w:val="13"/>
            </w:pPr>
            <w:r>
              <w:t>≥95%</w:t>
            </w:r>
          </w:p>
        </w:tc>
        <w:tc>
          <w:tcPr>
            <w:tcW w:w="1276" w:type="dxa"/>
            <w:vAlign w:val="center"/>
          </w:tcPr>
          <w:p>
            <w:pPr>
              <w:pStyle w:val="13"/>
            </w:pPr>
            <w:r>
              <w:t>审发办[2007]41号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37万元</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维护国家财政经济秩序</w:t>
            </w:r>
          </w:p>
        </w:tc>
        <w:tc>
          <w:tcPr>
            <w:tcW w:w="5386" w:type="dxa"/>
            <w:vAlign w:val="center"/>
          </w:tcPr>
          <w:p>
            <w:pPr>
              <w:pStyle w:val="13"/>
            </w:pPr>
            <w:r>
              <w:t>财政资金等真实、合法、效益情况</w:t>
            </w:r>
          </w:p>
        </w:tc>
        <w:tc>
          <w:tcPr>
            <w:tcW w:w="2268" w:type="dxa"/>
            <w:vAlign w:val="center"/>
          </w:tcPr>
          <w:p>
            <w:pPr>
              <w:pStyle w:val="13"/>
            </w:pPr>
            <w:r>
              <w:t>≥95%</w:t>
            </w:r>
          </w:p>
        </w:tc>
        <w:tc>
          <w:tcPr>
            <w:tcW w:w="1276" w:type="dxa"/>
            <w:vAlign w:val="center"/>
          </w:tcPr>
          <w:p>
            <w:pPr>
              <w:pStyle w:val="13"/>
            </w:pPr>
            <w:r>
              <w:t>审发办[2007]41号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319晋州市审计局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350.98</w:t>
            </w:r>
          </w:p>
        </w:tc>
        <w:tc>
          <w:tcPr>
            <w:tcW w:w="964" w:type="dxa"/>
            <w:vAlign w:val="center"/>
          </w:tcPr>
          <w:p>
            <w:pPr>
              <w:pStyle w:val="16"/>
            </w:pPr>
            <w:r>
              <w:t>350.98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晋州市审计局本级小计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350.98</w:t>
            </w:r>
          </w:p>
        </w:tc>
        <w:tc>
          <w:tcPr>
            <w:tcW w:w="964" w:type="dxa"/>
            <w:vAlign w:val="center"/>
          </w:tcPr>
          <w:p>
            <w:pPr>
              <w:pStyle w:val="16"/>
            </w:pPr>
            <w:r>
              <w:t>350.98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17.38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17.38</w:t>
            </w:r>
          </w:p>
        </w:tc>
        <w:tc>
          <w:tcPr>
            <w:tcW w:w="1134" w:type="dxa"/>
            <w:vAlign w:val="center"/>
          </w:tcPr>
          <w:p>
            <w:pPr>
              <w:pStyle w:val="13"/>
            </w:pPr>
            <w:r>
              <w:t>鼓粉盒</w:t>
            </w:r>
          </w:p>
        </w:tc>
        <w:tc>
          <w:tcPr>
            <w:tcW w:w="1134" w:type="dxa"/>
            <w:vAlign w:val="center"/>
          </w:tcPr>
          <w:p>
            <w:pPr>
              <w:pStyle w:val="13"/>
            </w:pPr>
            <w:r>
              <w:t>A05040201</w:t>
            </w:r>
          </w:p>
        </w:tc>
        <w:tc>
          <w:tcPr>
            <w:tcW w:w="709" w:type="dxa"/>
            <w:vAlign w:val="center"/>
          </w:tcPr>
          <w:p>
            <w:pPr>
              <w:pStyle w:val="14"/>
            </w:pPr>
            <w:r>
              <w:t>支</w:t>
            </w:r>
          </w:p>
        </w:tc>
        <w:tc>
          <w:tcPr>
            <w:tcW w:w="850" w:type="dxa"/>
            <w:vAlign w:val="center"/>
          </w:tcPr>
          <w:p>
            <w:pPr>
              <w:pStyle w:val="12"/>
            </w:pPr>
            <w:r>
              <w:t>10</w:t>
            </w:r>
          </w:p>
        </w:tc>
        <w:tc>
          <w:tcPr>
            <w:tcW w:w="850" w:type="dxa"/>
            <w:vAlign w:val="center"/>
          </w:tcPr>
          <w:p>
            <w:pPr>
              <w:pStyle w:val="12"/>
            </w:pPr>
            <w:r>
              <w:t>0.04</w:t>
            </w:r>
          </w:p>
        </w:tc>
        <w:tc>
          <w:tcPr>
            <w:tcW w:w="964" w:type="dxa"/>
            <w:vAlign w:val="center"/>
          </w:tcPr>
          <w:p>
            <w:pPr>
              <w:pStyle w:val="12"/>
            </w:pPr>
            <w:r>
              <w:t>0.38</w:t>
            </w:r>
          </w:p>
        </w:tc>
        <w:tc>
          <w:tcPr>
            <w:tcW w:w="964" w:type="dxa"/>
            <w:vAlign w:val="center"/>
          </w:tcPr>
          <w:p>
            <w:pPr>
              <w:pStyle w:val="12"/>
            </w:pPr>
            <w:r>
              <w:t>0.38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17.38</w:t>
            </w:r>
          </w:p>
        </w:tc>
        <w:tc>
          <w:tcPr>
            <w:tcW w:w="1134" w:type="dxa"/>
            <w:vAlign w:val="center"/>
          </w:tcPr>
          <w:p>
            <w:pPr>
              <w:pStyle w:val="13"/>
            </w:pPr>
            <w:r>
              <w:t>文具</w:t>
            </w:r>
          </w:p>
        </w:tc>
        <w:tc>
          <w:tcPr>
            <w:tcW w:w="1134" w:type="dxa"/>
            <w:vAlign w:val="center"/>
          </w:tcPr>
          <w:p>
            <w:pPr>
              <w:pStyle w:val="13"/>
            </w:pPr>
            <w:r>
              <w:t>A05040401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项目审计费</w:t>
            </w:r>
          </w:p>
        </w:tc>
        <w:tc>
          <w:tcPr>
            <w:tcW w:w="964" w:type="dxa"/>
            <w:vAlign w:val="center"/>
          </w:tcPr>
          <w:p>
            <w:pPr>
              <w:pStyle w:val="12"/>
            </w:pPr>
            <w:r>
              <w:t>350.00</w:t>
            </w:r>
          </w:p>
        </w:tc>
        <w:tc>
          <w:tcPr>
            <w:tcW w:w="1134" w:type="dxa"/>
            <w:vAlign w:val="center"/>
          </w:tcPr>
          <w:p>
            <w:pPr>
              <w:pStyle w:val="13"/>
            </w:pPr>
            <w:r>
              <w:t>工程项目管理服务</w:t>
            </w:r>
          </w:p>
        </w:tc>
        <w:tc>
          <w:tcPr>
            <w:tcW w:w="1134" w:type="dxa"/>
            <w:vAlign w:val="center"/>
          </w:tcPr>
          <w:p>
            <w:pPr>
              <w:pStyle w:val="13"/>
            </w:pPr>
            <w:r>
              <w:t>C11040000</w:t>
            </w:r>
          </w:p>
        </w:tc>
        <w:tc>
          <w:tcPr>
            <w:tcW w:w="709" w:type="dxa"/>
            <w:vAlign w:val="center"/>
          </w:tcPr>
          <w:p>
            <w:pPr>
              <w:pStyle w:val="14"/>
            </w:pPr>
            <w:r>
              <w:t>项</w:t>
            </w:r>
          </w:p>
        </w:tc>
        <w:tc>
          <w:tcPr>
            <w:tcW w:w="850" w:type="dxa"/>
            <w:vAlign w:val="center"/>
          </w:tcPr>
          <w:p>
            <w:pPr>
              <w:pStyle w:val="12"/>
            </w:pPr>
            <w:r>
              <w:t>250</w:t>
            </w:r>
          </w:p>
        </w:tc>
        <w:tc>
          <w:tcPr>
            <w:tcW w:w="850" w:type="dxa"/>
            <w:vAlign w:val="center"/>
          </w:tcPr>
          <w:p>
            <w:pPr>
              <w:pStyle w:val="12"/>
            </w:pPr>
            <w:r>
              <w:t>1.00</w:t>
            </w:r>
          </w:p>
        </w:tc>
        <w:tc>
          <w:tcPr>
            <w:tcW w:w="964" w:type="dxa"/>
            <w:vAlign w:val="center"/>
          </w:tcPr>
          <w:p>
            <w:pPr>
              <w:pStyle w:val="12"/>
            </w:pPr>
            <w:r>
              <w:t>250.00</w:t>
            </w:r>
          </w:p>
        </w:tc>
        <w:tc>
          <w:tcPr>
            <w:tcW w:w="964" w:type="dxa"/>
            <w:vAlign w:val="center"/>
          </w:tcPr>
          <w:p>
            <w:pPr>
              <w:pStyle w:val="12"/>
            </w:pPr>
            <w:r>
              <w:t>250.00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项目审计费</w:t>
            </w:r>
          </w:p>
        </w:tc>
        <w:tc>
          <w:tcPr>
            <w:tcW w:w="964" w:type="dxa"/>
            <w:vAlign w:val="center"/>
          </w:tcPr>
          <w:p>
            <w:pPr>
              <w:pStyle w:val="12"/>
            </w:pPr>
            <w:r>
              <w:t>350.00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100</w:t>
            </w:r>
          </w:p>
        </w:tc>
        <w:tc>
          <w:tcPr>
            <w:tcW w:w="850" w:type="dxa"/>
            <w:vAlign w:val="center"/>
          </w:tcPr>
          <w:p>
            <w:pPr>
              <w:pStyle w:val="12"/>
            </w:pPr>
            <w:r>
              <w:t>1.00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晋州市审计局（含所属单位）上年末固定资产金额为125.84万元（详见下表）。本年度拟购置固定资产总额为0.00万元，已按要求列入政府采购预算，详见政府采购预算表。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319晋州市审计局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236</w:t>
            </w:r>
          </w:p>
        </w:tc>
        <w:tc>
          <w:tcPr>
            <w:tcW w:w="2835" w:type="dxa"/>
            <w:vAlign w:val="center"/>
          </w:tcPr>
          <w:p>
            <w:pPr>
              <w:pStyle w:val="12"/>
            </w:pPr>
            <w:r>
              <w:t>108.54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9F98C"/>
    <w:multiLevelType w:val="singleLevel"/>
    <w:tmpl w:val="0799F98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CCB7C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2026-03-02T08:45:00Z</dcterms:created>
  <dc:creator>Administrator</dc:creator>
  <cp:lastModifiedBy>Administrator</cp:lastModifiedBy>
  <dcterms:modified xsi:type="dcterms:W3CDTF">2026-03-02T03:10:13Z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