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322晋州市商务局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910.05</w:t>
            </w:r>
          </w:p>
        </w:tc>
        <w:tc>
          <w:tcPr>
            <w:tcW w:w="4535" w:type="dxa"/>
            <w:vAlign w:val="center"/>
          </w:tcPr>
          <w:p>
            <w:pPr>
              <w:pStyle w:val="13"/>
            </w:pPr>
            <w:r>
              <w:t>一、一般公共服务支出</w:t>
            </w:r>
          </w:p>
        </w:tc>
        <w:tc>
          <w:tcPr>
            <w:tcW w:w="2126" w:type="dxa"/>
            <w:vAlign w:val="center"/>
          </w:tcPr>
          <w:p>
            <w:pPr>
              <w:pStyle w:val="12"/>
            </w:pPr>
            <w:r>
              <w:t>910.05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671.00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1581.05</w:t>
            </w:r>
          </w:p>
        </w:tc>
        <w:tc>
          <w:tcPr>
            <w:tcW w:w="4535" w:type="dxa"/>
            <w:vAlign w:val="center"/>
          </w:tcPr>
          <w:p>
            <w:pPr>
              <w:pStyle w:val="15"/>
            </w:pPr>
            <w:r>
              <w:t>本年支出合计</w:t>
            </w:r>
          </w:p>
        </w:tc>
        <w:tc>
          <w:tcPr>
            <w:tcW w:w="2126" w:type="dxa"/>
            <w:vAlign w:val="center"/>
          </w:tcPr>
          <w:p>
            <w:pPr>
              <w:pStyle w:val="16"/>
            </w:pPr>
            <w:r>
              <w:t>1821.49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240.44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1821.49</w:t>
            </w:r>
          </w:p>
        </w:tc>
        <w:tc>
          <w:tcPr>
            <w:tcW w:w="4535" w:type="dxa"/>
            <w:vAlign w:val="center"/>
          </w:tcPr>
          <w:p>
            <w:pPr>
              <w:pStyle w:val="15"/>
            </w:pPr>
            <w:r>
              <w:t>支出总计</w:t>
            </w:r>
          </w:p>
        </w:tc>
        <w:tc>
          <w:tcPr>
            <w:tcW w:w="2126" w:type="dxa"/>
            <w:vAlign w:val="center"/>
          </w:tcPr>
          <w:p>
            <w:pPr>
              <w:pStyle w:val="16"/>
            </w:pPr>
            <w:r>
              <w:t>1821.49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322晋州市商务局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1821.49</w:t>
            </w:r>
          </w:p>
        </w:tc>
        <w:tc>
          <w:tcPr>
            <w:tcW w:w="1134" w:type="dxa"/>
            <w:vAlign w:val="center"/>
          </w:tcPr>
          <w:p>
            <w:pPr>
              <w:pStyle w:val="16"/>
            </w:pPr>
            <w:r>
              <w:t>1581.05</w:t>
            </w:r>
          </w:p>
        </w:tc>
        <w:tc>
          <w:tcPr>
            <w:tcW w:w="1134" w:type="dxa"/>
            <w:vAlign w:val="center"/>
          </w:tcPr>
          <w:p>
            <w:pPr>
              <w:pStyle w:val="16"/>
            </w:pPr>
            <w:r>
              <w:t>1581.05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910.05</w:t>
            </w:r>
          </w:p>
        </w:tc>
        <w:tc>
          <w:tcPr>
            <w:tcW w:w="1134" w:type="dxa"/>
            <w:vAlign w:val="center"/>
          </w:tcPr>
          <w:p>
            <w:pPr>
              <w:pStyle w:val="12"/>
            </w:pPr>
            <w:r>
              <w:t>910.05</w:t>
            </w:r>
          </w:p>
        </w:tc>
        <w:tc>
          <w:tcPr>
            <w:tcW w:w="1134" w:type="dxa"/>
            <w:vAlign w:val="center"/>
          </w:tcPr>
          <w:p>
            <w:pPr>
              <w:pStyle w:val="12"/>
            </w:pPr>
            <w:r>
              <w:t>910.05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910.05</w:t>
            </w:r>
          </w:p>
        </w:tc>
        <w:tc>
          <w:tcPr>
            <w:tcW w:w="1134" w:type="dxa"/>
            <w:vAlign w:val="center"/>
          </w:tcPr>
          <w:p>
            <w:pPr>
              <w:pStyle w:val="12"/>
            </w:pPr>
            <w:r>
              <w:t>910.05</w:t>
            </w:r>
          </w:p>
        </w:tc>
        <w:tc>
          <w:tcPr>
            <w:tcW w:w="1134" w:type="dxa"/>
            <w:vAlign w:val="center"/>
          </w:tcPr>
          <w:p>
            <w:pPr>
              <w:pStyle w:val="12"/>
            </w:pPr>
            <w:r>
              <w:t>910.05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2011301</w:t>
            </w:r>
          </w:p>
        </w:tc>
        <w:tc>
          <w:tcPr>
            <w:tcW w:w="1559" w:type="dxa"/>
            <w:vAlign w:val="center"/>
          </w:tcPr>
          <w:p>
            <w:pPr>
              <w:pStyle w:val="13"/>
            </w:pPr>
            <w:r>
              <w:t>行政运行</w:t>
            </w:r>
          </w:p>
        </w:tc>
        <w:tc>
          <w:tcPr>
            <w:tcW w:w="1134" w:type="dxa"/>
            <w:vAlign w:val="center"/>
          </w:tcPr>
          <w:p>
            <w:pPr>
              <w:pStyle w:val="12"/>
            </w:pPr>
            <w:r>
              <w:t>329.05</w:t>
            </w:r>
          </w:p>
        </w:tc>
        <w:tc>
          <w:tcPr>
            <w:tcW w:w="1134" w:type="dxa"/>
            <w:vAlign w:val="center"/>
          </w:tcPr>
          <w:p>
            <w:pPr>
              <w:pStyle w:val="12"/>
            </w:pPr>
            <w:r>
              <w:t>329.05</w:t>
            </w:r>
          </w:p>
        </w:tc>
        <w:tc>
          <w:tcPr>
            <w:tcW w:w="1134" w:type="dxa"/>
            <w:vAlign w:val="center"/>
          </w:tcPr>
          <w:p>
            <w:pPr>
              <w:pStyle w:val="12"/>
            </w:pPr>
            <w:r>
              <w:t>329.05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2011302</w:t>
            </w:r>
          </w:p>
        </w:tc>
        <w:tc>
          <w:tcPr>
            <w:tcW w:w="1559" w:type="dxa"/>
            <w:vAlign w:val="center"/>
          </w:tcPr>
          <w:p>
            <w:pPr>
              <w:pStyle w:val="13"/>
            </w:pPr>
            <w:r>
              <w:t>一般行政管理事务</w:t>
            </w:r>
          </w:p>
        </w:tc>
        <w:tc>
          <w:tcPr>
            <w:tcW w:w="1134" w:type="dxa"/>
            <w:vAlign w:val="center"/>
          </w:tcPr>
          <w:p>
            <w:pPr>
              <w:pStyle w:val="12"/>
            </w:pPr>
            <w:r>
              <w:t>143.24</w:t>
            </w:r>
          </w:p>
        </w:tc>
        <w:tc>
          <w:tcPr>
            <w:tcW w:w="1134" w:type="dxa"/>
            <w:vAlign w:val="center"/>
          </w:tcPr>
          <w:p>
            <w:pPr>
              <w:pStyle w:val="12"/>
            </w:pPr>
            <w:r>
              <w:t>143.24</w:t>
            </w:r>
          </w:p>
        </w:tc>
        <w:tc>
          <w:tcPr>
            <w:tcW w:w="1134" w:type="dxa"/>
            <w:vAlign w:val="center"/>
          </w:tcPr>
          <w:p>
            <w:pPr>
              <w:pStyle w:val="12"/>
            </w:pPr>
            <w:r>
              <w:t>143.24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2011350</w:t>
            </w:r>
          </w:p>
        </w:tc>
        <w:tc>
          <w:tcPr>
            <w:tcW w:w="1559" w:type="dxa"/>
            <w:vAlign w:val="center"/>
          </w:tcPr>
          <w:p>
            <w:pPr>
              <w:pStyle w:val="13"/>
            </w:pPr>
            <w:r>
              <w:t>事业运行</w:t>
            </w:r>
          </w:p>
        </w:tc>
        <w:tc>
          <w:tcPr>
            <w:tcW w:w="1134" w:type="dxa"/>
            <w:vAlign w:val="center"/>
          </w:tcPr>
          <w:p>
            <w:pPr>
              <w:pStyle w:val="12"/>
            </w:pPr>
            <w:r>
              <w:t>410.76</w:t>
            </w:r>
          </w:p>
        </w:tc>
        <w:tc>
          <w:tcPr>
            <w:tcW w:w="1134" w:type="dxa"/>
            <w:vAlign w:val="center"/>
          </w:tcPr>
          <w:p>
            <w:pPr>
              <w:pStyle w:val="12"/>
            </w:pPr>
            <w:r>
              <w:t>410.76</w:t>
            </w:r>
          </w:p>
        </w:tc>
        <w:tc>
          <w:tcPr>
            <w:tcW w:w="1134" w:type="dxa"/>
            <w:vAlign w:val="center"/>
          </w:tcPr>
          <w:p>
            <w:pPr>
              <w:pStyle w:val="12"/>
            </w:pPr>
            <w:r>
              <w:t>410.76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2011399</w:t>
            </w:r>
          </w:p>
        </w:tc>
        <w:tc>
          <w:tcPr>
            <w:tcW w:w="1559" w:type="dxa"/>
            <w:vAlign w:val="center"/>
          </w:tcPr>
          <w:p>
            <w:pPr>
              <w:pStyle w:val="13"/>
            </w:pPr>
            <w:r>
              <w:t>其他商贸事务支出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r>
              <w:t>671.00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240.44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21606</w:t>
            </w:r>
          </w:p>
        </w:tc>
        <w:tc>
          <w:tcPr>
            <w:tcW w:w="1559" w:type="dxa"/>
            <w:vAlign w:val="center"/>
          </w:tcPr>
          <w:p>
            <w:pPr>
              <w:pStyle w:val="13"/>
            </w:pPr>
            <w:r>
              <w:t>涉外发展服务支出</w:t>
            </w:r>
          </w:p>
        </w:tc>
        <w:tc>
          <w:tcPr>
            <w:tcW w:w="1134" w:type="dxa"/>
            <w:vAlign w:val="center"/>
          </w:tcPr>
          <w:p>
            <w:pPr>
              <w:pStyle w:val="12"/>
            </w:pPr>
            <w:r>
              <w:t>240.44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2160699</w:t>
            </w:r>
          </w:p>
        </w:tc>
        <w:tc>
          <w:tcPr>
            <w:tcW w:w="1559" w:type="dxa"/>
            <w:vAlign w:val="center"/>
          </w:tcPr>
          <w:p>
            <w:pPr>
              <w:pStyle w:val="13"/>
            </w:pPr>
            <w:r>
              <w:t>其他涉外发展服务支出</w:t>
            </w:r>
          </w:p>
        </w:tc>
        <w:tc>
          <w:tcPr>
            <w:tcW w:w="1134" w:type="dxa"/>
            <w:vAlign w:val="center"/>
          </w:tcPr>
          <w:p>
            <w:pPr>
              <w:pStyle w:val="12"/>
            </w:pPr>
            <w:r>
              <w:t>240.44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240.44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1821.49</w:t>
            </w:r>
          </w:p>
        </w:tc>
        <w:tc>
          <w:tcPr>
            <w:tcW w:w="1361" w:type="dxa"/>
            <w:vAlign w:val="center"/>
          </w:tcPr>
          <w:p>
            <w:pPr>
              <w:pStyle w:val="16"/>
            </w:pPr>
            <w:r>
              <w:t>739.81</w:t>
            </w:r>
          </w:p>
        </w:tc>
        <w:tc>
          <w:tcPr>
            <w:tcW w:w="1361" w:type="dxa"/>
            <w:vAlign w:val="center"/>
          </w:tcPr>
          <w:p>
            <w:pPr>
              <w:pStyle w:val="16"/>
            </w:pPr>
            <w:r>
              <w:t>1081.68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910.05</w:t>
            </w:r>
          </w:p>
        </w:tc>
        <w:tc>
          <w:tcPr>
            <w:tcW w:w="1361" w:type="dxa"/>
            <w:vAlign w:val="center"/>
          </w:tcPr>
          <w:p>
            <w:pPr>
              <w:pStyle w:val="12"/>
            </w:pPr>
            <w:r>
              <w:t>739.81</w:t>
            </w:r>
          </w:p>
        </w:tc>
        <w:tc>
          <w:tcPr>
            <w:tcW w:w="1361" w:type="dxa"/>
            <w:vAlign w:val="center"/>
          </w:tcPr>
          <w:p>
            <w:pPr>
              <w:pStyle w:val="12"/>
            </w:pPr>
            <w:r>
              <w:t>170.24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910.05</w:t>
            </w:r>
          </w:p>
        </w:tc>
        <w:tc>
          <w:tcPr>
            <w:tcW w:w="1361" w:type="dxa"/>
            <w:vAlign w:val="center"/>
          </w:tcPr>
          <w:p>
            <w:pPr>
              <w:pStyle w:val="12"/>
            </w:pPr>
            <w:r>
              <w:t>739.81</w:t>
            </w:r>
          </w:p>
        </w:tc>
        <w:tc>
          <w:tcPr>
            <w:tcW w:w="1361" w:type="dxa"/>
            <w:vAlign w:val="center"/>
          </w:tcPr>
          <w:p>
            <w:pPr>
              <w:pStyle w:val="12"/>
            </w:pPr>
            <w:r>
              <w:t>170.24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2011301</w:t>
            </w:r>
          </w:p>
        </w:tc>
        <w:tc>
          <w:tcPr>
            <w:tcW w:w="4535" w:type="dxa"/>
            <w:vAlign w:val="center"/>
          </w:tcPr>
          <w:p>
            <w:pPr>
              <w:pStyle w:val="13"/>
            </w:pPr>
            <w:r>
              <w:t>行政运行</w:t>
            </w:r>
          </w:p>
        </w:tc>
        <w:tc>
          <w:tcPr>
            <w:tcW w:w="1361" w:type="dxa"/>
            <w:vAlign w:val="center"/>
          </w:tcPr>
          <w:p>
            <w:pPr>
              <w:pStyle w:val="12"/>
            </w:pPr>
            <w:r>
              <w:t>329.05</w:t>
            </w:r>
          </w:p>
        </w:tc>
        <w:tc>
          <w:tcPr>
            <w:tcW w:w="1361" w:type="dxa"/>
            <w:vAlign w:val="center"/>
          </w:tcPr>
          <w:p>
            <w:pPr>
              <w:pStyle w:val="12"/>
            </w:pPr>
            <w:r>
              <w:t>329.05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2011302</w:t>
            </w:r>
          </w:p>
        </w:tc>
        <w:tc>
          <w:tcPr>
            <w:tcW w:w="4535" w:type="dxa"/>
            <w:vAlign w:val="center"/>
          </w:tcPr>
          <w:p>
            <w:pPr>
              <w:pStyle w:val="13"/>
            </w:pPr>
            <w:r>
              <w:t>一般行政管理事务</w:t>
            </w:r>
          </w:p>
        </w:tc>
        <w:tc>
          <w:tcPr>
            <w:tcW w:w="1361" w:type="dxa"/>
            <w:vAlign w:val="center"/>
          </w:tcPr>
          <w:p>
            <w:pPr>
              <w:pStyle w:val="12"/>
            </w:pPr>
            <w:r>
              <w:t>143.24</w:t>
            </w:r>
          </w:p>
        </w:tc>
        <w:tc>
          <w:tcPr>
            <w:tcW w:w="1361" w:type="dxa"/>
            <w:vAlign w:val="center"/>
          </w:tcPr>
          <w:p>
            <w:pPr>
              <w:pStyle w:val="12"/>
            </w:pPr>
          </w:p>
        </w:tc>
        <w:tc>
          <w:tcPr>
            <w:tcW w:w="1361" w:type="dxa"/>
            <w:vAlign w:val="center"/>
          </w:tcPr>
          <w:p>
            <w:pPr>
              <w:pStyle w:val="12"/>
            </w:pPr>
            <w:r>
              <w:t>143.24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2011350</w:t>
            </w:r>
          </w:p>
        </w:tc>
        <w:tc>
          <w:tcPr>
            <w:tcW w:w="4535" w:type="dxa"/>
            <w:vAlign w:val="center"/>
          </w:tcPr>
          <w:p>
            <w:pPr>
              <w:pStyle w:val="13"/>
            </w:pPr>
            <w:r>
              <w:t>事业运行</w:t>
            </w:r>
          </w:p>
        </w:tc>
        <w:tc>
          <w:tcPr>
            <w:tcW w:w="1361" w:type="dxa"/>
            <w:vAlign w:val="center"/>
          </w:tcPr>
          <w:p>
            <w:pPr>
              <w:pStyle w:val="12"/>
            </w:pPr>
            <w:r>
              <w:t>410.76</w:t>
            </w:r>
          </w:p>
        </w:tc>
        <w:tc>
          <w:tcPr>
            <w:tcW w:w="1361" w:type="dxa"/>
            <w:vAlign w:val="center"/>
          </w:tcPr>
          <w:p>
            <w:pPr>
              <w:pStyle w:val="12"/>
            </w:pPr>
            <w:r>
              <w:t>410.76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2011399</w:t>
            </w:r>
          </w:p>
        </w:tc>
        <w:tc>
          <w:tcPr>
            <w:tcW w:w="4535" w:type="dxa"/>
            <w:vAlign w:val="center"/>
          </w:tcPr>
          <w:p>
            <w:pPr>
              <w:pStyle w:val="13"/>
            </w:pPr>
            <w:r>
              <w:t>其他商贸事务支出</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r>
              <w:t>671.00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240.44</w:t>
            </w:r>
          </w:p>
        </w:tc>
        <w:tc>
          <w:tcPr>
            <w:tcW w:w="1361" w:type="dxa"/>
            <w:vAlign w:val="center"/>
          </w:tcPr>
          <w:p>
            <w:pPr>
              <w:pStyle w:val="12"/>
            </w:pPr>
          </w:p>
        </w:tc>
        <w:tc>
          <w:tcPr>
            <w:tcW w:w="1361" w:type="dxa"/>
            <w:vAlign w:val="center"/>
          </w:tcPr>
          <w:p>
            <w:pPr>
              <w:pStyle w:val="12"/>
            </w:pPr>
            <w:r>
              <w:t>240.44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21606</w:t>
            </w:r>
          </w:p>
        </w:tc>
        <w:tc>
          <w:tcPr>
            <w:tcW w:w="4535" w:type="dxa"/>
            <w:vAlign w:val="center"/>
          </w:tcPr>
          <w:p>
            <w:pPr>
              <w:pStyle w:val="13"/>
            </w:pPr>
            <w:r>
              <w:t>涉外发展服务支出</w:t>
            </w:r>
          </w:p>
        </w:tc>
        <w:tc>
          <w:tcPr>
            <w:tcW w:w="1361" w:type="dxa"/>
            <w:vAlign w:val="center"/>
          </w:tcPr>
          <w:p>
            <w:pPr>
              <w:pStyle w:val="12"/>
            </w:pPr>
            <w:r>
              <w:t>240.44</w:t>
            </w:r>
          </w:p>
        </w:tc>
        <w:tc>
          <w:tcPr>
            <w:tcW w:w="1361" w:type="dxa"/>
            <w:vAlign w:val="center"/>
          </w:tcPr>
          <w:p>
            <w:pPr>
              <w:pStyle w:val="12"/>
            </w:pPr>
          </w:p>
        </w:tc>
        <w:tc>
          <w:tcPr>
            <w:tcW w:w="1361" w:type="dxa"/>
            <w:vAlign w:val="center"/>
          </w:tcPr>
          <w:p>
            <w:pPr>
              <w:pStyle w:val="12"/>
            </w:pPr>
            <w:r>
              <w:t>240.44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2160699</w:t>
            </w:r>
          </w:p>
        </w:tc>
        <w:tc>
          <w:tcPr>
            <w:tcW w:w="4535" w:type="dxa"/>
            <w:vAlign w:val="center"/>
          </w:tcPr>
          <w:p>
            <w:pPr>
              <w:pStyle w:val="13"/>
            </w:pPr>
            <w:r>
              <w:t>其他涉外发展服务支出</w:t>
            </w:r>
          </w:p>
        </w:tc>
        <w:tc>
          <w:tcPr>
            <w:tcW w:w="1361" w:type="dxa"/>
            <w:vAlign w:val="center"/>
          </w:tcPr>
          <w:p>
            <w:pPr>
              <w:pStyle w:val="12"/>
            </w:pPr>
            <w:r>
              <w:t>240.44</w:t>
            </w:r>
          </w:p>
        </w:tc>
        <w:tc>
          <w:tcPr>
            <w:tcW w:w="1361" w:type="dxa"/>
            <w:vAlign w:val="center"/>
          </w:tcPr>
          <w:p>
            <w:pPr>
              <w:pStyle w:val="12"/>
            </w:pPr>
          </w:p>
        </w:tc>
        <w:tc>
          <w:tcPr>
            <w:tcW w:w="1361" w:type="dxa"/>
            <w:vAlign w:val="center"/>
          </w:tcPr>
          <w:p>
            <w:pPr>
              <w:pStyle w:val="12"/>
            </w:pPr>
            <w:r>
              <w:t>240.44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910.05</w:t>
            </w:r>
          </w:p>
        </w:tc>
        <w:tc>
          <w:tcPr>
            <w:tcW w:w="3402" w:type="dxa"/>
            <w:vAlign w:val="center"/>
          </w:tcPr>
          <w:p>
            <w:pPr>
              <w:pStyle w:val="13"/>
            </w:pPr>
            <w:r>
              <w:t>一、一般公共服务支出</w:t>
            </w:r>
          </w:p>
        </w:tc>
        <w:tc>
          <w:tcPr>
            <w:tcW w:w="1474" w:type="dxa"/>
            <w:vAlign w:val="center"/>
          </w:tcPr>
          <w:p>
            <w:pPr>
              <w:pStyle w:val="12"/>
            </w:pPr>
            <w:r>
              <w:t>910.05</w:t>
            </w:r>
          </w:p>
        </w:tc>
        <w:tc>
          <w:tcPr>
            <w:tcW w:w="1474" w:type="dxa"/>
            <w:vAlign w:val="center"/>
          </w:tcPr>
          <w:p>
            <w:pPr>
              <w:pStyle w:val="12"/>
            </w:pPr>
            <w:r>
              <w:t>910.05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671.00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671.00</w:t>
            </w:r>
          </w:p>
        </w:tc>
        <w:tc>
          <w:tcPr>
            <w:tcW w:w="1474" w:type="dxa"/>
            <w:vAlign w:val="center"/>
          </w:tcPr>
          <w:p>
            <w:pPr>
              <w:pStyle w:val="12"/>
            </w:pPr>
          </w:p>
        </w:tc>
        <w:tc>
          <w:tcPr>
            <w:tcW w:w="1474" w:type="dxa"/>
            <w:vAlign w:val="center"/>
          </w:tcPr>
          <w:p>
            <w:pPr>
              <w:pStyle w:val="12"/>
            </w:pPr>
            <w:r>
              <w:t>671.00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240.44</w:t>
            </w:r>
          </w:p>
        </w:tc>
        <w:tc>
          <w:tcPr>
            <w:tcW w:w="1474" w:type="dxa"/>
            <w:vAlign w:val="center"/>
          </w:tcPr>
          <w:p>
            <w:pPr>
              <w:pStyle w:val="12"/>
            </w:pPr>
            <w:r>
              <w:t>240.44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1581.05</w:t>
            </w:r>
          </w:p>
        </w:tc>
        <w:tc>
          <w:tcPr>
            <w:tcW w:w="3402" w:type="dxa"/>
            <w:vAlign w:val="center"/>
          </w:tcPr>
          <w:p>
            <w:pPr>
              <w:pStyle w:val="15"/>
            </w:pPr>
            <w:r>
              <w:t>本年支出合计</w:t>
            </w:r>
          </w:p>
        </w:tc>
        <w:tc>
          <w:tcPr>
            <w:tcW w:w="1474" w:type="dxa"/>
            <w:vAlign w:val="center"/>
          </w:tcPr>
          <w:p>
            <w:pPr>
              <w:pStyle w:val="16"/>
            </w:pPr>
            <w:r>
              <w:t>1821.49</w:t>
            </w:r>
          </w:p>
        </w:tc>
        <w:tc>
          <w:tcPr>
            <w:tcW w:w="1474" w:type="dxa"/>
            <w:vAlign w:val="center"/>
          </w:tcPr>
          <w:p>
            <w:pPr>
              <w:pStyle w:val="16"/>
            </w:pPr>
            <w:r>
              <w:t>1150.49</w:t>
            </w:r>
          </w:p>
        </w:tc>
        <w:tc>
          <w:tcPr>
            <w:tcW w:w="1474" w:type="dxa"/>
            <w:vAlign w:val="center"/>
          </w:tcPr>
          <w:p>
            <w:pPr>
              <w:pStyle w:val="16"/>
            </w:pPr>
            <w:r>
              <w:t>671.00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240.44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240.44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1821.49</w:t>
            </w:r>
          </w:p>
        </w:tc>
        <w:tc>
          <w:tcPr>
            <w:tcW w:w="3402" w:type="dxa"/>
            <w:vAlign w:val="center"/>
          </w:tcPr>
          <w:p>
            <w:pPr>
              <w:pStyle w:val="15"/>
            </w:pPr>
            <w:r>
              <w:t>支出总计</w:t>
            </w:r>
          </w:p>
        </w:tc>
        <w:tc>
          <w:tcPr>
            <w:tcW w:w="1474" w:type="dxa"/>
            <w:vAlign w:val="center"/>
          </w:tcPr>
          <w:p>
            <w:pPr>
              <w:pStyle w:val="16"/>
            </w:pPr>
            <w:r>
              <w:t>1821.49</w:t>
            </w:r>
          </w:p>
        </w:tc>
        <w:tc>
          <w:tcPr>
            <w:tcW w:w="1474" w:type="dxa"/>
            <w:vAlign w:val="center"/>
          </w:tcPr>
          <w:p>
            <w:pPr>
              <w:pStyle w:val="16"/>
            </w:pPr>
            <w:r>
              <w:t>1150.49</w:t>
            </w:r>
          </w:p>
        </w:tc>
        <w:tc>
          <w:tcPr>
            <w:tcW w:w="1474" w:type="dxa"/>
            <w:vAlign w:val="center"/>
          </w:tcPr>
          <w:p>
            <w:pPr>
              <w:pStyle w:val="16"/>
            </w:pPr>
            <w:r>
              <w:t>671.00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1150.49</w:t>
            </w:r>
          </w:p>
        </w:tc>
        <w:tc>
          <w:tcPr>
            <w:tcW w:w="2551" w:type="dxa"/>
            <w:vAlign w:val="center"/>
          </w:tcPr>
          <w:p>
            <w:pPr>
              <w:pStyle w:val="16"/>
            </w:pPr>
            <w:r>
              <w:t>739.81</w:t>
            </w:r>
          </w:p>
        </w:tc>
        <w:tc>
          <w:tcPr>
            <w:tcW w:w="2551" w:type="dxa"/>
            <w:vAlign w:val="center"/>
          </w:tcPr>
          <w:p>
            <w:pPr>
              <w:pStyle w:val="16"/>
            </w:pPr>
            <w:r>
              <w:t>410.68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910.05</w:t>
            </w:r>
          </w:p>
        </w:tc>
        <w:tc>
          <w:tcPr>
            <w:tcW w:w="2551" w:type="dxa"/>
            <w:vAlign w:val="center"/>
          </w:tcPr>
          <w:p>
            <w:pPr>
              <w:pStyle w:val="12"/>
            </w:pPr>
            <w:r>
              <w:t>739.81</w:t>
            </w:r>
          </w:p>
        </w:tc>
        <w:tc>
          <w:tcPr>
            <w:tcW w:w="2551" w:type="dxa"/>
            <w:vAlign w:val="center"/>
          </w:tcPr>
          <w:p>
            <w:pPr>
              <w:pStyle w:val="12"/>
            </w:pPr>
            <w:r>
              <w:t>170.24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910.05</w:t>
            </w:r>
          </w:p>
        </w:tc>
        <w:tc>
          <w:tcPr>
            <w:tcW w:w="2551" w:type="dxa"/>
            <w:vAlign w:val="center"/>
          </w:tcPr>
          <w:p>
            <w:pPr>
              <w:pStyle w:val="12"/>
            </w:pPr>
            <w:r>
              <w:t>739.81</w:t>
            </w:r>
          </w:p>
        </w:tc>
        <w:tc>
          <w:tcPr>
            <w:tcW w:w="2551" w:type="dxa"/>
            <w:vAlign w:val="center"/>
          </w:tcPr>
          <w:p>
            <w:pPr>
              <w:pStyle w:val="12"/>
            </w:pPr>
            <w:r>
              <w:t>170.24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2011301</w:t>
            </w:r>
          </w:p>
        </w:tc>
        <w:tc>
          <w:tcPr>
            <w:tcW w:w="4535" w:type="dxa"/>
            <w:vAlign w:val="center"/>
          </w:tcPr>
          <w:p>
            <w:pPr>
              <w:pStyle w:val="13"/>
            </w:pPr>
            <w:r>
              <w:t>行政运行</w:t>
            </w:r>
          </w:p>
        </w:tc>
        <w:tc>
          <w:tcPr>
            <w:tcW w:w="2551" w:type="dxa"/>
            <w:vAlign w:val="center"/>
          </w:tcPr>
          <w:p>
            <w:pPr>
              <w:pStyle w:val="12"/>
            </w:pPr>
            <w:r>
              <w:t>329.05</w:t>
            </w:r>
          </w:p>
        </w:tc>
        <w:tc>
          <w:tcPr>
            <w:tcW w:w="2551" w:type="dxa"/>
            <w:vAlign w:val="center"/>
          </w:tcPr>
          <w:p>
            <w:pPr>
              <w:pStyle w:val="12"/>
            </w:pPr>
            <w:r>
              <w:t>329.05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2011302</w:t>
            </w:r>
          </w:p>
        </w:tc>
        <w:tc>
          <w:tcPr>
            <w:tcW w:w="4535" w:type="dxa"/>
            <w:vAlign w:val="center"/>
          </w:tcPr>
          <w:p>
            <w:pPr>
              <w:pStyle w:val="13"/>
            </w:pPr>
            <w:r>
              <w:t>一般行政管理事务</w:t>
            </w:r>
          </w:p>
        </w:tc>
        <w:tc>
          <w:tcPr>
            <w:tcW w:w="2551" w:type="dxa"/>
            <w:vAlign w:val="center"/>
          </w:tcPr>
          <w:p>
            <w:pPr>
              <w:pStyle w:val="12"/>
            </w:pPr>
            <w:r>
              <w:t>143.24</w:t>
            </w:r>
          </w:p>
        </w:tc>
        <w:tc>
          <w:tcPr>
            <w:tcW w:w="2551" w:type="dxa"/>
            <w:vAlign w:val="center"/>
          </w:tcPr>
          <w:p>
            <w:pPr>
              <w:pStyle w:val="12"/>
            </w:pPr>
          </w:p>
        </w:tc>
        <w:tc>
          <w:tcPr>
            <w:tcW w:w="2551" w:type="dxa"/>
            <w:vAlign w:val="center"/>
          </w:tcPr>
          <w:p>
            <w:pPr>
              <w:pStyle w:val="12"/>
            </w:pPr>
            <w:r>
              <w:t>143.24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2011350</w:t>
            </w:r>
          </w:p>
        </w:tc>
        <w:tc>
          <w:tcPr>
            <w:tcW w:w="4535" w:type="dxa"/>
            <w:vAlign w:val="center"/>
          </w:tcPr>
          <w:p>
            <w:pPr>
              <w:pStyle w:val="13"/>
            </w:pPr>
            <w:r>
              <w:t>事业运行</w:t>
            </w:r>
          </w:p>
        </w:tc>
        <w:tc>
          <w:tcPr>
            <w:tcW w:w="2551" w:type="dxa"/>
            <w:vAlign w:val="center"/>
          </w:tcPr>
          <w:p>
            <w:pPr>
              <w:pStyle w:val="12"/>
            </w:pPr>
            <w:r>
              <w:t>410.76</w:t>
            </w:r>
          </w:p>
        </w:tc>
        <w:tc>
          <w:tcPr>
            <w:tcW w:w="2551" w:type="dxa"/>
            <w:vAlign w:val="center"/>
          </w:tcPr>
          <w:p>
            <w:pPr>
              <w:pStyle w:val="12"/>
            </w:pPr>
            <w:r>
              <w:t>410.76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2011399</w:t>
            </w:r>
          </w:p>
        </w:tc>
        <w:tc>
          <w:tcPr>
            <w:tcW w:w="4535" w:type="dxa"/>
            <w:vAlign w:val="center"/>
          </w:tcPr>
          <w:p>
            <w:pPr>
              <w:pStyle w:val="13"/>
            </w:pPr>
            <w:r>
              <w:t>其他商贸事务支出</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240.44</w:t>
            </w:r>
          </w:p>
        </w:tc>
        <w:tc>
          <w:tcPr>
            <w:tcW w:w="2551" w:type="dxa"/>
            <w:vAlign w:val="center"/>
          </w:tcPr>
          <w:p>
            <w:pPr>
              <w:pStyle w:val="12"/>
            </w:pPr>
          </w:p>
        </w:tc>
        <w:tc>
          <w:tcPr>
            <w:tcW w:w="2551" w:type="dxa"/>
            <w:vAlign w:val="center"/>
          </w:tcPr>
          <w:p>
            <w:pPr>
              <w:pStyle w:val="12"/>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21606</w:t>
            </w:r>
          </w:p>
        </w:tc>
        <w:tc>
          <w:tcPr>
            <w:tcW w:w="4535" w:type="dxa"/>
            <w:vAlign w:val="center"/>
          </w:tcPr>
          <w:p>
            <w:pPr>
              <w:pStyle w:val="13"/>
            </w:pPr>
            <w:r>
              <w:t>涉外发展服务支出</w:t>
            </w:r>
          </w:p>
        </w:tc>
        <w:tc>
          <w:tcPr>
            <w:tcW w:w="2551" w:type="dxa"/>
            <w:vAlign w:val="center"/>
          </w:tcPr>
          <w:p>
            <w:pPr>
              <w:pStyle w:val="12"/>
            </w:pPr>
            <w:r>
              <w:t>240.44</w:t>
            </w:r>
          </w:p>
        </w:tc>
        <w:tc>
          <w:tcPr>
            <w:tcW w:w="2551" w:type="dxa"/>
            <w:vAlign w:val="center"/>
          </w:tcPr>
          <w:p>
            <w:pPr>
              <w:pStyle w:val="12"/>
            </w:pPr>
          </w:p>
        </w:tc>
        <w:tc>
          <w:tcPr>
            <w:tcW w:w="2551" w:type="dxa"/>
            <w:vAlign w:val="center"/>
          </w:tcPr>
          <w:p>
            <w:pPr>
              <w:pStyle w:val="12"/>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2160699</w:t>
            </w:r>
          </w:p>
        </w:tc>
        <w:tc>
          <w:tcPr>
            <w:tcW w:w="4535" w:type="dxa"/>
            <w:vAlign w:val="center"/>
          </w:tcPr>
          <w:p>
            <w:pPr>
              <w:pStyle w:val="13"/>
            </w:pPr>
            <w:r>
              <w:t>其他涉外发展服务支出</w:t>
            </w:r>
          </w:p>
        </w:tc>
        <w:tc>
          <w:tcPr>
            <w:tcW w:w="2551" w:type="dxa"/>
            <w:vAlign w:val="center"/>
          </w:tcPr>
          <w:p>
            <w:pPr>
              <w:pStyle w:val="12"/>
            </w:pPr>
            <w:r>
              <w:t>240.44</w:t>
            </w:r>
          </w:p>
        </w:tc>
        <w:tc>
          <w:tcPr>
            <w:tcW w:w="2551" w:type="dxa"/>
            <w:vAlign w:val="center"/>
          </w:tcPr>
          <w:p>
            <w:pPr>
              <w:pStyle w:val="12"/>
            </w:pPr>
          </w:p>
        </w:tc>
        <w:tc>
          <w:tcPr>
            <w:tcW w:w="2551" w:type="dxa"/>
            <w:vAlign w:val="center"/>
          </w:tcPr>
          <w:p>
            <w:pPr>
              <w:pStyle w:val="12"/>
            </w:pPr>
            <w:r>
              <w:t>240.44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739.81</w:t>
            </w:r>
          </w:p>
        </w:tc>
        <w:tc>
          <w:tcPr>
            <w:tcW w:w="2551" w:type="dxa"/>
            <w:vAlign w:val="center"/>
          </w:tcPr>
          <w:p>
            <w:pPr>
              <w:pStyle w:val="16"/>
            </w:pPr>
            <w:r>
              <w:t>696.63</w:t>
            </w:r>
          </w:p>
        </w:tc>
        <w:tc>
          <w:tcPr>
            <w:tcW w:w="2551" w:type="dxa"/>
            <w:vAlign w:val="center"/>
          </w:tcPr>
          <w:p>
            <w:pPr>
              <w:pStyle w:val="16"/>
            </w:pPr>
            <w:r>
              <w:t>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613.08</w:t>
            </w:r>
          </w:p>
        </w:tc>
        <w:tc>
          <w:tcPr>
            <w:tcW w:w="2551" w:type="dxa"/>
            <w:vAlign w:val="center"/>
          </w:tcPr>
          <w:p>
            <w:pPr>
              <w:pStyle w:val="12"/>
            </w:pPr>
            <w:r>
              <w:t>613.08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202.86</w:t>
            </w:r>
          </w:p>
        </w:tc>
        <w:tc>
          <w:tcPr>
            <w:tcW w:w="2551" w:type="dxa"/>
            <w:vAlign w:val="center"/>
          </w:tcPr>
          <w:p>
            <w:pPr>
              <w:pStyle w:val="12"/>
            </w:pPr>
            <w:r>
              <w:t>202.86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41.05</w:t>
            </w:r>
          </w:p>
        </w:tc>
        <w:tc>
          <w:tcPr>
            <w:tcW w:w="2551" w:type="dxa"/>
            <w:vAlign w:val="center"/>
          </w:tcPr>
          <w:p>
            <w:pPr>
              <w:pStyle w:val="12"/>
            </w:pPr>
            <w:r>
              <w:t>41.05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21.62</w:t>
            </w:r>
          </w:p>
        </w:tc>
        <w:tc>
          <w:tcPr>
            <w:tcW w:w="2551" w:type="dxa"/>
            <w:vAlign w:val="center"/>
          </w:tcPr>
          <w:p>
            <w:pPr>
              <w:pStyle w:val="12"/>
            </w:pPr>
            <w:r>
              <w:t>21.62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111.63</w:t>
            </w:r>
          </w:p>
        </w:tc>
        <w:tc>
          <w:tcPr>
            <w:tcW w:w="2551" w:type="dxa"/>
            <w:vAlign w:val="center"/>
          </w:tcPr>
          <w:p>
            <w:pPr>
              <w:pStyle w:val="12"/>
            </w:pPr>
            <w:r>
              <w:t>111.63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53.01</w:t>
            </w:r>
          </w:p>
        </w:tc>
        <w:tc>
          <w:tcPr>
            <w:tcW w:w="2551" w:type="dxa"/>
            <w:vAlign w:val="center"/>
          </w:tcPr>
          <w:p>
            <w:pPr>
              <w:pStyle w:val="12"/>
            </w:pPr>
            <w:r>
              <w:t>53.01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20.99</w:t>
            </w:r>
          </w:p>
        </w:tc>
        <w:tc>
          <w:tcPr>
            <w:tcW w:w="2551" w:type="dxa"/>
            <w:vAlign w:val="center"/>
          </w:tcPr>
          <w:p>
            <w:pPr>
              <w:pStyle w:val="12"/>
            </w:pPr>
            <w:r>
              <w:t>20.99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10.67</w:t>
            </w:r>
          </w:p>
        </w:tc>
        <w:tc>
          <w:tcPr>
            <w:tcW w:w="2551" w:type="dxa"/>
            <w:vAlign w:val="center"/>
          </w:tcPr>
          <w:p>
            <w:pPr>
              <w:pStyle w:val="12"/>
            </w:pPr>
            <w:r>
              <w:t>10.67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3.46</w:t>
            </w:r>
          </w:p>
        </w:tc>
        <w:tc>
          <w:tcPr>
            <w:tcW w:w="2551" w:type="dxa"/>
            <w:vAlign w:val="center"/>
          </w:tcPr>
          <w:p>
            <w:pPr>
              <w:pStyle w:val="12"/>
            </w:pPr>
            <w:r>
              <w:t>3.46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42.43</w:t>
            </w:r>
          </w:p>
        </w:tc>
        <w:tc>
          <w:tcPr>
            <w:tcW w:w="2551" w:type="dxa"/>
            <w:vAlign w:val="center"/>
          </w:tcPr>
          <w:p>
            <w:pPr>
              <w:pStyle w:val="12"/>
            </w:pPr>
            <w:r>
              <w:t>42.43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105.36</w:t>
            </w:r>
          </w:p>
        </w:tc>
        <w:tc>
          <w:tcPr>
            <w:tcW w:w="2551" w:type="dxa"/>
            <w:vAlign w:val="center"/>
          </w:tcPr>
          <w:p>
            <w:pPr>
              <w:pStyle w:val="12"/>
            </w:pPr>
            <w:r>
              <w:t>105.36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43.18</w:t>
            </w:r>
          </w:p>
        </w:tc>
        <w:tc>
          <w:tcPr>
            <w:tcW w:w="2551" w:type="dxa"/>
            <w:vAlign w:val="center"/>
          </w:tcPr>
          <w:p>
            <w:pPr>
              <w:pStyle w:val="12"/>
            </w:pPr>
          </w:p>
        </w:tc>
        <w:tc>
          <w:tcPr>
            <w:tcW w:w="2551" w:type="dxa"/>
            <w:vAlign w:val="center"/>
          </w:tcPr>
          <w:p>
            <w:pPr>
              <w:pStyle w:val="12"/>
            </w:pPr>
            <w:r>
              <w:t>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6.48</w:t>
            </w:r>
          </w:p>
        </w:tc>
        <w:tc>
          <w:tcPr>
            <w:tcW w:w="2551" w:type="dxa"/>
            <w:vAlign w:val="center"/>
          </w:tcPr>
          <w:p>
            <w:pPr>
              <w:pStyle w:val="12"/>
            </w:pPr>
          </w:p>
        </w:tc>
        <w:tc>
          <w:tcPr>
            <w:tcW w:w="2551" w:type="dxa"/>
            <w:vAlign w:val="center"/>
          </w:tcPr>
          <w:p>
            <w:pPr>
              <w:pStyle w:val="12"/>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0.14</w:t>
            </w:r>
          </w:p>
        </w:tc>
        <w:tc>
          <w:tcPr>
            <w:tcW w:w="2551" w:type="dxa"/>
            <w:vAlign w:val="center"/>
          </w:tcPr>
          <w:p>
            <w:pPr>
              <w:pStyle w:val="12"/>
            </w:pPr>
          </w:p>
        </w:tc>
        <w:tc>
          <w:tcPr>
            <w:tcW w:w="2551"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6.14</w:t>
            </w:r>
          </w:p>
        </w:tc>
        <w:tc>
          <w:tcPr>
            <w:tcW w:w="2551" w:type="dxa"/>
            <w:vAlign w:val="center"/>
          </w:tcPr>
          <w:p>
            <w:pPr>
              <w:pStyle w:val="12"/>
            </w:pPr>
          </w:p>
        </w:tc>
        <w:tc>
          <w:tcPr>
            <w:tcW w:w="2551" w:type="dxa"/>
            <w:vAlign w:val="center"/>
          </w:tcPr>
          <w:p>
            <w:pPr>
              <w:pStyle w:val="12"/>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2.16</w:t>
            </w:r>
          </w:p>
        </w:tc>
        <w:tc>
          <w:tcPr>
            <w:tcW w:w="2551" w:type="dxa"/>
            <w:vAlign w:val="center"/>
          </w:tcPr>
          <w:p>
            <w:pPr>
              <w:pStyle w:val="12"/>
            </w:pPr>
          </w:p>
        </w:tc>
        <w:tc>
          <w:tcPr>
            <w:tcW w:w="2551" w:type="dxa"/>
            <w:vAlign w:val="center"/>
          </w:tcPr>
          <w:p>
            <w:pPr>
              <w:pStyle w:val="12"/>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6.61</w:t>
            </w:r>
          </w:p>
        </w:tc>
        <w:tc>
          <w:tcPr>
            <w:tcW w:w="2551" w:type="dxa"/>
            <w:vAlign w:val="center"/>
          </w:tcPr>
          <w:p>
            <w:pPr>
              <w:pStyle w:val="12"/>
            </w:pPr>
          </w:p>
        </w:tc>
        <w:tc>
          <w:tcPr>
            <w:tcW w:w="2551" w:type="dxa"/>
            <w:vAlign w:val="center"/>
          </w:tcPr>
          <w:p>
            <w:pPr>
              <w:pStyle w:val="12"/>
            </w:pPr>
            <w:r>
              <w:t>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6.42</w:t>
            </w:r>
          </w:p>
        </w:tc>
        <w:tc>
          <w:tcPr>
            <w:tcW w:w="2551" w:type="dxa"/>
            <w:vAlign w:val="center"/>
          </w:tcPr>
          <w:p>
            <w:pPr>
              <w:pStyle w:val="12"/>
            </w:pPr>
          </w:p>
        </w:tc>
        <w:tc>
          <w:tcPr>
            <w:tcW w:w="2551" w:type="dxa"/>
            <w:vAlign w:val="center"/>
          </w:tcPr>
          <w:p>
            <w:pPr>
              <w:pStyle w:val="12"/>
            </w:pPr>
            <w:r>
              <w:t>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8.62</w:t>
            </w:r>
          </w:p>
        </w:tc>
        <w:tc>
          <w:tcPr>
            <w:tcW w:w="2551" w:type="dxa"/>
            <w:vAlign w:val="center"/>
          </w:tcPr>
          <w:p>
            <w:pPr>
              <w:pStyle w:val="12"/>
            </w:pPr>
          </w:p>
        </w:tc>
        <w:tc>
          <w:tcPr>
            <w:tcW w:w="2551" w:type="dxa"/>
            <w:vAlign w:val="center"/>
          </w:tcPr>
          <w:p>
            <w:pPr>
              <w:pStyle w:val="12"/>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83.55</w:t>
            </w:r>
          </w:p>
        </w:tc>
        <w:tc>
          <w:tcPr>
            <w:tcW w:w="2551" w:type="dxa"/>
            <w:vAlign w:val="center"/>
          </w:tcPr>
          <w:p>
            <w:pPr>
              <w:pStyle w:val="12"/>
            </w:pPr>
            <w:r>
              <w:t>83.55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17.21</w:t>
            </w:r>
          </w:p>
        </w:tc>
        <w:tc>
          <w:tcPr>
            <w:tcW w:w="2551" w:type="dxa"/>
            <w:vAlign w:val="center"/>
          </w:tcPr>
          <w:p>
            <w:pPr>
              <w:pStyle w:val="12"/>
            </w:pPr>
            <w:r>
              <w:t>17.21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59.78</w:t>
            </w:r>
          </w:p>
        </w:tc>
        <w:tc>
          <w:tcPr>
            <w:tcW w:w="2551" w:type="dxa"/>
            <w:vAlign w:val="center"/>
          </w:tcPr>
          <w:p>
            <w:pPr>
              <w:pStyle w:val="12"/>
            </w:pPr>
            <w:r>
              <w:t>59.78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6.56</w:t>
            </w:r>
          </w:p>
        </w:tc>
        <w:tc>
          <w:tcPr>
            <w:tcW w:w="2551" w:type="dxa"/>
            <w:vAlign w:val="center"/>
          </w:tcPr>
          <w:p>
            <w:pPr>
              <w:pStyle w:val="12"/>
            </w:pPr>
            <w:r>
              <w:t>6.56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671.00</w:t>
            </w:r>
          </w:p>
        </w:tc>
        <w:tc>
          <w:tcPr>
            <w:tcW w:w="2551" w:type="dxa"/>
            <w:vAlign w:val="center"/>
          </w:tcPr>
          <w:p>
            <w:pPr>
              <w:pStyle w:val="16"/>
            </w:pPr>
          </w:p>
        </w:tc>
        <w:tc>
          <w:tcPr>
            <w:tcW w:w="2551" w:type="dxa"/>
            <w:vAlign w:val="center"/>
          </w:tcPr>
          <w:p>
            <w:pPr>
              <w:pStyle w:val="16"/>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671.00</w:t>
            </w:r>
          </w:p>
        </w:tc>
        <w:tc>
          <w:tcPr>
            <w:tcW w:w="2551" w:type="dxa"/>
            <w:vAlign w:val="center"/>
          </w:tcPr>
          <w:p>
            <w:pPr>
              <w:pStyle w:val="12"/>
            </w:pPr>
          </w:p>
        </w:tc>
        <w:tc>
          <w:tcPr>
            <w:tcW w:w="2551" w:type="dxa"/>
            <w:vAlign w:val="center"/>
          </w:tcPr>
          <w:p>
            <w:pPr>
              <w:pStyle w:val="12"/>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671.00</w:t>
            </w:r>
          </w:p>
        </w:tc>
        <w:tc>
          <w:tcPr>
            <w:tcW w:w="2551" w:type="dxa"/>
            <w:vAlign w:val="center"/>
          </w:tcPr>
          <w:p>
            <w:pPr>
              <w:pStyle w:val="12"/>
            </w:pPr>
          </w:p>
        </w:tc>
        <w:tc>
          <w:tcPr>
            <w:tcW w:w="2551" w:type="dxa"/>
            <w:vAlign w:val="center"/>
          </w:tcPr>
          <w:p>
            <w:pPr>
              <w:pStyle w:val="12"/>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671.00</w:t>
            </w:r>
          </w:p>
        </w:tc>
        <w:tc>
          <w:tcPr>
            <w:tcW w:w="2551" w:type="dxa"/>
            <w:vAlign w:val="center"/>
          </w:tcPr>
          <w:p>
            <w:pPr>
              <w:pStyle w:val="12"/>
            </w:pPr>
          </w:p>
        </w:tc>
        <w:tc>
          <w:tcPr>
            <w:tcW w:w="2551" w:type="dxa"/>
            <w:vAlign w:val="center"/>
          </w:tcPr>
          <w:p>
            <w:pPr>
              <w:pStyle w:val="12"/>
            </w:pPr>
            <w:r>
              <w:t>671.00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322晋州市商务局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晋州市商务局2026年部门预算信息公开情况说明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晋州市商务局2026年部门预算信息公开情况说明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按照《中华人民共和国预算法》、《地方预决算公开操作规程》和《关于进一步推进预算公开工作的实施意见》规定，现将晋州市商务局2026年部门预算公开如下：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（一）贯彻落实上级有关国内外贸易和国际经济技术合作的各项方针、政策和法律、法规、规章；研究拟定全市相应的发展战略、政策措施及中长期发展规划及年度计划，并组织实施。</w:t>
      </w:r>
    </w:p>
    <w:p>
      <w:pPr>
        <w:pStyle w:val="18"/>
      </w:pPr>
      <w:r>
        <w:t>（二）研究提出流通体制改革意见，培育发展城乡市场，推进流通产业结构调整，发展连锁经营、物流配送、电子商务等现代流通方式。</w:t>
      </w:r>
    </w:p>
    <w:p>
      <w:pPr>
        <w:pStyle w:val="18"/>
      </w:pPr>
      <w:r>
        <w:t>（三）落实规范流通领域市场体系及流通秩序和打破市场垄断、地区封锁的政策，建立健全统一、开放、竞争、有序的市场体系；监测分析市场运行和商品供求状况，并适时进行调节；组织实施重要消费品市场调控。</w:t>
      </w:r>
    </w:p>
    <w:p>
      <w:pPr>
        <w:pStyle w:val="18"/>
      </w:pPr>
      <w:r>
        <w:t>（四）根据上级政策规定，研究制定行业标准、行业规范、市场准则、实施细则和管理办法，指导商业服务行业的协调发展。指导内外贸易、外经、外资等相关行业协会的工作。调查研究流通行业重大问题，提出政策建议。</w:t>
      </w:r>
    </w:p>
    <w:p>
      <w:pPr>
        <w:pStyle w:val="18"/>
      </w:pPr>
      <w:r>
        <w:t>（五）负责组织整顿和规范市场经济秩序工作，会同有关部门加强流通领域商品质量、计量和标准的监督检查，打击制售假冒伪劣商品、不正当竞争等违法行为；负责成品油等主要生活用品的流通及拍卖、典当、旧机动车交易、报废汽车回收等行业的监督管理。</w:t>
      </w:r>
    </w:p>
    <w:p>
      <w:pPr>
        <w:pStyle w:val="18"/>
      </w:pPr>
      <w:r>
        <w:t>（六）负责研究制定总体和区域商贸流通发展规划，商品市场、商业网点、物流设施建设发展规划及商业设施重点项目年度建设计划，并组织实施；协调商品市场建设和商业设施建设中的有关问题。</w:t>
      </w:r>
    </w:p>
    <w:p>
      <w:pPr>
        <w:pStyle w:val="18"/>
      </w:pPr>
      <w:r>
        <w:t>（七）执行国家制定的进出口商品管理办法、进出口目录和进出口配额招标政策；负责进出口配额、许可证的申报和实施，负责上级下达我市关系国计民生的重要工业品、原材料及重要农产品进出口计划的实施；贯彻落实出口政策，研究推广国际贸易方式，指导各类进出口业务相关工作。</w:t>
      </w:r>
    </w:p>
    <w:p>
      <w:pPr>
        <w:pStyle w:val="18"/>
      </w:pPr>
      <w:r>
        <w:t>（八）贯彻执行国家机电产品进出口方针、政策，制定和落实鼓励机电产品开拓国际市场措施，协调机电产品进出口招标工作。</w:t>
      </w:r>
    </w:p>
    <w:p>
      <w:pPr>
        <w:pStyle w:val="18"/>
      </w:pPr>
      <w:r>
        <w:t>（九）负责商务系统涉及世贸组织相关事务的研究、指导和服务工作。组织协调反倾销、反补贴、保障措施及其他与进出口公平贸易相关的工作；负责组织全市产业损害调查。</w:t>
      </w:r>
    </w:p>
    <w:p>
      <w:pPr>
        <w:pStyle w:val="18"/>
      </w:pPr>
      <w:r>
        <w:t>（十）负责组织、指导、协调全市招商引资工作。拟定全市招商引资政策、法规，并组织实施；负责利用外资项目的核准、外商投资企业合同章程和企业设立的审批、外商投资企业变更及其它涉及的行政审批事项；负责招商引资项目的谋划、推介、洽谈和已签约项目的组织协调；对全市招商引资工作下达任务指标及完成情况进行检查、督促、考核。</w:t>
      </w:r>
    </w:p>
    <w:p>
      <w:pPr>
        <w:pStyle w:val="18"/>
      </w:pPr>
      <w:r>
        <w:t>（十一）负责对外经济合作工作，指导和监督境外投资、境外带料加工贸易项目、境外承包工程、劳务合作、设计咨询工作。</w:t>
      </w:r>
    </w:p>
    <w:p>
      <w:pPr>
        <w:pStyle w:val="18"/>
      </w:pPr>
      <w:r>
        <w:t>（十二）指导监督重要经贸活动，做好培育投资促进体系，对外经济技术合作和涉外经济顾问资格、招商引资资格的确认工作。</w:t>
      </w:r>
    </w:p>
    <w:p>
      <w:pPr>
        <w:pStyle w:val="18"/>
      </w:pPr>
      <w:r>
        <w:t>（十三）按照有关规定，做好直接利用外资项目审核、上报工作，为外商投资企业提供有关政策、法规等方面的咨询服务，受理外商投资企业的投诉；组织对全市产品出口型、先进技术型外商投资企业的认定和上报工作。</w:t>
      </w:r>
    </w:p>
    <w:p>
      <w:pPr>
        <w:pStyle w:val="18"/>
      </w:pPr>
      <w:r>
        <w:t>（十四）指导监督以晋州名义在境内外举办的各种交易会、展览会等经贸活动。</w:t>
      </w:r>
    </w:p>
    <w:p>
      <w:pPr>
        <w:pStyle w:val="18"/>
      </w:pPr>
      <w:r>
        <w:t>（十五）负责境内外企业在我市设立代表机构的审核和市属企业驻外地分支机构的备案工作。负责友好城市商贸活动的发展与合作工作。</w:t>
      </w:r>
    </w:p>
    <w:p>
      <w:pPr>
        <w:pStyle w:val="18"/>
      </w:pPr>
      <w:r>
        <w:t>（十六）负责全市整顿和规范市场经济秩序领导小组办公室日常工作。</w:t>
      </w:r>
    </w:p>
    <w:p>
      <w:pPr>
        <w:pStyle w:val="18"/>
      </w:pPr>
      <w:r>
        <w:t>（十七）承办市政府交办的其他事项。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晋州市商务局本级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市场建设服务中心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按照预算管理有关规定，目前部门预算的编制实行综合预算管理，即全部收入和支出都反映在预算中。晋州市商务局机关及所属事业单位的收支包含在部门预算中。</w:t>
      </w:r>
    </w:p>
    <w:p>
      <w:pPr>
        <w:pStyle w:val="19"/>
      </w:pPr>
      <w:r>
        <w:t>1、收入说明</w:t>
      </w:r>
    </w:p>
    <w:p>
      <w:pPr>
        <w:pStyle w:val="19"/>
      </w:pPr>
      <w:r>
        <w:t>反映本部门当年全部收入。2026年预算收入1821.49万元，其中：一般公共预算收入910.05万元，基金预算收入671.00万元，国有资本经营预算收入0.00万元，财政专户核拨收入0.00万元，单位资金收入0.00万元，上年结转结余240.44万元。</w:t>
      </w:r>
    </w:p>
    <w:p>
      <w:pPr>
        <w:pStyle w:val="19"/>
      </w:pPr>
      <w:r>
        <w:t>2、支出说明</w:t>
      </w:r>
    </w:p>
    <w:p>
      <w:pPr>
        <w:pStyle w:val="19"/>
      </w:pPr>
      <w:r>
        <w:t>收支预算总表支出栏、基本支出表、项目支出表按经济分类和支出功能分类科目编制，反映晋州市商务局年度部门预算中支出预算的总体情况。2026年支出预算1821.49万元，其中基本支出739.81万元，包括人员经费696.63万元和日常公用经费43.18万元；项目支出1081.68万元，主要为惠民生促消费活动资金、原执法队人员费用、百纺土地租金等项目；预计下年使用的单位资金结余0.00万元。委托业务费共计安排11.97万元，主要用于因技术原因确需对外委托的辅助性工作和确有必要对外委托开展咨询、评审、规划等工作。</w:t>
      </w:r>
    </w:p>
    <w:p>
      <w:pPr>
        <w:pStyle w:val="19"/>
      </w:pPr>
      <w:r>
        <w:t>3、比上年增减情况</w:t>
      </w:r>
    </w:p>
    <w:p>
      <w:pPr>
        <w:pStyle w:val="19"/>
      </w:pPr>
      <w:r>
        <w:t>2026年预算收支安排1821.49万元，较2025年预算减少318.51万元，其中：基本支出增加40.98万元，主要为有试用期人员转正及新录用人员，人员增加，相应的人员及公用经费增加。项目支出减少359.49万元，主要为减少了上级资金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2026年，我部门机关运行经费共计安排43.18万元，主要用于日常维修、办公用房水电费、办公用房取暖费、办公用房物业管理费等日常运行支出。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为节约财政开支，减少了公务用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紧围绕市委、市政府中心工作，大力推进外贸与电子商务发展，认真督导商贸项目及市场建设，加强成品油市场监管，进一步整顿和规范市场经济秩序，搞好安全生产和信访稳定，确保全年无事故，努力完成全年各项工作任务，为我市经济社会大发展作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（一）开拓国内市场</w:t>
      </w:r>
    </w:p>
    <w:p>
      <w:pPr>
        <w:pStyle w:val="23"/>
      </w:pPr>
      <w:r>
        <w:t>绩效目标：扩大我市产品的知名度，增加国内市场份额。</w:t>
      </w:r>
    </w:p>
    <w:p>
      <w:pPr>
        <w:pStyle w:val="23"/>
      </w:pPr>
      <w:r>
        <w:t>绩效指标：参展企业数量(家) ≥3。</w:t>
      </w:r>
    </w:p>
    <w:p>
      <w:pPr>
        <w:pStyle w:val="23"/>
      </w:pPr>
      <w:r>
        <w:t>（二）促进商贸流通</w:t>
      </w:r>
    </w:p>
    <w:p>
      <w:pPr>
        <w:pStyle w:val="23"/>
      </w:pPr>
      <w:r>
        <w:t>绩效目标：完善农产品流通和农村市场体系。</w:t>
      </w:r>
    </w:p>
    <w:p>
      <w:pPr>
        <w:pStyle w:val="23"/>
      </w:pPr>
      <w:r>
        <w:t>绩效指标：投资的农产品市场或农村市场销售额增长率≥10%。</w:t>
      </w:r>
    </w:p>
    <w:p>
      <w:pPr>
        <w:pStyle w:val="23"/>
      </w:pPr>
      <w:r>
        <w:t>（三）农村电子商务建设</w:t>
      </w:r>
    </w:p>
    <w:p>
      <w:pPr>
        <w:pStyle w:val="23"/>
      </w:pPr>
      <w:r>
        <w:t>绩效目标：推动农村电子商务基础设施建设。</w:t>
      </w:r>
    </w:p>
    <w:p>
      <w:pPr>
        <w:pStyle w:val="23"/>
      </w:pPr>
      <w:r>
        <w:t>绩效指标：农村电商企业营业额增长率≥10%。</w:t>
      </w:r>
    </w:p>
    <w:p>
      <w:pPr>
        <w:pStyle w:val="23"/>
      </w:pPr>
      <w:r>
        <w:t>（四）消费市场调控</w:t>
      </w:r>
    </w:p>
    <w:p>
      <w:pPr>
        <w:pStyle w:val="23"/>
      </w:pPr>
      <w:r>
        <w:t>绩效目标：准确监测市场运行情况，及时预测预警。</w:t>
      </w:r>
    </w:p>
    <w:p>
      <w:pPr>
        <w:pStyle w:val="23"/>
      </w:pPr>
      <w:r>
        <w:t>绩效指标：监测信息报送率≥80%。</w:t>
      </w:r>
    </w:p>
    <w:p>
      <w:pPr>
        <w:pStyle w:val="23"/>
      </w:pPr>
      <w:r>
        <w:t>（五）招商引资</w:t>
      </w:r>
    </w:p>
    <w:p>
      <w:pPr>
        <w:pStyle w:val="23"/>
      </w:pPr>
      <w:r>
        <w:t>绩效目标：在重点产业引进一批战略支撑项目、龙头企业和协力配套企业。</w:t>
      </w:r>
    </w:p>
    <w:p>
      <w:pPr>
        <w:pStyle w:val="23"/>
      </w:pPr>
      <w:r>
        <w:t>绩效指标：招商引资规模增长率≥1%。</w:t>
      </w:r>
    </w:p>
    <w:p>
      <w:pPr>
        <w:pStyle w:val="23"/>
      </w:pPr>
      <w:r>
        <w:t>（六）高新产品进出口管理</w:t>
      </w:r>
    </w:p>
    <w:p>
      <w:pPr>
        <w:pStyle w:val="23"/>
      </w:pPr>
      <w:r>
        <w:t>绩效目标：积极开拓国际、国内两个市场，不断优化产品结构和市场结构。</w:t>
      </w:r>
    </w:p>
    <w:p>
      <w:pPr>
        <w:pStyle w:val="23"/>
      </w:pPr>
      <w:r>
        <w:t>绩效指标：高新产品出口额增长率≥1%。</w:t>
      </w:r>
    </w:p>
    <w:p>
      <w:pPr>
        <w:pStyle w:val="23"/>
      </w:pPr>
      <w:r>
        <w:t>（七）发展服务贸易和服务外包</w:t>
      </w:r>
    </w:p>
    <w:p>
      <w:pPr>
        <w:pStyle w:val="23"/>
      </w:pPr>
      <w:r>
        <w:t>绩效目标：转变对外贸易发展方式，提升服务贸易对全县外贸增长的拉动作用。</w:t>
      </w:r>
    </w:p>
    <w:p>
      <w:pPr>
        <w:pStyle w:val="23"/>
      </w:pPr>
      <w:r>
        <w:t>绩效指标：组织参展参会企业个数（个）≥9。</w:t>
      </w:r>
    </w:p>
    <w:p>
      <w:pPr>
        <w:pStyle w:val="23"/>
      </w:pPr>
      <w:r>
        <w:t>（八）促进对外经贸服务</w:t>
      </w:r>
    </w:p>
    <w:p>
      <w:pPr>
        <w:pStyle w:val="23"/>
      </w:pPr>
      <w:r>
        <w:t>绩效目标：确保对外经济合作业务稳定增长。</w:t>
      </w:r>
    </w:p>
    <w:p>
      <w:pPr>
        <w:pStyle w:val="23"/>
      </w:pPr>
      <w:r>
        <w:t>绩效指标：中小企业出口额增长率持平。</w:t>
      </w:r>
    </w:p>
    <w:p>
      <w:pPr>
        <w:pStyle w:val="23"/>
      </w:pPr>
      <w:r>
        <w:t>（九）加快培育外贸竞争新优势</w:t>
      </w:r>
    </w:p>
    <w:p>
      <w:pPr>
        <w:pStyle w:val="23"/>
      </w:pPr>
      <w:r>
        <w:t>绩效目标：优化外贸商品结构、市场结构、主体结构、贸易方式结构。</w:t>
      </w:r>
    </w:p>
    <w:p>
      <w:pPr>
        <w:pStyle w:val="23"/>
      </w:pPr>
      <w:r>
        <w:t>绩效指标：外贸综合服务企业出口增长率持平。</w:t>
      </w:r>
    </w:p>
    <w:p>
      <w:pPr>
        <w:pStyle w:val="23"/>
      </w:pPr>
      <w:r>
        <w:t>（十）综合业务管理</w:t>
      </w:r>
    </w:p>
    <w:p>
      <w:pPr>
        <w:pStyle w:val="23"/>
      </w:pPr>
      <w:r>
        <w:t>绩效目标：保障各项业务工作畅通。</w:t>
      </w:r>
    </w:p>
    <w:p>
      <w:pPr>
        <w:pStyle w:val="23"/>
      </w:pPr>
      <w:r>
        <w:t>绩效指标：综合业务管理工作完成率≥90%。</w:t>
      </w:r>
    </w:p>
    <w:p>
      <w:pPr>
        <w:pStyle w:val="23"/>
      </w:pPr>
      <w:r>
        <w:t>（十一）综合事务管理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1、百纺土地租金绩效目标表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13018326P000328105099</w:t>
            </w:r>
          </w:p>
        </w:tc>
        <w:tc>
          <w:tcPr>
            <w:tcW w:w="2835" w:type="dxa"/>
            <w:vAlign w:val="center"/>
          </w:tcPr>
          <w:p>
            <w:pPr>
              <w:pStyle w:val="11"/>
            </w:pPr>
            <w:r>
              <w:t>项目名称</w:t>
            </w:r>
          </w:p>
        </w:tc>
        <w:tc>
          <w:tcPr>
            <w:tcW w:w="6095" w:type="dxa"/>
            <w:gridSpan w:val="3"/>
            <w:vAlign w:val="center"/>
          </w:tcPr>
          <w:p>
            <w:pPr>
              <w:pStyle w:val="13"/>
            </w:pPr>
            <w:r>
              <w:t>百纺土地租金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用于缴纳百纺公司职工养老保险。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1.解决百纺公司职工养老保险等历史遗留问题，维护社会稳定。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享受政策资金人数</w:t>
            </w:r>
          </w:p>
        </w:tc>
        <w:tc>
          <w:tcPr>
            <w:tcW w:w="5386" w:type="dxa"/>
            <w:vAlign w:val="center"/>
          </w:tcPr>
          <w:p>
            <w:pPr>
              <w:pStyle w:val="13"/>
            </w:pPr>
          </w:p>
          <w:p>
            <w:pPr>
              <w:pStyle w:val="13"/>
            </w:pPr>
            <w:r>
              <w:t>享受政策资金人数</w:t>
            </w:r>
          </w:p>
          <w:p>
            <w:pPr>
              <w:pStyle w:val="13"/>
            </w:pPr>
          </w:p>
        </w:tc>
        <w:tc>
          <w:tcPr>
            <w:tcW w:w="2268" w:type="dxa"/>
            <w:vAlign w:val="center"/>
          </w:tcPr>
          <w:p>
            <w:pPr>
              <w:pStyle w:val="13"/>
            </w:pPr>
            <w:r>
              <w:t>≥5人</w:t>
            </w:r>
          </w:p>
        </w:tc>
        <w:tc>
          <w:tcPr>
            <w:tcW w:w="1276" w:type="dxa"/>
            <w:vAlign w:val="center"/>
          </w:tcPr>
          <w:p>
            <w:pPr>
              <w:pStyle w:val="13"/>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保证补助资金足额发放率（%）</w:t>
            </w:r>
          </w:p>
        </w:tc>
        <w:tc>
          <w:tcPr>
            <w:tcW w:w="2268" w:type="dxa"/>
            <w:vAlign w:val="center"/>
          </w:tcPr>
          <w:p>
            <w:pPr>
              <w:pStyle w:val="13"/>
            </w:pPr>
            <w:r>
              <w:t>≥98%</w:t>
            </w:r>
          </w:p>
        </w:tc>
        <w:tc>
          <w:tcPr>
            <w:tcW w:w="1276" w:type="dxa"/>
            <w:vAlign w:val="center"/>
          </w:tcPr>
          <w:p>
            <w:pPr>
              <w:pStyle w:val="13"/>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缴纳百纺公司职工养老保险及时率</w:t>
            </w:r>
          </w:p>
        </w:tc>
        <w:tc>
          <w:tcPr>
            <w:tcW w:w="5386" w:type="dxa"/>
            <w:vAlign w:val="center"/>
          </w:tcPr>
          <w:p>
            <w:pPr>
              <w:pStyle w:val="13"/>
            </w:pPr>
            <w:r>
              <w:t>缴纳百纺公司职工养老保险及时率</w:t>
            </w:r>
          </w:p>
        </w:tc>
        <w:tc>
          <w:tcPr>
            <w:tcW w:w="2268" w:type="dxa"/>
            <w:vAlign w:val="center"/>
          </w:tcPr>
          <w:p>
            <w:pPr>
              <w:pStyle w:val="13"/>
            </w:pPr>
            <w:r>
              <w:t>≥98%</w:t>
            </w:r>
          </w:p>
        </w:tc>
        <w:tc>
          <w:tcPr>
            <w:tcW w:w="1276" w:type="dxa"/>
            <w:vAlign w:val="center"/>
          </w:tcPr>
          <w:p>
            <w:pPr>
              <w:pStyle w:val="13"/>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百纺土地租金项目资金</w:t>
            </w:r>
          </w:p>
        </w:tc>
        <w:tc>
          <w:tcPr>
            <w:tcW w:w="5386" w:type="dxa"/>
            <w:vAlign w:val="center"/>
          </w:tcPr>
          <w:p>
            <w:pPr>
              <w:pStyle w:val="13"/>
            </w:pPr>
            <w:r>
              <w:t>百纺土地租金项目资金</w:t>
            </w:r>
          </w:p>
        </w:tc>
        <w:tc>
          <w:tcPr>
            <w:tcW w:w="2268" w:type="dxa"/>
            <w:vAlign w:val="center"/>
          </w:tcPr>
          <w:p>
            <w:pPr>
              <w:pStyle w:val="13"/>
            </w:pPr>
            <w:r>
              <w:t>27万元</w:t>
            </w:r>
          </w:p>
        </w:tc>
        <w:tc>
          <w:tcPr>
            <w:tcW w:w="1276" w:type="dxa"/>
            <w:vAlign w:val="center"/>
          </w:tcPr>
          <w:p>
            <w:pPr>
              <w:pStyle w:val="13"/>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安抚百纺公司职工情绪，保持社会稳定</w:t>
            </w:r>
          </w:p>
        </w:tc>
        <w:tc>
          <w:tcPr>
            <w:tcW w:w="5386" w:type="dxa"/>
            <w:vAlign w:val="center"/>
          </w:tcPr>
          <w:p>
            <w:pPr>
              <w:pStyle w:val="13"/>
            </w:pPr>
            <w:r>
              <w:t>安抚百纺公司职工情绪，保持社会稳定</w:t>
            </w:r>
          </w:p>
        </w:tc>
        <w:tc>
          <w:tcPr>
            <w:tcW w:w="2268" w:type="dxa"/>
            <w:vAlign w:val="center"/>
          </w:tcPr>
          <w:p>
            <w:pPr>
              <w:pStyle w:val="13"/>
            </w:pPr>
            <w:r>
              <w:t>有效维持社会稳定</w:t>
            </w:r>
          </w:p>
        </w:tc>
        <w:tc>
          <w:tcPr>
            <w:tcW w:w="1276" w:type="dxa"/>
            <w:vAlign w:val="center"/>
          </w:tcPr>
          <w:p>
            <w:pPr>
              <w:pStyle w:val="13"/>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日常工作正常开展率（%）</w:t>
            </w:r>
          </w:p>
        </w:tc>
        <w:tc>
          <w:tcPr>
            <w:tcW w:w="5386" w:type="dxa"/>
            <w:vAlign w:val="center"/>
          </w:tcPr>
          <w:p>
            <w:pPr>
              <w:pStyle w:val="13"/>
            </w:pPr>
            <w:r>
              <w:t>保证我局日常工作正常开展率（%）</w:t>
            </w:r>
          </w:p>
        </w:tc>
        <w:tc>
          <w:tcPr>
            <w:tcW w:w="2268" w:type="dxa"/>
            <w:vAlign w:val="center"/>
          </w:tcPr>
          <w:p>
            <w:pPr>
              <w:pStyle w:val="13"/>
            </w:pPr>
            <w:r>
              <w:t>≥98%</w:t>
            </w:r>
          </w:p>
        </w:tc>
        <w:tc>
          <w:tcPr>
            <w:tcW w:w="1276" w:type="dxa"/>
            <w:vAlign w:val="center"/>
          </w:tcPr>
          <w:p>
            <w:pPr>
              <w:pStyle w:val="13"/>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百纺公司职工满意度</w:t>
            </w:r>
          </w:p>
        </w:tc>
        <w:tc>
          <w:tcPr>
            <w:tcW w:w="5386" w:type="dxa"/>
            <w:vAlign w:val="center"/>
          </w:tcPr>
          <w:p>
            <w:pPr>
              <w:pStyle w:val="13"/>
            </w:pPr>
            <w:r>
              <w:t>百纺公司职工满意度</w:t>
            </w:r>
          </w:p>
        </w:tc>
        <w:tc>
          <w:tcPr>
            <w:tcW w:w="2268" w:type="dxa"/>
            <w:vAlign w:val="center"/>
          </w:tcPr>
          <w:p>
            <w:pPr>
              <w:pStyle w:val="13"/>
            </w:pPr>
            <w:r>
              <w:t>≥98%</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2、补充业务费绩效目标表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13018326P00032810508M</w:t>
            </w:r>
          </w:p>
        </w:tc>
        <w:tc>
          <w:tcPr>
            <w:tcW w:w="2835" w:type="dxa"/>
            <w:vAlign w:val="center"/>
          </w:tcPr>
          <w:p>
            <w:pPr>
              <w:pStyle w:val="11"/>
            </w:pPr>
            <w:r>
              <w:t>项目名称</w:t>
            </w:r>
          </w:p>
        </w:tc>
        <w:tc>
          <w:tcPr>
            <w:tcW w:w="6095" w:type="dxa"/>
            <w:gridSpan w:val="3"/>
            <w:vAlign w:val="center"/>
          </w:tcPr>
          <w:p>
            <w:pPr>
              <w:pStyle w:val="13"/>
            </w:pPr>
            <w:r>
              <w:t>补充业务费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w:t>
            </w:r>
          </w:p>
        </w:tc>
        <w:tc>
          <w:tcPr>
            <w:tcW w:w="2835" w:type="dxa"/>
            <w:vAlign w:val="center"/>
          </w:tcPr>
          <w:p>
            <w:pPr>
              <w:pStyle w:val="11"/>
            </w:pPr>
            <w:r>
              <w:t>其中：财政    资金</w:t>
            </w:r>
          </w:p>
        </w:tc>
        <w:tc>
          <w:tcPr>
            <w:tcW w:w="2551" w:type="dxa"/>
            <w:vAlign w:val="center"/>
          </w:tcPr>
          <w:p>
            <w:pPr>
              <w:pStyle w:val="13"/>
            </w:pPr>
            <w:r>
              <w:t>19.80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用于发放执法人员工资，缴纳保险。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1.通过补充经费，弥补我局日常经费缺口，维持我局日常工作的正常运转。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执法人员数量</w:t>
            </w:r>
          </w:p>
        </w:tc>
        <w:tc>
          <w:tcPr>
            <w:tcW w:w="5386" w:type="dxa"/>
            <w:vAlign w:val="center"/>
          </w:tcPr>
          <w:p>
            <w:pPr>
              <w:pStyle w:val="13"/>
            </w:pPr>
            <w:r>
              <w:t>执法人员数量</w:t>
            </w:r>
          </w:p>
        </w:tc>
        <w:tc>
          <w:tcPr>
            <w:tcW w:w="2268" w:type="dxa"/>
            <w:vAlign w:val="center"/>
          </w:tcPr>
          <w:p>
            <w:pPr>
              <w:pStyle w:val="13"/>
            </w:pPr>
            <w:r>
              <w:t>17人</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日常工作保障率</w:t>
            </w:r>
          </w:p>
        </w:tc>
        <w:tc>
          <w:tcPr>
            <w:tcW w:w="5386" w:type="dxa"/>
            <w:vAlign w:val="center"/>
          </w:tcPr>
          <w:p>
            <w:pPr>
              <w:pStyle w:val="13"/>
            </w:pPr>
            <w:r>
              <w:t>日常工作保障率</w:t>
            </w:r>
          </w:p>
        </w:tc>
        <w:tc>
          <w:tcPr>
            <w:tcW w:w="2268" w:type="dxa"/>
            <w:vAlign w:val="center"/>
          </w:tcPr>
          <w:p>
            <w:pPr>
              <w:pStyle w:val="13"/>
            </w:pPr>
            <w:r>
              <w:t>≥98%</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项目持续时间</w:t>
            </w:r>
          </w:p>
        </w:tc>
        <w:tc>
          <w:tcPr>
            <w:tcW w:w="5386" w:type="dxa"/>
            <w:vAlign w:val="center"/>
          </w:tcPr>
          <w:p>
            <w:pPr>
              <w:pStyle w:val="13"/>
            </w:pPr>
            <w:r>
              <w:t>项目持续时间</w:t>
            </w:r>
          </w:p>
        </w:tc>
        <w:tc>
          <w:tcPr>
            <w:tcW w:w="2268" w:type="dxa"/>
            <w:vAlign w:val="center"/>
          </w:tcPr>
          <w:p>
            <w:pPr>
              <w:pStyle w:val="13"/>
            </w:pPr>
            <w:r>
              <w:t>2026年1月至2026年12月底</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申请补充经费额度</w:t>
            </w:r>
          </w:p>
        </w:tc>
        <w:tc>
          <w:tcPr>
            <w:tcW w:w="5386" w:type="dxa"/>
            <w:vAlign w:val="center"/>
          </w:tcPr>
          <w:p>
            <w:pPr>
              <w:pStyle w:val="13"/>
            </w:pPr>
            <w:r>
              <w:t>申请补充经费额度</w:t>
            </w:r>
          </w:p>
        </w:tc>
        <w:tc>
          <w:tcPr>
            <w:tcW w:w="2268" w:type="dxa"/>
            <w:vAlign w:val="center"/>
          </w:tcPr>
          <w:p>
            <w:pPr>
              <w:pStyle w:val="13"/>
            </w:pPr>
            <w:r>
              <w:t>19.8万元</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保障日常办公，维持我局日常工作的正常开展</w:t>
            </w:r>
          </w:p>
        </w:tc>
        <w:tc>
          <w:tcPr>
            <w:tcW w:w="5386" w:type="dxa"/>
            <w:vAlign w:val="center"/>
          </w:tcPr>
          <w:p>
            <w:pPr>
              <w:pStyle w:val="13"/>
            </w:pPr>
            <w:r>
              <w:t>保障日常办公，维持我局日常工作的正常开展</w:t>
            </w:r>
          </w:p>
        </w:tc>
        <w:tc>
          <w:tcPr>
            <w:tcW w:w="2268" w:type="dxa"/>
            <w:vAlign w:val="center"/>
          </w:tcPr>
          <w:p>
            <w:pPr>
              <w:pStyle w:val="13"/>
            </w:pPr>
            <w:r>
              <w:t>有效维持我局正常运转</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维持社会安定，保障安全生产率</w:t>
            </w:r>
          </w:p>
        </w:tc>
        <w:tc>
          <w:tcPr>
            <w:tcW w:w="5386" w:type="dxa"/>
            <w:vAlign w:val="center"/>
          </w:tcPr>
          <w:p>
            <w:pPr>
              <w:pStyle w:val="13"/>
            </w:pPr>
            <w:r>
              <w:t>维持社会安定，保障安全生产率</w:t>
            </w:r>
          </w:p>
        </w:tc>
        <w:tc>
          <w:tcPr>
            <w:tcW w:w="2268" w:type="dxa"/>
            <w:vAlign w:val="center"/>
          </w:tcPr>
          <w:p>
            <w:pPr>
              <w:pStyle w:val="13"/>
            </w:pPr>
            <w:r>
              <w:t>有效保障安全生产率</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3、惠民生促消费补贴资金绩效目标表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13018326P00032810510L</w:t>
            </w:r>
          </w:p>
        </w:tc>
        <w:tc>
          <w:tcPr>
            <w:tcW w:w="2835" w:type="dxa"/>
            <w:vAlign w:val="center"/>
          </w:tcPr>
          <w:p>
            <w:pPr>
              <w:pStyle w:val="11"/>
            </w:pPr>
            <w:r>
              <w:t>项目名称</w:t>
            </w:r>
          </w:p>
        </w:tc>
        <w:tc>
          <w:tcPr>
            <w:tcW w:w="6095" w:type="dxa"/>
            <w:gridSpan w:val="3"/>
            <w:vAlign w:val="center"/>
          </w:tcPr>
          <w:p>
            <w:pPr>
              <w:pStyle w:val="13"/>
            </w:pPr>
            <w:r>
              <w:t>惠民生促消费补贴资金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671.00</w:t>
            </w:r>
          </w:p>
        </w:tc>
        <w:tc>
          <w:tcPr>
            <w:tcW w:w="2835" w:type="dxa"/>
            <w:vAlign w:val="center"/>
          </w:tcPr>
          <w:p>
            <w:pPr>
              <w:pStyle w:val="11"/>
            </w:pPr>
            <w:r>
              <w:t>其中：财政    资金</w:t>
            </w:r>
          </w:p>
        </w:tc>
        <w:tc>
          <w:tcPr>
            <w:tcW w:w="2551" w:type="dxa"/>
            <w:vAlign w:val="center"/>
          </w:tcPr>
          <w:p>
            <w:pPr>
              <w:pStyle w:val="13"/>
            </w:pPr>
            <w:r>
              <w:t>671.00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用于补贴商超及汽车企业开展惠民促销活动。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1.进一步激发市民消费潜力，拉动我市经济增长，积极推动商贸流通企业健康发展，提升商贸流通企业发展质量。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参与补贴企业数量</w:t>
            </w:r>
          </w:p>
        </w:tc>
        <w:tc>
          <w:tcPr>
            <w:tcW w:w="5386" w:type="dxa"/>
            <w:vAlign w:val="center"/>
          </w:tcPr>
          <w:p>
            <w:pPr>
              <w:pStyle w:val="13"/>
            </w:pPr>
            <w:r>
              <w:t>参与惠民促消补贴企业数量</w:t>
            </w:r>
          </w:p>
        </w:tc>
        <w:tc>
          <w:tcPr>
            <w:tcW w:w="2268" w:type="dxa"/>
            <w:vAlign w:val="center"/>
          </w:tcPr>
          <w:p>
            <w:pPr>
              <w:pStyle w:val="13"/>
            </w:pPr>
            <w:r>
              <w:t>≥10家</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惠民促消资金发放程度</w:t>
            </w:r>
          </w:p>
        </w:tc>
        <w:tc>
          <w:tcPr>
            <w:tcW w:w="5386" w:type="dxa"/>
            <w:vAlign w:val="center"/>
          </w:tcPr>
          <w:p>
            <w:pPr>
              <w:pStyle w:val="13"/>
            </w:pPr>
            <w:r>
              <w:t>惠民促消资金发放程度</w:t>
            </w:r>
          </w:p>
        </w:tc>
        <w:tc>
          <w:tcPr>
            <w:tcW w:w="2268" w:type="dxa"/>
            <w:vAlign w:val="center"/>
          </w:tcPr>
          <w:p>
            <w:pPr>
              <w:pStyle w:val="13"/>
            </w:pPr>
            <w:r>
              <w:t>≥98%</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惠民促消资金使用时限</w:t>
            </w:r>
          </w:p>
        </w:tc>
        <w:tc>
          <w:tcPr>
            <w:tcW w:w="5386" w:type="dxa"/>
            <w:vAlign w:val="center"/>
          </w:tcPr>
          <w:p>
            <w:pPr>
              <w:pStyle w:val="13"/>
            </w:pPr>
            <w:r>
              <w:t>惠民促消资金使用时限</w:t>
            </w:r>
          </w:p>
        </w:tc>
        <w:tc>
          <w:tcPr>
            <w:tcW w:w="2268" w:type="dxa"/>
            <w:vAlign w:val="center"/>
          </w:tcPr>
          <w:p>
            <w:pPr>
              <w:pStyle w:val="13"/>
            </w:pPr>
            <w:r>
              <w:t>2026年1月至2026年12月</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补贴资金总额</w:t>
            </w:r>
          </w:p>
        </w:tc>
        <w:tc>
          <w:tcPr>
            <w:tcW w:w="5386" w:type="dxa"/>
            <w:vAlign w:val="center"/>
          </w:tcPr>
          <w:p>
            <w:pPr>
              <w:pStyle w:val="13"/>
            </w:pPr>
            <w:r>
              <w:t>补贴资金总额</w:t>
            </w:r>
          </w:p>
        </w:tc>
        <w:tc>
          <w:tcPr>
            <w:tcW w:w="2268" w:type="dxa"/>
            <w:vAlign w:val="center"/>
          </w:tcPr>
          <w:p>
            <w:pPr>
              <w:pStyle w:val="13"/>
            </w:pPr>
            <w:r>
              <w:t>671万元</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活动带动产品销售率显著增长</w:t>
            </w:r>
          </w:p>
        </w:tc>
        <w:tc>
          <w:tcPr>
            <w:tcW w:w="5386" w:type="dxa"/>
            <w:vAlign w:val="center"/>
          </w:tcPr>
          <w:p>
            <w:pPr>
              <w:pStyle w:val="13"/>
            </w:pPr>
            <w:r>
              <w:t>活动带动产品销售率显著增长</w:t>
            </w:r>
          </w:p>
        </w:tc>
        <w:tc>
          <w:tcPr>
            <w:tcW w:w="2268" w:type="dxa"/>
            <w:vAlign w:val="center"/>
          </w:tcPr>
          <w:p>
            <w:pPr>
              <w:pStyle w:val="13"/>
            </w:pPr>
            <w:r>
              <w:t>显著增长</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进一步激发市民消费潜力，拉动我市经济增长</w:t>
            </w:r>
          </w:p>
        </w:tc>
        <w:tc>
          <w:tcPr>
            <w:tcW w:w="5386" w:type="dxa"/>
            <w:vAlign w:val="center"/>
          </w:tcPr>
          <w:p>
            <w:pPr>
              <w:pStyle w:val="13"/>
            </w:pPr>
            <w:r>
              <w:t>进一步激发市民消费潜力，拉动我市经济增长</w:t>
            </w:r>
          </w:p>
        </w:tc>
        <w:tc>
          <w:tcPr>
            <w:tcW w:w="2268" w:type="dxa"/>
            <w:vAlign w:val="center"/>
          </w:tcPr>
          <w:p>
            <w:pPr>
              <w:pStyle w:val="13"/>
            </w:pPr>
            <w:r>
              <w:t>有效带动我市经济增长</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提高我市市民生活幸福指数，维护社会安定</w:t>
            </w:r>
          </w:p>
        </w:tc>
        <w:tc>
          <w:tcPr>
            <w:tcW w:w="5386" w:type="dxa"/>
            <w:vAlign w:val="center"/>
          </w:tcPr>
          <w:p>
            <w:pPr>
              <w:pStyle w:val="13"/>
            </w:pPr>
            <w:r>
              <w:t>提高我市市民生活幸福指数，维护社会安定</w:t>
            </w:r>
          </w:p>
        </w:tc>
        <w:tc>
          <w:tcPr>
            <w:tcW w:w="2268" w:type="dxa"/>
            <w:vAlign w:val="center"/>
          </w:tcPr>
          <w:p>
            <w:pPr>
              <w:pStyle w:val="13"/>
            </w:pPr>
            <w:r>
              <w:t>有效提高市民幸福指数</w:t>
            </w:r>
          </w:p>
        </w:tc>
        <w:tc>
          <w:tcPr>
            <w:tcW w:w="1276" w:type="dxa"/>
            <w:vAlign w:val="center"/>
          </w:tcPr>
          <w:p>
            <w:pPr>
              <w:pStyle w:val="13"/>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服务企业满意度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4、冀财建[2025]246号调整2025年中央外经贸发展资金（支持地方统筹推进外经贸发展）绩效目标表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13018325P00006411864X</w:t>
            </w:r>
          </w:p>
        </w:tc>
        <w:tc>
          <w:tcPr>
            <w:tcW w:w="2835" w:type="dxa"/>
            <w:vAlign w:val="center"/>
          </w:tcPr>
          <w:p>
            <w:pPr>
              <w:pStyle w:val="11"/>
            </w:pPr>
            <w:r>
              <w:t>项目名称</w:t>
            </w:r>
          </w:p>
        </w:tc>
        <w:tc>
          <w:tcPr>
            <w:tcW w:w="6095" w:type="dxa"/>
            <w:gridSpan w:val="3"/>
            <w:vAlign w:val="center"/>
          </w:tcPr>
          <w:p>
            <w:pPr>
              <w:pStyle w:val="13"/>
            </w:pPr>
            <w:r>
              <w:t>冀财建[2025]246号调整2025年中央外经贸发展资金（支持地方统筹推进外经贸发展）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240.44</w:t>
            </w:r>
          </w:p>
        </w:tc>
        <w:tc>
          <w:tcPr>
            <w:tcW w:w="2835" w:type="dxa"/>
            <w:vAlign w:val="center"/>
          </w:tcPr>
          <w:p>
            <w:pPr>
              <w:pStyle w:val="11"/>
            </w:pPr>
            <w:r>
              <w:t>其中：财政    资金</w:t>
            </w:r>
          </w:p>
        </w:tc>
        <w:tc>
          <w:tcPr>
            <w:tcW w:w="2551" w:type="dxa"/>
            <w:vAlign w:val="center"/>
          </w:tcPr>
          <w:p>
            <w:pPr>
              <w:pStyle w:val="13"/>
            </w:pPr>
            <w:r>
              <w:t>240.44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促进外经贸稳定增长，促进社会经济发展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1.促进外经贸稳定增长，促进社会经济发展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项目资金发放企业数量</w:t>
            </w:r>
          </w:p>
        </w:tc>
        <w:tc>
          <w:tcPr>
            <w:tcW w:w="2268" w:type="dxa"/>
            <w:vAlign w:val="center"/>
          </w:tcPr>
          <w:p>
            <w:pPr>
              <w:pStyle w:val="13"/>
            </w:pPr>
            <w:r>
              <w:t>≥1家</w:t>
            </w:r>
          </w:p>
        </w:tc>
        <w:tc>
          <w:tcPr>
            <w:tcW w:w="1276" w:type="dxa"/>
            <w:vAlign w:val="center"/>
          </w:tcPr>
          <w:p>
            <w:pPr>
              <w:pStyle w:val="13"/>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企业发展支持度</w:t>
            </w:r>
          </w:p>
        </w:tc>
        <w:tc>
          <w:tcPr>
            <w:tcW w:w="5386" w:type="dxa"/>
            <w:vAlign w:val="center"/>
          </w:tcPr>
          <w:p>
            <w:pPr>
              <w:pStyle w:val="13"/>
            </w:pPr>
            <w:r>
              <w:t>外贸企业发展支持度</w:t>
            </w:r>
          </w:p>
        </w:tc>
        <w:tc>
          <w:tcPr>
            <w:tcW w:w="2268" w:type="dxa"/>
            <w:vAlign w:val="center"/>
          </w:tcPr>
          <w:p>
            <w:pPr>
              <w:pStyle w:val="13"/>
            </w:pPr>
            <w:r>
              <w:t>≥98%</w:t>
            </w:r>
          </w:p>
        </w:tc>
        <w:tc>
          <w:tcPr>
            <w:tcW w:w="1276" w:type="dxa"/>
            <w:vAlign w:val="center"/>
          </w:tcPr>
          <w:p>
            <w:pPr>
              <w:pStyle w:val="13"/>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项目使用时长</w:t>
            </w:r>
          </w:p>
        </w:tc>
        <w:tc>
          <w:tcPr>
            <w:tcW w:w="5386" w:type="dxa"/>
            <w:vAlign w:val="center"/>
          </w:tcPr>
          <w:p>
            <w:pPr>
              <w:pStyle w:val="13"/>
            </w:pPr>
            <w:r>
              <w:t>本项目使用时间</w:t>
            </w:r>
          </w:p>
        </w:tc>
        <w:tc>
          <w:tcPr>
            <w:tcW w:w="2268" w:type="dxa"/>
            <w:vAlign w:val="center"/>
          </w:tcPr>
          <w:p>
            <w:pPr>
              <w:pStyle w:val="13"/>
            </w:pPr>
            <w:r>
              <w:t>2025年1月1日至2025年12月31日</w:t>
            </w:r>
          </w:p>
        </w:tc>
        <w:tc>
          <w:tcPr>
            <w:tcW w:w="1276" w:type="dxa"/>
            <w:vAlign w:val="center"/>
          </w:tcPr>
          <w:p>
            <w:pPr>
              <w:pStyle w:val="13"/>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下达资金规模</w:t>
            </w:r>
          </w:p>
        </w:tc>
        <w:tc>
          <w:tcPr>
            <w:tcW w:w="2268" w:type="dxa"/>
            <w:vAlign w:val="center"/>
          </w:tcPr>
          <w:p>
            <w:pPr>
              <w:pStyle w:val="13"/>
            </w:pPr>
            <w:r>
              <w:t>240.44万元</w:t>
            </w:r>
          </w:p>
        </w:tc>
        <w:tc>
          <w:tcPr>
            <w:tcW w:w="1276" w:type="dxa"/>
            <w:vAlign w:val="center"/>
          </w:tcPr>
          <w:p>
            <w:pPr>
              <w:pStyle w:val="13"/>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促进外经贸发展，带动国民经济增长</w:t>
            </w:r>
          </w:p>
        </w:tc>
        <w:tc>
          <w:tcPr>
            <w:tcW w:w="2268" w:type="dxa"/>
            <w:vAlign w:val="center"/>
          </w:tcPr>
          <w:p>
            <w:pPr>
              <w:pStyle w:val="13"/>
            </w:pPr>
            <w:r>
              <w:t>≥98%</w:t>
            </w:r>
          </w:p>
        </w:tc>
        <w:tc>
          <w:tcPr>
            <w:tcW w:w="1276" w:type="dxa"/>
            <w:vAlign w:val="center"/>
          </w:tcPr>
          <w:p>
            <w:pPr>
              <w:pStyle w:val="13"/>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项目实施所产生的社会综合效益</w:t>
            </w:r>
          </w:p>
        </w:tc>
        <w:tc>
          <w:tcPr>
            <w:tcW w:w="5386" w:type="dxa"/>
            <w:vAlign w:val="center"/>
          </w:tcPr>
          <w:p>
            <w:pPr>
              <w:pStyle w:val="13"/>
            </w:pPr>
            <w:r>
              <w:t>促进社会经济发展</w:t>
            </w:r>
          </w:p>
        </w:tc>
        <w:tc>
          <w:tcPr>
            <w:tcW w:w="2268" w:type="dxa"/>
            <w:vAlign w:val="center"/>
          </w:tcPr>
          <w:p>
            <w:pPr>
              <w:pStyle w:val="13"/>
            </w:pPr>
            <w:r>
              <w:t>≥98%</w:t>
            </w:r>
          </w:p>
        </w:tc>
        <w:tc>
          <w:tcPr>
            <w:tcW w:w="1276" w:type="dxa"/>
            <w:vAlign w:val="center"/>
          </w:tcPr>
          <w:p>
            <w:pPr>
              <w:pStyle w:val="13"/>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13018326P000328105118</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11.97</w:t>
            </w:r>
          </w:p>
        </w:tc>
        <w:tc>
          <w:tcPr>
            <w:tcW w:w="2835" w:type="dxa"/>
            <w:vAlign w:val="center"/>
          </w:tcPr>
          <w:p>
            <w:pPr>
              <w:pStyle w:val="11"/>
            </w:pPr>
            <w:r>
              <w:t>其中：财政    资金</w:t>
            </w:r>
          </w:p>
        </w:tc>
        <w:tc>
          <w:tcPr>
            <w:tcW w:w="2551" w:type="dxa"/>
            <w:vAlign w:val="center"/>
          </w:tcPr>
          <w:p>
            <w:pPr>
              <w:pStyle w:val="13"/>
            </w:pPr>
            <w:r>
              <w:t>11.97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用于发放缴纳劳务派遣人员工资及保险。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1.保障劳务派遣人员的各项开支，促进我市就业，保障我局日常工作有序开展。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劳务派遣人员人数</w:t>
            </w:r>
          </w:p>
        </w:tc>
        <w:tc>
          <w:tcPr>
            <w:tcW w:w="5386" w:type="dxa"/>
            <w:vAlign w:val="center"/>
          </w:tcPr>
          <w:p>
            <w:pPr>
              <w:pStyle w:val="13"/>
            </w:pPr>
            <w:r>
              <w:t>劳务派遣人员人数</w:t>
            </w:r>
          </w:p>
        </w:tc>
        <w:tc>
          <w:tcPr>
            <w:tcW w:w="2268" w:type="dxa"/>
            <w:vAlign w:val="center"/>
          </w:tcPr>
          <w:p>
            <w:pPr>
              <w:pStyle w:val="13"/>
            </w:pPr>
            <w:r>
              <w:t>3人</w:t>
            </w:r>
          </w:p>
        </w:tc>
        <w:tc>
          <w:tcPr>
            <w:tcW w:w="1276" w:type="dxa"/>
            <w:vAlign w:val="center"/>
          </w:tcPr>
          <w:p>
            <w:pPr>
              <w:pStyle w:val="13"/>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资金支出合规性</w:t>
            </w:r>
          </w:p>
        </w:tc>
        <w:tc>
          <w:tcPr>
            <w:tcW w:w="5386" w:type="dxa"/>
            <w:vAlign w:val="center"/>
          </w:tcPr>
          <w:p>
            <w:pPr>
              <w:pStyle w:val="13"/>
            </w:pPr>
            <w:r>
              <w:t>资金支出合规性</w:t>
            </w:r>
          </w:p>
        </w:tc>
        <w:tc>
          <w:tcPr>
            <w:tcW w:w="2268" w:type="dxa"/>
            <w:vAlign w:val="center"/>
          </w:tcPr>
          <w:p>
            <w:pPr>
              <w:pStyle w:val="13"/>
            </w:pPr>
            <w:r>
              <w:t>符合行业标准</w:t>
            </w:r>
          </w:p>
        </w:tc>
        <w:tc>
          <w:tcPr>
            <w:tcW w:w="1276" w:type="dxa"/>
            <w:vAlign w:val="center"/>
          </w:tcPr>
          <w:p>
            <w:pPr>
              <w:pStyle w:val="13"/>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项目有效期</w:t>
            </w:r>
          </w:p>
        </w:tc>
        <w:tc>
          <w:tcPr>
            <w:tcW w:w="5386" w:type="dxa"/>
            <w:vAlign w:val="center"/>
          </w:tcPr>
          <w:p>
            <w:pPr>
              <w:pStyle w:val="13"/>
            </w:pPr>
            <w:r>
              <w:t>项目有效期</w:t>
            </w:r>
          </w:p>
        </w:tc>
        <w:tc>
          <w:tcPr>
            <w:tcW w:w="2268" w:type="dxa"/>
            <w:vAlign w:val="center"/>
          </w:tcPr>
          <w:p>
            <w:pPr>
              <w:pStyle w:val="13"/>
            </w:pPr>
            <w:r>
              <w:t>2026年1月至2026年12月底</w:t>
            </w:r>
          </w:p>
        </w:tc>
        <w:tc>
          <w:tcPr>
            <w:tcW w:w="1276" w:type="dxa"/>
            <w:vAlign w:val="center"/>
          </w:tcPr>
          <w:p>
            <w:pPr>
              <w:pStyle w:val="13"/>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劳务派遣人员服务费</w:t>
            </w:r>
          </w:p>
        </w:tc>
        <w:tc>
          <w:tcPr>
            <w:tcW w:w="5386" w:type="dxa"/>
            <w:vAlign w:val="center"/>
          </w:tcPr>
          <w:p>
            <w:pPr>
              <w:pStyle w:val="13"/>
            </w:pPr>
            <w:r>
              <w:t>劳务派遣人员服务费</w:t>
            </w:r>
          </w:p>
        </w:tc>
        <w:tc>
          <w:tcPr>
            <w:tcW w:w="2268" w:type="dxa"/>
            <w:vAlign w:val="center"/>
          </w:tcPr>
          <w:p>
            <w:pPr>
              <w:pStyle w:val="13"/>
            </w:pPr>
            <w:r>
              <w:t>11.97万元</w:t>
            </w:r>
          </w:p>
        </w:tc>
        <w:tc>
          <w:tcPr>
            <w:tcW w:w="1276" w:type="dxa"/>
            <w:vAlign w:val="center"/>
          </w:tcPr>
          <w:p>
            <w:pPr>
              <w:pStyle w:val="13"/>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促进就业，实现经济增长</w:t>
            </w:r>
          </w:p>
        </w:tc>
        <w:tc>
          <w:tcPr>
            <w:tcW w:w="5386" w:type="dxa"/>
            <w:vAlign w:val="center"/>
          </w:tcPr>
          <w:p>
            <w:pPr>
              <w:pStyle w:val="13"/>
            </w:pPr>
            <w:r>
              <w:t>促进就业，实现经济增长</w:t>
            </w:r>
          </w:p>
        </w:tc>
        <w:tc>
          <w:tcPr>
            <w:tcW w:w="2268" w:type="dxa"/>
            <w:vAlign w:val="center"/>
          </w:tcPr>
          <w:p>
            <w:pPr>
              <w:pStyle w:val="13"/>
            </w:pPr>
            <w:r>
              <w:t>有效促进</w:t>
            </w:r>
          </w:p>
        </w:tc>
        <w:tc>
          <w:tcPr>
            <w:tcW w:w="1276" w:type="dxa"/>
            <w:vAlign w:val="center"/>
          </w:tcPr>
          <w:p>
            <w:pPr>
              <w:pStyle w:val="13"/>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推动我局日常工作有序开展</w:t>
            </w:r>
          </w:p>
        </w:tc>
        <w:tc>
          <w:tcPr>
            <w:tcW w:w="5386" w:type="dxa"/>
            <w:vAlign w:val="center"/>
          </w:tcPr>
          <w:p>
            <w:pPr>
              <w:pStyle w:val="13"/>
            </w:pPr>
            <w:r>
              <w:t>推动我局日常工作有序开展</w:t>
            </w:r>
          </w:p>
        </w:tc>
        <w:tc>
          <w:tcPr>
            <w:tcW w:w="2268" w:type="dxa"/>
            <w:vAlign w:val="center"/>
          </w:tcPr>
          <w:p>
            <w:pPr>
              <w:pStyle w:val="13"/>
            </w:pPr>
            <w:r>
              <w:t>有效推动</w:t>
            </w:r>
          </w:p>
        </w:tc>
        <w:tc>
          <w:tcPr>
            <w:tcW w:w="1276" w:type="dxa"/>
            <w:vAlign w:val="center"/>
          </w:tcPr>
          <w:p>
            <w:pPr>
              <w:pStyle w:val="13"/>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13018326P00032810512U</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7.57</w:t>
            </w:r>
          </w:p>
        </w:tc>
        <w:tc>
          <w:tcPr>
            <w:tcW w:w="2835" w:type="dxa"/>
            <w:vAlign w:val="center"/>
          </w:tcPr>
          <w:p>
            <w:pPr>
              <w:pStyle w:val="11"/>
            </w:pPr>
            <w:r>
              <w:t>其中：财政    资金</w:t>
            </w:r>
          </w:p>
        </w:tc>
        <w:tc>
          <w:tcPr>
            <w:tcW w:w="2551" w:type="dxa"/>
            <w:vAlign w:val="center"/>
          </w:tcPr>
          <w:p>
            <w:pPr>
              <w:pStyle w:val="13"/>
            </w:pPr>
            <w:r>
              <w:t>7.57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用于发放退役军人工资，缴纳退役军人保险。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1.保证下岗退伍军人生活费正常发放，养老保险正常缴纳，稳定涉军人员情绪，确保人员稳控到位。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下岗退伍军人数量</w:t>
            </w:r>
          </w:p>
        </w:tc>
        <w:tc>
          <w:tcPr>
            <w:tcW w:w="5386" w:type="dxa"/>
            <w:vAlign w:val="center"/>
          </w:tcPr>
          <w:p>
            <w:pPr>
              <w:pStyle w:val="13"/>
            </w:pPr>
            <w:r>
              <w:t>下岗退伍军人数量</w:t>
            </w:r>
          </w:p>
        </w:tc>
        <w:tc>
          <w:tcPr>
            <w:tcW w:w="2268" w:type="dxa"/>
            <w:vAlign w:val="center"/>
          </w:tcPr>
          <w:p>
            <w:pPr>
              <w:pStyle w:val="13"/>
            </w:pPr>
            <w:r>
              <w:t>2人</w:t>
            </w:r>
          </w:p>
        </w:tc>
        <w:tc>
          <w:tcPr>
            <w:tcW w:w="1276" w:type="dxa"/>
            <w:vAlign w:val="center"/>
          </w:tcPr>
          <w:p>
            <w:pPr>
              <w:pStyle w:val="13"/>
            </w:pPr>
            <w:r>
              <w:t>涉军人员明细表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保证下岗退伍军人生活费正常发放、养老保险正常缴纳</w:t>
            </w:r>
          </w:p>
        </w:tc>
        <w:tc>
          <w:tcPr>
            <w:tcW w:w="5386" w:type="dxa"/>
            <w:vAlign w:val="center"/>
          </w:tcPr>
          <w:p>
            <w:pPr>
              <w:pStyle w:val="13"/>
            </w:pPr>
            <w:r>
              <w:t>保证下岗退伍军人生活费正常发放、养老保险正常缴纳</w:t>
            </w:r>
          </w:p>
        </w:tc>
        <w:tc>
          <w:tcPr>
            <w:tcW w:w="2268" w:type="dxa"/>
            <w:vAlign w:val="center"/>
          </w:tcPr>
          <w:p>
            <w:pPr>
              <w:pStyle w:val="13"/>
            </w:pPr>
            <w:r>
              <w:t>及时缴纳，发放到位</w:t>
            </w:r>
          </w:p>
        </w:tc>
        <w:tc>
          <w:tcPr>
            <w:tcW w:w="1276" w:type="dxa"/>
            <w:vAlign w:val="center"/>
          </w:tcPr>
          <w:p>
            <w:pPr>
              <w:pStyle w:val="13"/>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项目有效期</w:t>
            </w:r>
          </w:p>
        </w:tc>
        <w:tc>
          <w:tcPr>
            <w:tcW w:w="5386" w:type="dxa"/>
            <w:vAlign w:val="center"/>
          </w:tcPr>
          <w:p>
            <w:pPr>
              <w:pStyle w:val="13"/>
            </w:pPr>
            <w:r>
              <w:t>项目有效期</w:t>
            </w:r>
          </w:p>
        </w:tc>
        <w:tc>
          <w:tcPr>
            <w:tcW w:w="2268" w:type="dxa"/>
            <w:vAlign w:val="center"/>
          </w:tcPr>
          <w:p>
            <w:pPr>
              <w:pStyle w:val="13"/>
            </w:pPr>
            <w:r>
              <w:t>2026年1月至2026年12月底</w:t>
            </w:r>
          </w:p>
        </w:tc>
        <w:tc>
          <w:tcPr>
            <w:tcW w:w="1276" w:type="dxa"/>
            <w:vAlign w:val="center"/>
          </w:tcPr>
          <w:p>
            <w:pPr>
              <w:pStyle w:val="13"/>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退役人员相关费用</w:t>
            </w:r>
          </w:p>
        </w:tc>
        <w:tc>
          <w:tcPr>
            <w:tcW w:w="5386" w:type="dxa"/>
            <w:vAlign w:val="center"/>
          </w:tcPr>
          <w:p>
            <w:pPr>
              <w:pStyle w:val="13"/>
            </w:pPr>
            <w:r>
              <w:t>退役人员相关费用金额</w:t>
            </w:r>
          </w:p>
        </w:tc>
        <w:tc>
          <w:tcPr>
            <w:tcW w:w="2268" w:type="dxa"/>
            <w:vAlign w:val="center"/>
          </w:tcPr>
          <w:p>
            <w:pPr>
              <w:pStyle w:val="13"/>
            </w:pPr>
            <w:r>
              <w:t>7.57万元</w:t>
            </w:r>
          </w:p>
        </w:tc>
        <w:tc>
          <w:tcPr>
            <w:tcW w:w="1276" w:type="dxa"/>
            <w:vAlign w:val="center"/>
          </w:tcPr>
          <w:p>
            <w:pPr>
              <w:pStyle w:val="13"/>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稳定涉军人员情绪，确保人员稳控到位</w:t>
            </w:r>
          </w:p>
        </w:tc>
        <w:tc>
          <w:tcPr>
            <w:tcW w:w="5386" w:type="dxa"/>
            <w:vAlign w:val="center"/>
          </w:tcPr>
          <w:p>
            <w:pPr>
              <w:pStyle w:val="13"/>
            </w:pPr>
            <w:r>
              <w:t>稳定涉军人员情绪，确保人员稳控到位</w:t>
            </w:r>
          </w:p>
        </w:tc>
        <w:tc>
          <w:tcPr>
            <w:tcW w:w="2268" w:type="dxa"/>
            <w:vAlign w:val="center"/>
          </w:tcPr>
          <w:p>
            <w:pPr>
              <w:pStyle w:val="13"/>
            </w:pPr>
            <w:r>
              <w:t>有效稳控</w:t>
            </w:r>
          </w:p>
        </w:tc>
        <w:tc>
          <w:tcPr>
            <w:tcW w:w="1276" w:type="dxa"/>
            <w:vAlign w:val="center"/>
          </w:tcPr>
          <w:p>
            <w:pPr>
              <w:pStyle w:val="13"/>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保障社会环境安定，保证日常工作顺利开展</w:t>
            </w:r>
          </w:p>
        </w:tc>
        <w:tc>
          <w:tcPr>
            <w:tcW w:w="5386" w:type="dxa"/>
            <w:vAlign w:val="center"/>
          </w:tcPr>
          <w:p>
            <w:pPr>
              <w:pStyle w:val="13"/>
            </w:pPr>
            <w:r>
              <w:t>保障社会环境安定，保证日常工作顺利开展</w:t>
            </w:r>
          </w:p>
        </w:tc>
        <w:tc>
          <w:tcPr>
            <w:tcW w:w="2268" w:type="dxa"/>
            <w:vAlign w:val="center"/>
          </w:tcPr>
          <w:p>
            <w:pPr>
              <w:pStyle w:val="13"/>
            </w:pPr>
            <w:r>
              <w:t>有效保障</w:t>
            </w:r>
          </w:p>
        </w:tc>
        <w:tc>
          <w:tcPr>
            <w:tcW w:w="1276" w:type="dxa"/>
            <w:vAlign w:val="center"/>
          </w:tcPr>
          <w:p>
            <w:pPr>
              <w:pStyle w:val="13"/>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涉军人员满意度</w:t>
            </w:r>
          </w:p>
        </w:tc>
        <w:tc>
          <w:tcPr>
            <w:tcW w:w="5386" w:type="dxa"/>
            <w:vAlign w:val="center"/>
          </w:tcPr>
          <w:p>
            <w:pPr>
              <w:pStyle w:val="13"/>
            </w:pPr>
            <w:r>
              <w:t>涉军人员满意度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7、原执法队人员费用绩效目标表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13018326P000328105143</w:t>
            </w:r>
          </w:p>
        </w:tc>
        <w:tc>
          <w:tcPr>
            <w:tcW w:w="2835" w:type="dxa"/>
            <w:vAlign w:val="center"/>
          </w:tcPr>
          <w:p>
            <w:pPr>
              <w:pStyle w:val="11"/>
            </w:pPr>
            <w:r>
              <w:t>项目名称</w:t>
            </w:r>
          </w:p>
        </w:tc>
        <w:tc>
          <w:tcPr>
            <w:tcW w:w="6095" w:type="dxa"/>
            <w:gridSpan w:val="3"/>
            <w:vAlign w:val="center"/>
          </w:tcPr>
          <w:p>
            <w:pPr>
              <w:pStyle w:val="13"/>
            </w:pPr>
            <w:r>
              <w:t>原执法队人员费用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103.90</w:t>
            </w:r>
          </w:p>
        </w:tc>
        <w:tc>
          <w:tcPr>
            <w:tcW w:w="2835" w:type="dxa"/>
            <w:vAlign w:val="center"/>
          </w:tcPr>
          <w:p>
            <w:pPr>
              <w:pStyle w:val="11"/>
            </w:pPr>
            <w:r>
              <w:t>其中：财政    资金</w:t>
            </w:r>
          </w:p>
        </w:tc>
        <w:tc>
          <w:tcPr>
            <w:tcW w:w="2551" w:type="dxa"/>
            <w:vAlign w:val="center"/>
          </w:tcPr>
          <w:p>
            <w:pPr>
              <w:pStyle w:val="13"/>
            </w:pPr>
            <w:r>
              <w:t>103.90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用于发放执法队人员工资，缴纳执法人员保险。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1.保障我局执法人员工资保险及时发放缴纳，保证对监管行业安全培训工作开展，维持我局日常工作正常运转。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执法人员数量</w:t>
            </w:r>
          </w:p>
        </w:tc>
        <w:tc>
          <w:tcPr>
            <w:tcW w:w="5386" w:type="dxa"/>
            <w:vAlign w:val="center"/>
          </w:tcPr>
          <w:p>
            <w:pPr>
              <w:pStyle w:val="13"/>
            </w:pPr>
            <w:r>
              <w:t>执法人员数量</w:t>
            </w:r>
          </w:p>
        </w:tc>
        <w:tc>
          <w:tcPr>
            <w:tcW w:w="2268" w:type="dxa"/>
            <w:vAlign w:val="center"/>
          </w:tcPr>
          <w:p>
            <w:pPr>
              <w:pStyle w:val="13"/>
            </w:pPr>
            <w:r>
              <w:t>17人</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安全生产培训合格率</w:t>
            </w:r>
          </w:p>
        </w:tc>
        <w:tc>
          <w:tcPr>
            <w:tcW w:w="5386" w:type="dxa"/>
            <w:vAlign w:val="center"/>
          </w:tcPr>
          <w:p>
            <w:pPr>
              <w:pStyle w:val="13"/>
            </w:pPr>
            <w:r>
              <w:t>安全生产培训合格率</w:t>
            </w:r>
          </w:p>
        </w:tc>
        <w:tc>
          <w:tcPr>
            <w:tcW w:w="2268" w:type="dxa"/>
            <w:vAlign w:val="center"/>
          </w:tcPr>
          <w:p>
            <w:pPr>
              <w:pStyle w:val="13"/>
            </w:pPr>
            <w:r>
              <w:t>≥98%</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项目使用时效</w:t>
            </w:r>
          </w:p>
        </w:tc>
        <w:tc>
          <w:tcPr>
            <w:tcW w:w="5386" w:type="dxa"/>
            <w:vAlign w:val="center"/>
          </w:tcPr>
          <w:p>
            <w:pPr>
              <w:pStyle w:val="13"/>
            </w:pPr>
            <w:r>
              <w:t>项目使用时效</w:t>
            </w:r>
          </w:p>
        </w:tc>
        <w:tc>
          <w:tcPr>
            <w:tcW w:w="2268" w:type="dxa"/>
            <w:vAlign w:val="center"/>
          </w:tcPr>
          <w:p>
            <w:pPr>
              <w:pStyle w:val="13"/>
            </w:pPr>
            <w:r>
              <w:t>2026年1月至2026年12月底</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业务费资金安排总额</w:t>
            </w:r>
          </w:p>
        </w:tc>
        <w:tc>
          <w:tcPr>
            <w:tcW w:w="5386" w:type="dxa"/>
            <w:vAlign w:val="center"/>
          </w:tcPr>
          <w:p>
            <w:pPr>
              <w:pStyle w:val="13"/>
            </w:pPr>
            <w:r>
              <w:t>业务费资金安排总额</w:t>
            </w:r>
          </w:p>
        </w:tc>
        <w:tc>
          <w:tcPr>
            <w:tcW w:w="2268" w:type="dxa"/>
            <w:vAlign w:val="center"/>
          </w:tcPr>
          <w:p>
            <w:pPr>
              <w:pStyle w:val="13"/>
            </w:pPr>
            <w:r>
              <w:t>103.9万元</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日常工作正常开展率</w:t>
            </w:r>
          </w:p>
        </w:tc>
        <w:tc>
          <w:tcPr>
            <w:tcW w:w="5386" w:type="dxa"/>
            <w:vAlign w:val="center"/>
          </w:tcPr>
          <w:p>
            <w:pPr>
              <w:pStyle w:val="13"/>
            </w:pPr>
            <w:r>
              <w:t>日常工作正常开展率</w:t>
            </w:r>
          </w:p>
        </w:tc>
        <w:tc>
          <w:tcPr>
            <w:tcW w:w="2268" w:type="dxa"/>
            <w:vAlign w:val="center"/>
          </w:tcPr>
          <w:p>
            <w:pPr>
              <w:pStyle w:val="13"/>
            </w:pPr>
            <w:r>
              <w:t>≥98%</w:t>
            </w:r>
          </w:p>
        </w:tc>
        <w:tc>
          <w:tcPr>
            <w:tcW w:w="1276" w:type="dxa"/>
            <w:vAlign w:val="center"/>
          </w:tcPr>
          <w:p>
            <w:pPr>
              <w:pStyle w:val="13"/>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维持社会稳定，提高生产安全率</w:t>
            </w:r>
          </w:p>
        </w:tc>
        <w:tc>
          <w:tcPr>
            <w:tcW w:w="5386" w:type="dxa"/>
            <w:vAlign w:val="center"/>
          </w:tcPr>
          <w:p>
            <w:pPr>
              <w:pStyle w:val="13"/>
            </w:pPr>
            <w:r>
              <w:t>维持社会稳定，提高生产安全率</w:t>
            </w:r>
          </w:p>
        </w:tc>
        <w:tc>
          <w:tcPr>
            <w:tcW w:w="2268" w:type="dxa"/>
            <w:vAlign w:val="center"/>
          </w:tcPr>
          <w:p>
            <w:pPr>
              <w:pStyle w:val="13"/>
            </w:pPr>
            <w:r>
              <w:t>有效提高</w:t>
            </w:r>
          </w:p>
        </w:tc>
        <w:tc>
          <w:tcPr>
            <w:tcW w:w="1276" w:type="dxa"/>
            <w:vAlign w:val="center"/>
          </w:tcPr>
          <w:p>
            <w:pPr>
              <w:pStyle w:val="13"/>
            </w:pPr>
            <w:r>
              <w:t>关于安排业务费的请示</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322晋州市商务局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26.27</w:t>
            </w:r>
          </w:p>
        </w:tc>
        <w:tc>
          <w:tcPr>
            <w:tcW w:w="964" w:type="dxa"/>
            <w:vAlign w:val="center"/>
          </w:tcPr>
          <w:p>
            <w:pPr>
              <w:pStyle w:val="16"/>
            </w:pPr>
            <w:r>
              <w:t>26.27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晋州市商务局本级小计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21.25</w:t>
            </w:r>
          </w:p>
        </w:tc>
        <w:tc>
          <w:tcPr>
            <w:tcW w:w="964" w:type="dxa"/>
            <w:vAlign w:val="center"/>
          </w:tcPr>
          <w:p>
            <w:pPr>
              <w:pStyle w:val="16"/>
            </w:pPr>
            <w:r>
              <w:t>21.25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85</w:t>
            </w:r>
          </w:p>
        </w:tc>
        <w:tc>
          <w:tcPr>
            <w:tcW w:w="850" w:type="dxa"/>
            <w:vAlign w:val="center"/>
          </w:tcPr>
          <w:p>
            <w:pPr>
              <w:pStyle w:val="12"/>
            </w:pPr>
            <w:r>
              <w:t>0.02</w:t>
            </w:r>
          </w:p>
        </w:tc>
        <w:tc>
          <w:tcPr>
            <w:tcW w:w="964" w:type="dxa"/>
            <w:vAlign w:val="center"/>
          </w:tcPr>
          <w:p>
            <w:pPr>
              <w:pStyle w:val="12"/>
            </w:pPr>
            <w:r>
              <w:t>1.45</w:t>
            </w:r>
          </w:p>
        </w:tc>
        <w:tc>
          <w:tcPr>
            <w:tcW w:w="964" w:type="dxa"/>
            <w:vAlign w:val="center"/>
          </w:tcPr>
          <w:p>
            <w:pPr>
              <w:pStyle w:val="12"/>
            </w:pPr>
            <w:r>
              <w:t>1.45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补充业务费</w:t>
            </w:r>
          </w:p>
        </w:tc>
        <w:tc>
          <w:tcPr>
            <w:tcW w:w="964" w:type="dxa"/>
            <w:vAlign w:val="center"/>
          </w:tcPr>
          <w:p>
            <w:pPr>
              <w:pStyle w:val="12"/>
            </w:pPr>
            <w:r>
              <w:t>19.80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19.80</w:t>
            </w:r>
          </w:p>
        </w:tc>
        <w:tc>
          <w:tcPr>
            <w:tcW w:w="964" w:type="dxa"/>
            <w:vAlign w:val="center"/>
          </w:tcPr>
          <w:p>
            <w:pPr>
              <w:pStyle w:val="12"/>
            </w:pPr>
            <w:r>
              <w:t>19.80</w:t>
            </w:r>
          </w:p>
        </w:tc>
        <w:tc>
          <w:tcPr>
            <w:tcW w:w="964" w:type="dxa"/>
            <w:vAlign w:val="center"/>
          </w:tcPr>
          <w:p>
            <w:pPr>
              <w:pStyle w:val="12"/>
            </w:pPr>
            <w:r>
              <w:t>19.80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市场建设服务中心小计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5.02</w:t>
            </w:r>
          </w:p>
        </w:tc>
        <w:tc>
          <w:tcPr>
            <w:tcW w:w="964" w:type="dxa"/>
            <w:vAlign w:val="center"/>
          </w:tcPr>
          <w:p>
            <w:pPr>
              <w:pStyle w:val="16"/>
            </w:pPr>
            <w:r>
              <w:t>5.02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8.62</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0.70</w:t>
            </w:r>
          </w:p>
        </w:tc>
        <w:tc>
          <w:tcPr>
            <w:tcW w:w="964" w:type="dxa"/>
            <w:vAlign w:val="center"/>
          </w:tcPr>
          <w:p>
            <w:pPr>
              <w:pStyle w:val="12"/>
            </w:pPr>
            <w:r>
              <w:t>2.80</w:t>
            </w:r>
          </w:p>
        </w:tc>
        <w:tc>
          <w:tcPr>
            <w:tcW w:w="964" w:type="dxa"/>
            <w:vAlign w:val="center"/>
          </w:tcPr>
          <w:p>
            <w:pPr>
              <w:pStyle w:val="12"/>
            </w:pPr>
            <w:r>
              <w:t>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8.62</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8.62</w:t>
            </w:r>
          </w:p>
        </w:tc>
        <w:tc>
          <w:tcPr>
            <w:tcW w:w="1134" w:type="dxa"/>
            <w:vAlign w:val="center"/>
          </w:tcPr>
          <w:p>
            <w:pPr>
              <w:pStyle w:val="13"/>
            </w:pPr>
            <w:r>
              <w:t>其他生活用电器</w:t>
            </w:r>
          </w:p>
        </w:tc>
        <w:tc>
          <w:tcPr>
            <w:tcW w:w="1134" w:type="dxa"/>
            <w:vAlign w:val="center"/>
          </w:tcPr>
          <w:p>
            <w:pPr>
              <w:pStyle w:val="13"/>
            </w:pPr>
            <w:r>
              <w:t>A02061899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8.62</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0.87</w:t>
            </w:r>
          </w:p>
        </w:tc>
        <w:tc>
          <w:tcPr>
            <w:tcW w:w="964" w:type="dxa"/>
            <w:vAlign w:val="center"/>
          </w:tcPr>
          <w:p>
            <w:pPr>
              <w:pStyle w:val="12"/>
            </w:pPr>
            <w:r>
              <w:t>0.87</w:t>
            </w:r>
          </w:p>
        </w:tc>
        <w:tc>
          <w:tcPr>
            <w:tcW w:w="964" w:type="dxa"/>
            <w:vAlign w:val="center"/>
          </w:tcPr>
          <w:p>
            <w:pPr>
              <w:pStyle w:val="12"/>
            </w:pPr>
            <w:r>
              <w:t>0.87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晋州市商务局（含所属单位）上年末固定资产金额为270.33万元（详见下表）。本年度拟购置固定资产总额为5.02万元，已按要求列入政府采购预算，详见政府采购预算表。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322晋州市商务局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2271.71</w:t>
            </w:r>
          </w:p>
        </w:tc>
        <w:tc>
          <w:tcPr>
            <w:tcW w:w="2835" w:type="dxa"/>
            <w:vAlign w:val="center"/>
          </w:tcPr>
          <w:p>
            <w:pPr>
              <w:pStyle w:val="12"/>
            </w:pPr>
            <w:r>
              <w:t>113.48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600</w:t>
            </w:r>
          </w:p>
        </w:tc>
        <w:tc>
          <w:tcPr>
            <w:tcW w:w="2835" w:type="dxa"/>
            <w:vAlign w:val="center"/>
          </w:tcPr>
          <w:p>
            <w:pPr>
              <w:pStyle w:val="12"/>
            </w:pPr>
            <w:r>
              <w:t>29.97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127.37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8BBE3D"/>
    <w:multiLevelType w:val="singleLevel"/>
    <w:tmpl w:val="638BBE3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70217C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2026-03-02T08:56:00Z</dcterms:created>
  <dc:creator>Administrator</dc:creator>
  <cp:lastModifiedBy>Administrator</cp:lastModifiedBy>
  <dcterms:modified xsi:type="dcterms:W3CDTF">2026-03-02T03:16:22Z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