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一、晋州市广播电视台本级收支预算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二、晋州市有线电视台收支预算</w:t>
      </w:r>
      <w:r>
        <w:tab/>
      </w:r>
      <w:r>
        <w:fldChar w:fldCharType="begin"/>
      </w:r>
      <w:r>
        <w:instrText xml:space="preserve">PAGEREF _Toc_4_4_0000000002 \h</w:instrText>
      </w:r>
      <w:r>
        <w:fldChar w:fldCharType="separate"/>
      </w:r>
      <w:r>
        <w:t>42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一、晋州市广播电视台本级收支预算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359001晋州市广播电视台本级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903.38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988.69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903.38</w:t>
            </w:r>
          </w:p>
        </w:tc>
        <w:tc>
          <w:tcPr>
            <w:tcW w:w="4535" w:type="dxa"/>
            <w:vAlign w:val="center"/>
          </w:tcPr>
          <w:p>
            <w:pPr>
              <w:pStyle w:val="14"/>
            </w:pPr>
            <w:r>
              <w:t>本年支出合计</w:t>
            </w:r>
          </w:p>
        </w:tc>
        <w:tc>
          <w:tcPr>
            <w:tcW w:w="2126" w:type="dxa"/>
            <w:vAlign w:val="center"/>
          </w:tcPr>
          <w:p>
            <w:pPr>
              <w:pStyle w:val="15"/>
            </w:pPr>
            <w:r>
              <w:t>988.69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85.31</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988.69</w:t>
            </w:r>
          </w:p>
        </w:tc>
        <w:tc>
          <w:tcPr>
            <w:tcW w:w="4535" w:type="dxa"/>
            <w:vAlign w:val="center"/>
          </w:tcPr>
          <w:p>
            <w:pPr>
              <w:pStyle w:val="14"/>
            </w:pPr>
            <w:r>
              <w:t>支出总计</w:t>
            </w:r>
          </w:p>
        </w:tc>
        <w:tc>
          <w:tcPr>
            <w:tcW w:w="2126" w:type="dxa"/>
            <w:vAlign w:val="center"/>
          </w:tcPr>
          <w:p>
            <w:pPr>
              <w:pStyle w:val="15"/>
            </w:pPr>
            <w:r>
              <w:t>988.69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359001晋州市广播电视台本级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988.69</w:t>
            </w:r>
          </w:p>
        </w:tc>
        <w:tc>
          <w:tcPr>
            <w:tcW w:w="1134" w:type="dxa"/>
            <w:vAlign w:val="center"/>
          </w:tcPr>
          <w:p>
            <w:pPr>
              <w:pStyle w:val="15"/>
            </w:pPr>
            <w:r>
              <w:t>903.38</w:t>
            </w:r>
          </w:p>
        </w:tc>
        <w:tc>
          <w:tcPr>
            <w:tcW w:w="1134" w:type="dxa"/>
            <w:vAlign w:val="center"/>
          </w:tcPr>
          <w:p>
            <w:pPr>
              <w:pStyle w:val="15"/>
            </w:pPr>
            <w:r>
              <w:t>903.38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988.69</w:t>
            </w:r>
          </w:p>
        </w:tc>
        <w:tc>
          <w:tcPr>
            <w:tcW w:w="1134" w:type="dxa"/>
            <w:vAlign w:val="center"/>
          </w:tcPr>
          <w:p>
            <w:pPr>
              <w:pStyle w:val="11"/>
            </w:pPr>
            <w:r>
              <w:t>903.38</w:t>
            </w:r>
          </w:p>
        </w:tc>
        <w:tc>
          <w:tcPr>
            <w:tcW w:w="1134" w:type="dxa"/>
            <w:vAlign w:val="center"/>
          </w:tcPr>
          <w:p>
            <w:pPr>
              <w:pStyle w:val="11"/>
            </w:pPr>
            <w:r>
              <w:t>903.38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85.31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952.83</w:t>
            </w:r>
          </w:p>
        </w:tc>
        <w:tc>
          <w:tcPr>
            <w:tcW w:w="1134" w:type="dxa"/>
            <w:vAlign w:val="center"/>
          </w:tcPr>
          <w:p>
            <w:pPr>
              <w:pStyle w:val="11"/>
            </w:pPr>
            <w:r>
              <w:t>903.38</w:t>
            </w:r>
          </w:p>
        </w:tc>
        <w:tc>
          <w:tcPr>
            <w:tcW w:w="1134" w:type="dxa"/>
            <w:vAlign w:val="center"/>
          </w:tcPr>
          <w:p>
            <w:pPr>
              <w:pStyle w:val="11"/>
            </w:pPr>
            <w:r>
              <w:t>903.38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952.83</w:t>
            </w:r>
          </w:p>
        </w:tc>
        <w:tc>
          <w:tcPr>
            <w:tcW w:w="1134" w:type="dxa"/>
            <w:vAlign w:val="center"/>
          </w:tcPr>
          <w:p>
            <w:pPr>
              <w:pStyle w:val="11"/>
            </w:pPr>
            <w:r>
              <w:t>903.38</w:t>
            </w:r>
          </w:p>
        </w:tc>
        <w:tc>
          <w:tcPr>
            <w:tcW w:w="1134" w:type="dxa"/>
            <w:vAlign w:val="center"/>
          </w:tcPr>
          <w:p>
            <w:pPr>
              <w:pStyle w:val="11"/>
            </w:pPr>
            <w:r>
              <w:t>903.38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49.45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35.85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35.85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35.85</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988.69</w:t>
            </w:r>
          </w:p>
        </w:tc>
        <w:tc>
          <w:tcPr>
            <w:tcW w:w="1361" w:type="dxa"/>
            <w:vAlign w:val="center"/>
          </w:tcPr>
          <w:p>
            <w:pPr>
              <w:pStyle w:val="15"/>
            </w:pPr>
            <w:r>
              <w:t>414.87</w:t>
            </w:r>
          </w:p>
        </w:tc>
        <w:tc>
          <w:tcPr>
            <w:tcW w:w="1361" w:type="dxa"/>
            <w:vAlign w:val="center"/>
          </w:tcPr>
          <w:p>
            <w:pPr>
              <w:pStyle w:val="15"/>
            </w:pPr>
            <w:r>
              <w:t>573.82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988.69</w:t>
            </w:r>
          </w:p>
        </w:tc>
        <w:tc>
          <w:tcPr>
            <w:tcW w:w="1361" w:type="dxa"/>
            <w:vAlign w:val="center"/>
          </w:tcPr>
          <w:p>
            <w:pPr>
              <w:pStyle w:val="11"/>
            </w:pPr>
            <w:r>
              <w:t>414.87</w:t>
            </w:r>
          </w:p>
        </w:tc>
        <w:tc>
          <w:tcPr>
            <w:tcW w:w="1361" w:type="dxa"/>
            <w:vAlign w:val="center"/>
          </w:tcPr>
          <w:p>
            <w:pPr>
              <w:pStyle w:val="11"/>
            </w:pPr>
            <w:r>
              <w:t>573.82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952.83</w:t>
            </w:r>
          </w:p>
        </w:tc>
        <w:tc>
          <w:tcPr>
            <w:tcW w:w="1361" w:type="dxa"/>
            <w:vAlign w:val="center"/>
          </w:tcPr>
          <w:p>
            <w:pPr>
              <w:pStyle w:val="11"/>
            </w:pPr>
            <w:r>
              <w:t>414.87</w:t>
            </w:r>
          </w:p>
        </w:tc>
        <w:tc>
          <w:tcPr>
            <w:tcW w:w="1361" w:type="dxa"/>
            <w:vAlign w:val="center"/>
          </w:tcPr>
          <w:p>
            <w:pPr>
              <w:pStyle w:val="11"/>
            </w:pPr>
            <w:r>
              <w:t>537.96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952.83</w:t>
            </w:r>
          </w:p>
        </w:tc>
        <w:tc>
          <w:tcPr>
            <w:tcW w:w="1361" w:type="dxa"/>
            <w:vAlign w:val="center"/>
          </w:tcPr>
          <w:p>
            <w:pPr>
              <w:pStyle w:val="11"/>
            </w:pPr>
            <w:r>
              <w:t>414.87</w:t>
            </w:r>
          </w:p>
        </w:tc>
        <w:tc>
          <w:tcPr>
            <w:tcW w:w="1361" w:type="dxa"/>
            <w:vAlign w:val="center"/>
          </w:tcPr>
          <w:p>
            <w:pPr>
              <w:pStyle w:val="11"/>
            </w:pPr>
            <w:r>
              <w:t>537.96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35.85</w:t>
            </w:r>
          </w:p>
        </w:tc>
        <w:tc>
          <w:tcPr>
            <w:tcW w:w="1361" w:type="dxa"/>
            <w:vAlign w:val="center"/>
          </w:tcPr>
          <w:p>
            <w:pPr>
              <w:pStyle w:val="11"/>
            </w:pPr>
          </w:p>
        </w:tc>
        <w:tc>
          <w:tcPr>
            <w:tcW w:w="1361" w:type="dxa"/>
            <w:vAlign w:val="center"/>
          </w:tcPr>
          <w:p>
            <w:pPr>
              <w:pStyle w:val="11"/>
            </w:pPr>
            <w:r>
              <w:t>35.85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35.85</w:t>
            </w:r>
          </w:p>
        </w:tc>
        <w:tc>
          <w:tcPr>
            <w:tcW w:w="1361" w:type="dxa"/>
            <w:vAlign w:val="center"/>
          </w:tcPr>
          <w:p>
            <w:pPr>
              <w:pStyle w:val="11"/>
            </w:pPr>
          </w:p>
        </w:tc>
        <w:tc>
          <w:tcPr>
            <w:tcW w:w="1361" w:type="dxa"/>
            <w:vAlign w:val="center"/>
          </w:tcPr>
          <w:p>
            <w:pPr>
              <w:pStyle w:val="11"/>
            </w:pPr>
            <w:r>
              <w:t>35.85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903.38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988.69</w:t>
            </w:r>
          </w:p>
        </w:tc>
        <w:tc>
          <w:tcPr>
            <w:tcW w:w="1474" w:type="dxa"/>
            <w:vAlign w:val="center"/>
          </w:tcPr>
          <w:p>
            <w:pPr>
              <w:pStyle w:val="11"/>
            </w:pPr>
            <w:r>
              <w:t>988.69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903.38</w:t>
            </w:r>
          </w:p>
        </w:tc>
        <w:tc>
          <w:tcPr>
            <w:tcW w:w="3402" w:type="dxa"/>
            <w:vAlign w:val="center"/>
          </w:tcPr>
          <w:p>
            <w:pPr>
              <w:pStyle w:val="14"/>
            </w:pPr>
            <w:r>
              <w:t>本年支出合计</w:t>
            </w:r>
          </w:p>
        </w:tc>
        <w:tc>
          <w:tcPr>
            <w:tcW w:w="1474" w:type="dxa"/>
            <w:vAlign w:val="center"/>
          </w:tcPr>
          <w:p>
            <w:pPr>
              <w:pStyle w:val="15"/>
            </w:pPr>
            <w:r>
              <w:t>988.69</w:t>
            </w:r>
          </w:p>
        </w:tc>
        <w:tc>
          <w:tcPr>
            <w:tcW w:w="1474" w:type="dxa"/>
            <w:vAlign w:val="center"/>
          </w:tcPr>
          <w:p>
            <w:pPr>
              <w:pStyle w:val="15"/>
            </w:pPr>
            <w:r>
              <w:t>988.69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85.31</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85.31</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988.69</w:t>
            </w:r>
          </w:p>
        </w:tc>
        <w:tc>
          <w:tcPr>
            <w:tcW w:w="3402" w:type="dxa"/>
            <w:vAlign w:val="center"/>
          </w:tcPr>
          <w:p>
            <w:pPr>
              <w:pStyle w:val="14"/>
            </w:pPr>
            <w:r>
              <w:t>支出总计</w:t>
            </w:r>
          </w:p>
        </w:tc>
        <w:tc>
          <w:tcPr>
            <w:tcW w:w="1474" w:type="dxa"/>
            <w:vAlign w:val="center"/>
          </w:tcPr>
          <w:p>
            <w:pPr>
              <w:pStyle w:val="15"/>
            </w:pPr>
            <w:r>
              <w:t>988.69</w:t>
            </w:r>
          </w:p>
        </w:tc>
        <w:tc>
          <w:tcPr>
            <w:tcW w:w="1474" w:type="dxa"/>
            <w:vAlign w:val="center"/>
          </w:tcPr>
          <w:p>
            <w:pPr>
              <w:pStyle w:val="15"/>
            </w:pPr>
            <w:r>
              <w:t>988.69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988.69</w:t>
            </w:r>
          </w:p>
        </w:tc>
        <w:tc>
          <w:tcPr>
            <w:tcW w:w="2551" w:type="dxa"/>
            <w:vAlign w:val="center"/>
          </w:tcPr>
          <w:p>
            <w:pPr>
              <w:pStyle w:val="15"/>
            </w:pPr>
            <w:r>
              <w:t>414.87</w:t>
            </w:r>
          </w:p>
        </w:tc>
        <w:tc>
          <w:tcPr>
            <w:tcW w:w="2551" w:type="dxa"/>
            <w:vAlign w:val="center"/>
          </w:tcPr>
          <w:p>
            <w:pPr>
              <w:pStyle w:val="15"/>
            </w:pPr>
            <w:r>
              <w:t>573.82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988.69</w:t>
            </w:r>
          </w:p>
        </w:tc>
        <w:tc>
          <w:tcPr>
            <w:tcW w:w="2551" w:type="dxa"/>
            <w:vAlign w:val="center"/>
          </w:tcPr>
          <w:p>
            <w:pPr>
              <w:pStyle w:val="11"/>
            </w:pPr>
            <w:r>
              <w:t>414.87</w:t>
            </w:r>
          </w:p>
        </w:tc>
        <w:tc>
          <w:tcPr>
            <w:tcW w:w="2551" w:type="dxa"/>
            <w:vAlign w:val="center"/>
          </w:tcPr>
          <w:p>
            <w:pPr>
              <w:pStyle w:val="11"/>
            </w:pPr>
            <w:r>
              <w:t>573.82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952.83</w:t>
            </w:r>
          </w:p>
        </w:tc>
        <w:tc>
          <w:tcPr>
            <w:tcW w:w="2551" w:type="dxa"/>
            <w:vAlign w:val="center"/>
          </w:tcPr>
          <w:p>
            <w:pPr>
              <w:pStyle w:val="11"/>
            </w:pPr>
            <w:r>
              <w:t>414.87</w:t>
            </w:r>
          </w:p>
        </w:tc>
        <w:tc>
          <w:tcPr>
            <w:tcW w:w="2551" w:type="dxa"/>
            <w:vAlign w:val="center"/>
          </w:tcPr>
          <w:p>
            <w:pPr>
              <w:pStyle w:val="11"/>
            </w:pPr>
            <w:r>
              <w:t>537.96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952.83</w:t>
            </w:r>
          </w:p>
        </w:tc>
        <w:tc>
          <w:tcPr>
            <w:tcW w:w="2551" w:type="dxa"/>
            <w:vAlign w:val="center"/>
          </w:tcPr>
          <w:p>
            <w:pPr>
              <w:pStyle w:val="11"/>
            </w:pPr>
            <w:r>
              <w:t>414.87</w:t>
            </w:r>
          </w:p>
        </w:tc>
        <w:tc>
          <w:tcPr>
            <w:tcW w:w="2551" w:type="dxa"/>
            <w:vAlign w:val="center"/>
          </w:tcPr>
          <w:p>
            <w:pPr>
              <w:pStyle w:val="11"/>
            </w:pPr>
            <w:r>
              <w:t>537.96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35.85</w:t>
            </w:r>
          </w:p>
        </w:tc>
        <w:tc>
          <w:tcPr>
            <w:tcW w:w="2551" w:type="dxa"/>
            <w:vAlign w:val="center"/>
          </w:tcPr>
          <w:p>
            <w:pPr>
              <w:pStyle w:val="11"/>
            </w:pPr>
          </w:p>
        </w:tc>
        <w:tc>
          <w:tcPr>
            <w:tcW w:w="2551" w:type="dxa"/>
            <w:vAlign w:val="center"/>
          </w:tcPr>
          <w:p>
            <w:pPr>
              <w:pStyle w:val="11"/>
            </w:pPr>
            <w:r>
              <w:t>35.85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35.85</w:t>
            </w:r>
          </w:p>
        </w:tc>
        <w:tc>
          <w:tcPr>
            <w:tcW w:w="2551" w:type="dxa"/>
            <w:vAlign w:val="center"/>
          </w:tcPr>
          <w:p>
            <w:pPr>
              <w:pStyle w:val="11"/>
            </w:pPr>
          </w:p>
        </w:tc>
        <w:tc>
          <w:tcPr>
            <w:tcW w:w="2551" w:type="dxa"/>
            <w:vAlign w:val="center"/>
          </w:tcPr>
          <w:p>
            <w:pPr>
              <w:pStyle w:val="11"/>
            </w:pPr>
            <w:r>
              <w:t>35.85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414.87</w:t>
            </w:r>
          </w:p>
        </w:tc>
        <w:tc>
          <w:tcPr>
            <w:tcW w:w="2551" w:type="dxa"/>
            <w:vAlign w:val="center"/>
          </w:tcPr>
          <w:p>
            <w:pPr>
              <w:pStyle w:val="15"/>
            </w:pPr>
            <w:r>
              <w:t>371.92</w:t>
            </w:r>
          </w:p>
        </w:tc>
        <w:tc>
          <w:tcPr>
            <w:tcW w:w="2551" w:type="dxa"/>
            <w:vAlign w:val="center"/>
          </w:tcPr>
          <w:p>
            <w:pPr>
              <w:pStyle w:val="15"/>
            </w:pPr>
            <w:r>
              <w:t>42.95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316.78</w:t>
            </w:r>
          </w:p>
        </w:tc>
        <w:tc>
          <w:tcPr>
            <w:tcW w:w="2551" w:type="dxa"/>
            <w:vAlign w:val="center"/>
          </w:tcPr>
          <w:p>
            <w:pPr>
              <w:pStyle w:val="11"/>
            </w:pPr>
            <w:r>
              <w:t>316.78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116.46</w:t>
            </w:r>
          </w:p>
        </w:tc>
        <w:tc>
          <w:tcPr>
            <w:tcW w:w="2551" w:type="dxa"/>
            <w:vAlign w:val="center"/>
          </w:tcPr>
          <w:p>
            <w:pPr>
              <w:pStyle w:val="11"/>
            </w:pPr>
            <w:r>
              <w:t>116.46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16.69</w:t>
            </w:r>
          </w:p>
        </w:tc>
        <w:tc>
          <w:tcPr>
            <w:tcW w:w="2551" w:type="dxa"/>
            <w:vAlign w:val="center"/>
          </w:tcPr>
          <w:p>
            <w:pPr>
              <w:pStyle w:val="11"/>
            </w:pPr>
            <w:r>
              <w:t>16.69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2.29</w:t>
            </w:r>
          </w:p>
        </w:tc>
        <w:tc>
          <w:tcPr>
            <w:tcW w:w="2551" w:type="dxa"/>
            <w:vAlign w:val="center"/>
          </w:tcPr>
          <w:p>
            <w:pPr>
              <w:pStyle w:val="11"/>
            </w:pPr>
            <w:r>
              <w:t>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98.03</w:t>
            </w:r>
          </w:p>
        </w:tc>
        <w:tc>
          <w:tcPr>
            <w:tcW w:w="2551" w:type="dxa"/>
            <w:vAlign w:val="center"/>
          </w:tcPr>
          <w:p>
            <w:pPr>
              <w:pStyle w:val="11"/>
            </w:pPr>
            <w:r>
              <w:t>98.03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32.46</w:t>
            </w:r>
          </w:p>
        </w:tc>
        <w:tc>
          <w:tcPr>
            <w:tcW w:w="2551" w:type="dxa"/>
            <w:vAlign w:val="center"/>
          </w:tcPr>
          <w:p>
            <w:pPr>
              <w:pStyle w:val="11"/>
            </w:pPr>
            <w:r>
              <w:t>32.46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14.69</w:t>
            </w:r>
          </w:p>
        </w:tc>
        <w:tc>
          <w:tcPr>
            <w:tcW w:w="2551" w:type="dxa"/>
            <w:vAlign w:val="center"/>
          </w:tcPr>
          <w:p>
            <w:pPr>
              <w:pStyle w:val="11"/>
            </w:pPr>
            <w:r>
              <w:t>14.69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7.47</w:t>
            </w:r>
          </w:p>
        </w:tc>
        <w:tc>
          <w:tcPr>
            <w:tcW w:w="2551" w:type="dxa"/>
            <w:vAlign w:val="center"/>
          </w:tcPr>
          <w:p>
            <w:pPr>
              <w:pStyle w:val="11"/>
            </w:pPr>
            <w:r>
              <w:t>7.47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2.36</w:t>
            </w:r>
          </w:p>
        </w:tc>
        <w:tc>
          <w:tcPr>
            <w:tcW w:w="2551" w:type="dxa"/>
            <w:vAlign w:val="center"/>
          </w:tcPr>
          <w:p>
            <w:pPr>
              <w:pStyle w:val="11"/>
            </w:pPr>
            <w:r>
              <w:t>2.36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26.33</w:t>
            </w:r>
          </w:p>
        </w:tc>
        <w:tc>
          <w:tcPr>
            <w:tcW w:w="2551" w:type="dxa"/>
            <w:vAlign w:val="center"/>
          </w:tcPr>
          <w:p>
            <w:pPr>
              <w:pStyle w:val="11"/>
            </w:pPr>
            <w:r>
              <w:t>26.33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42.95</w:t>
            </w:r>
          </w:p>
        </w:tc>
        <w:tc>
          <w:tcPr>
            <w:tcW w:w="2551" w:type="dxa"/>
            <w:vAlign w:val="center"/>
          </w:tcPr>
          <w:p>
            <w:pPr>
              <w:pStyle w:val="11"/>
            </w:pPr>
          </w:p>
        </w:tc>
        <w:tc>
          <w:tcPr>
            <w:tcW w:w="2551" w:type="dxa"/>
            <w:vAlign w:val="center"/>
          </w:tcPr>
          <w:p>
            <w:pPr>
              <w:pStyle w:val="11"/>
            </w:pPr>
            <w:r>
              <w:t>42.95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3.22</w:t>
            </w:r>
          </w:p>
        </w:tc>
        <w:tc>
          <w:tcPr>
            <w:tcW w:w="2551" w:type="dxa"/>
            <w:vAlign w:val="center"/>
          </w:tcPr>
          <w:p>
            <w:pPr>
              <w:pStyle w:val="11"/>
            </w:pPr>
          </w:p>
        </w:tc>
        <w:tc>
          <w:tcPr>
            <w:tcW w:w="2551" w:type="dxa"/>
            <w:vAlign w:val="center"/>
          </w:tcPr>
          <w:p>
            <w:pPr>
              <w:pStyle w:val="11"/>
            </w:pPr>
            <w:r>
              <w:t>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0.14</w:t>
            </w:r>
          </w:p>
        </w:tc>
        <w:tc>
          <w:tcPr>
            <w:tcW w:w="2551" w:type="dxa"/>
            <w:vAlign w:val="center"/>
          </w:tcPr>
          <w:p>
            <w:pPr>
              <w:pStyle w:val="11"/>
            </w:pPr>
          </w:p>
        </w:tc>
        <w:tc>
          <w:tcPr>
            <w:tcW w:w="2551" w:type="dxa"/>
            <w:vAlign w:val="center"/>
          </w:tcPr>
          <w:p>
            <w:pPr>
              <w:pStyle w:val="11"/>
            </w:pPr>
            <w:r>
              <w:t>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1.68</w:t>
            </w:r>
          </w:p>
        </w:tc>
        <w:tc>
          <w:tcPr>
            <w:tcW w:w="2551" w:type="dxa"/>
            <w:vAlign w:val="center"/>
          </w:tcPr>
          <w:p>
            <w:pPr>
              <w:pStyle w:val="11"/>
            </w:pPr>
          </w:p>
        </w:tc>
        <w:tc>
          <w:tcPr>
            <w:tcW w:w="2551" w:type="dxa"/>
            <w:vAlign w:val="center"/>
          </w:tcPr>
          <w:p>
            <w:pPr>
              <w:pStyle w:val="11"/>
            </w:pPr>
            <w:r>
              <w:t>1.68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0.96</w:t>
            </w:r>
          </w:p>
        </w:tc>
        <w:tc>
          <w:tcPr>
            <w:tcW w:w="2551" w:type="dxa"/>
            <w:vAlign w:val="center"/>
          </w:tcPr>
          <w:p>
            <w:pPr>
              <w:pStyle w:val="11"/>
            </w:pPr>
          </w:p>
        </w:tc>
        <w:tc>
          <w:tcPr>
            <w:tcW w:w="2551" w:type="dxa"/>
            <w:vAlign w:val="center"/>
          </w:tcPr>
          <w:p>
            <w:pPr>
              <w:pStyle w:val="11"/>
            </w:pPr>
            <w:r>
              <w:t>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11.25</w:t>
            </w:r>
          </w:p>
        </w:tc>
        <w:tc>
          <w:tcPr>
            <w:tcW w:w="2551" w:type="dxa"/>
            <w:vAlign w:val="center"/>
          </w:tcPr>
          <w:p>
            <w:pPr>
              <w:pStyle w:val="11"/>
            </w:pPr>
          </w:p>
        </w:tc>
        <w:tc>
          <w:tcPr>
            <w:tcW w:w="2551" w:type="dxa"/>
            <w:vAlign w:val="center"/>
          </w:tcPr>
          <w:p>
            <w:pPr>
              <w:pStyle w:val="11"/>
            </w:pPr>
            <w:r>
              <w:t>11.25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2.43</w:t>
            </w:r>
          </w:p>
        </w:tc>
        <w:tc>
          <w:tcPr>
            <w:tcW w:w="2551" w:type="dxa"/>
            <w:vAlign w:val="center"/>
          </w:tcPr>
          <w:p>
            <w:pPr>
              <w:pStyle w:val="11"/>
            </w:pPr>
          </w:p>
        </w:tc>
        <w:tc>
          <w:tcPr>
            <w:tcW w:w="2551" w:type="dxa"/>
            <w:vAlign w:val="center"/>
          </w:tcPr>
          <w:p>
            <w:pPr>
              <w:pStyle w:val="11"/>
            </w:pPr>
            <w:r>
              <w:t>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14.68</w:t>
            </w:r>
          </w:p>
        </w:tc>
        <w:tc>
          <w:tcPr>
            <w:tcW w:w="2551" w:type="dxa"/>
            <w:vAlign w:val="center"/>
          </w:tcPr>
          <w:p>
            <w:pPr>
              <w:pStyle w:val="11"/>
            </w:pPr>
          </w:p>
        </w:tc>
        <w:tc>
          <w:tcPr>
            <w:tcW w:w="2551" w:type="dxa"/>
            <w:vAlign w:val="center"/>
          </w:tcPr>
          <w:p>
            <w:pPr>
              <w:pStyle w:val="11"/>
            </w:pPr>
            <w:r>
              <w:t>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6.65</w:t>
            </w:r>
          </w:p>
        </w:tc>
        <w:tc>
          <w:tcPr>
            <w:tcW w:w="2551" w:type="dxa"/>
            <w:vAlign w:val="center"/>
          </w:tcPr>
          <w:p>
            <w:pPr>
              <w:pStyle w:val="11"/>
            </w:pPr>
          </w:p>
        </w:tc>
        <w:tc>
          <w:tcPr>
            <w:tcW w:w="2551" w:type="dxa"/>
            <w:vAlign w:val="center"/>
          </w:tcPr>
          <w:p>
            <w:pPr>
              <w:pStyle w:val="11"/>
            </w:pPr>
            <w:r>
              <w:t>6.65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55.14</w:t>
            </w:r>
          </w:p>
        </w:tc>
        <w:tc>
          <w:tcPr>
            <w:tcW w:w="2551" w:type="dxa"/>
            <w:vAlign w:val="center"/>
          </w:tcPr>
          <w:p>
            <w:pPr>
              <w:pStyle w:val="11"/>
            </w:pPr>
            <w:r>
              <w:t>55.14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53.02</w:t>
            </w:r>
          </w:p>
        </w:tc>
        <w:tc>
          <w:tcPr>
            <w:tcW w:w="2551" w:type="dxa"/>
            <w:vAlign w:val="center"/>
          </w:tcPr>
          <w:p>
            <w:pPr>
              <w:pStyle w:val="11"/>
            </w:pPr>
            <w:r>
              <w:t>53.02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2.12</w:t>
            </w:r>
          </w:p>
        </w:tc>
        <w:tc>
          <w:tcPr>
            <w:tcW w:w="2551" w:type="dxa"/>
            <w:vAlign w:val="center"/>
          </w:tcPr>
          <w:p>
            <w:pPr>
              <w:pStyle w:val="11"/>
            </w:pPr>
            <w:r>
              <w:t>2.12</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359001晋州市广播电视台本级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1.94</w:t>
            </w:r>
          </w:p>
        </w:tc>
        <w:tc>
          <w:tcPr>
            <w:tcW w:w="2381" w:type="dxa"/>
            <w:vAlign w:val="center"/>
          </w:tcPr>
          <w:p>
            <w:pPr>
              <w:pStyle w:val="15"/>
            </w:pPr>
            <w:r>
              <w:t>1.94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二、公务用车购置及运维费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公务用车运行维护费</w:t>
            </w:r>
          </w:p>
        </w:tc>
        <w:tc>
          <w:tcPr>
            <w:tcW w:w="2381" w:type="dxa"/>
            <w:vAlign w:val="center"/>
          </w:tcPr>
          <w:p>
            <w:pPr>
              <w:pStyle w:val="11"/>
            </w:pPr>
            <w:r>
              <w:t>1.94</w:t>
            </w:r>
          </w:p>
        </w:tc>
        <w:tc>
          <w:tcPr>
            <w:tcW w:w="2381" w:type="dxa"/>
            <w:vAlign w:val="center"/>
          </w:tcPr>
          <w:p>
            <w:pPr>
              <w:pStyle w:val="11"/>
            </w:pPr>
            <w:r>
              <w:t>1.94</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晋州市广播电视台本级2026年单位预算信息公开情况说明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按照《中华人民共和国预算法》、《地方预决算公开操作规程》和《关于进一步推进预算公开工作的实施意见》规定，现将晋州市广播电视台本级2026年单位预算公开如下：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市域内各类新闻资讯的采集和编辑；宣传上级党委和政府的决策部署、中心工作及重点工作；宣传本地党委和政府的工作安排，传播本地政经资讯；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晋州市广播电视台本级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988.69万元，其中：一般公共预算收入903.38万元，基金预算收入0.00万元，国有资本经营预算收入0.00万元，财政专户核拨收入0.00万元，单位资金收入0.00万元，上年结转结余85.31万元。</w:t>
      </w:r>
    </w:p>
    <w:p>
      <w:pPr>
        <w:pStyle w:val="18"/>
      </w:pPr>
      <w:r>
        <w:t>2、支出说明</w:t>
      </w:r>
    </w:p>
    <w:p>
      <w:pPr>
        <w:pStyle w:val="18"/>
      </w:pPr>
      <w:r>
        <w:t>收支预算总表支出栏、基本支出表、项目支出表按经济分类和支出功能分类科目编制，反映晋州市广播电视台本级年度单位预算中支出预算的总体情况。2026年支出预算988.69万元，其中基本支出414.87万元，包括人员经费371.92万元和日常公用经费42.95万元；项目支出573.82万元，主要为其他临时用工、年度运营经费、景观塔电费、高速口显示屏电费、冀财教[2024]152号提前下达2025年省级公共文化服务体系建设补助资金（奖励项目经费）、冀财教[2024]113号提前下达2025年中央支持地方公共文化服务体系建设补助资金（无线覆盖数字运行维护费）、冀财教[2024]113号提前下达2025年中央支持地方公共文化服务体系建设补助资金（奖励项目经费）、冀财教[2025]115号提前下达2026年中央支持地方公共文化服务体系建设补助资金（中央广播节目无线覆盖数字运行维护费）、冀财教[2025]44号下达2025年中央支持地方公共文化服务体系建设补助资金；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988.69万元，较2025年预算增加75.19万元，其中：基本支出增加56.06万元，主要为2025年有新调入14名财政在编人员。项目支出增加19.13万元，主要为有2025年结转项目，无新增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2026年，我单位机关运行经费共计安排42.95万元，主要用于日常维修、办公用房水电费、办公用房取暖费、办公用房物业管理费等日常运行支出。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1.94万元，其中因公出国（境）费0.00万元；公务用车购置及运维费1.94万元（其中：公务用车购置费为0.00万元，公务用车运维费1.94万元)；公务接待费0.00万元。与2025年相比减少0.06万元，增减变化的主要原因是根据要求缩减三公经费预算</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1、高速口显示屏电费绩效目标表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13018326P000328101307</w:t>
            </w:r>
          </w:p>
        </w:tc>
        <w:tc>
          <w:tcPr>
            <w:tcW w:w="2835" w:type="dxa"/>
            <w:vAlign w:val="center"/>
          </w:tcPr>
          <w:p>
            <w:pPr>
              <w:pStyle w:val="10"/>
            </w:pPr>
            <w:r>
              <w:t>项目名称</w:t>
            </w:r>
          </w:p>
        </w:tc>
        <w:tc>
          <w:tcPr>
            <w:tcW w:w="6095" w:type="dxa"/>
            <w:gridSpan w:val="3"/>
            <w:vAlign w:val="center"/>
          </w:tcPr>
          <w:p>
            <w:pPr>
              <w:pStyle w:val="12"/>
            </w:pPr>
            <w:r>
              <w:t>高速口显示屏电费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用于缴纳高速口显示屏相应电费。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1.保证高速口显示屏全年按要求播放清晰、完整视频画面。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视频播放天数</w:t>
            </w:r>
          </w:p>
        </w:tc>
        <w:tc>
          <w:tcPr>
            <w:tcW w:w="5386" w:type="dxa"/>
            <w:vAlign w:val="center"/>
          </w:tcPr>
          <w:p>
            <w:pPr>
              <w:pStyle w:val="12"/>
            </w:pPr>
            <w:r>
              <w:t>视频播放天数</w:t>
            </w:r>
          </w:p>
        </w:tc>
        <w:tc>
          <w:tcPr>
            <w:tcW w:w="2268" w:type="dxa"/>
            <w:vAlign w:val="center"/>
          </w:tcPr>
          <w:p>
            <w:pPr>
              <w:pStyle w:val="12"/>
            </w:pPr>
            <w:r>
              <w:t>365天</w:t>
            </w:r>
          </w:p>
        </w:tc>
        <w:tc>
          <w:tcPr>
            <w:tcW w:w="1276" w:type="dxa"/>
            <w:vAlign w:val="center"/>
          </w:tcPr>
          <w:p>
            <w:pPr>
              <w:pStyle w:val="12"/>
            </w:pPr>
            <w:r>
              <w:t>关于晋州高速路口全彩艺术雕塑异形显示屏电费的请示</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播放画面清晰完好占比</w:t>
            </w:r>
          </w:p>
        </w:tc>
        <w:tc>
          <w:tcPr>
            <w:tcW w:w="5386" w:type="dxa"/>
            <w:vAlign w:val="center"/>
          </w:tcPr>
          <w:p>
            <w:pPr>
              <w:pStyle w:val="12"/>
            </w:pPr>
            <w:r>
              <w:t>播放画面清晰完好占比</w:t>
            </w:r>
          </w:p>
        </w:tc>
        <w:tc>
          <w:tcPr>
            <w:tcW w:w="2268" w:type="dxa"/>
            <w:vAlign w:val="center"/>
          </w:tcPr>
          <w:p>
            <w:pPr>
              <w:pStyle w:val="12"/>
            </w:pPr>
            <w:r>
              <w:t>≥60%</w:t>
            </w:r>
          </w:p>
        </w:tc>
        <w:tc>
          <w:tcPr>
            <w:tcW w:w="1276" w:type="dxa"/>
            <w:vAlign w:val="center"/>
          </w:tcPr>
          <w:p>
            <w:pPr>
              <w:pStyle w:val="12"/>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播放视频画面及时率</w:t>
            </w:r>
          </w:p>
        </w:tc>
        <w:tc>
          <w:tcPr>
            <w:tcW w:w="5386" w:type="dxa"/>
            <w:vAlign w:val="center"/>
          </w:tcPr>
          <w:p>
            <w:pPr>
              <w:pStyle w:val="12"/>
            </w:pPr>
            <w:r>
              <w:t>播放视频画面及时率</w:t>
            </w:r>
          </w:p>
        </w:tc>
        <w:tc>
          <w:tcPr>
            <w:tcW w:w="2268" w:type="dxa"/>
            <w:vAlign w:val="center"/>
          </w:tcPr>
          <w:p>
            <w:pPr>
              <w:pStyle w:val="12"/>
            </w:pPr>
            <w:r>
              <w:t>100%</w:t>
            </w:r>
          </w:p>
        </w:tc>
        <w:tc>
          <w:tcPr>
            <w:tcW w:w="1276" w:type="dxa"/>
            <w:vAlign w:val="center"/>
          </w:tcPr>
          <w:p>
            <w:pPr>
              <w:pStyle w:val="12"/>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每年消耗电量成本控制</w:t>
            </w:r>
          </w:p>
        </w:tc>
        <w:tc>
          <w:tcPr>
            <w:tcW w:w="5386" w:type="dxa"/>
            <w:vAlign w:val="center"/>
          </w:tcPr>
          <w:p>
            <w:pPr>
              <w:pStyle w:val="12"/>
            </w:pPr>
            <w:r>
              <w:t>每年消耗电量成本控制</w:t>
            </w:r>
          </w:p>
        </w:tc>
        <w:tc>
          <w:tcPr>
            <w:tcW w:w="2268" w:type="dxa"/>
            <w:vAlign w:val="center"/>
          </w:tcPr>
          <w:p>
            <w:pPr>
              <w:pStyle w:val="12"/>
            </w:pPr>
            <w:r>
              <w:t>≤10万元</w:t>
            </w:r>
          </w:p>
        </w:tc>
        <w:tc>
          <w:tcPr>
            <w:tcW w:w="1276" w:type="dxa"/>
            <w:vAlign w:val="center"/>
          </w:tcPr>
          <w:p>
            <w:pPr>
              <w:pStyle w:val="12"/>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展示晋州形象</w:t>
            </w:r>
          </w:p>
        </w:tc>
        <w:tc>
          <w:tcPr>
            <w:tcW w:w="5386" w:type="dxa"/>
            <w:vAlign w:val="center"/>
          </w:tcPr>
          <w:p>
            <w:pPr>
              <w:pStyle w:val="12"/>
            </w:pPr>
            <w:r>
              <w:t>宣传展示晋州、提升晋州形象</w:t>
            </w:r>
          </w:p>
        </w:tc>
        <w:tc>
          <w:tcPr>
            <w:tcW w:w="2268" w:type="dxa"/>
            <w:vAlign w:val="center"/>
          </w:tcPr>
          <w:p>
            <w:pPr>
              <w:pStyle w:val="12"/>
            </w:pPr>
            <w:r>
              <w:t>进一步提升</w:t>
            </w:r>
          </w:p>
        </w:tc>
        <w:tc>
          <w:tcPr>
            <w:tcW w:w="1276" w:type="dxa"/>
            <w:vAlign w:val="center"/>
          </w:tcPr>
          <w:p>
            <w:pPr>
              <w:pStyle w:val="12"/>
            </w:pPr>
            <w:r>
              <w:t>关于晋州高速路口全彩艺术雕塑异形显示屏电费的请示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2、冀财教[2024]113号提前下达2025年中央支持地方公共文化服务体系建设补助资金（奖励项目经费）绩效目标表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13018325P000074100054</w:t>
            </w:r>
          </w:p>
        </w:tc>
        <w:tc>
          <w:tcPr>
            <w:tcW w:w="2835" w:type="dxa"/>
            <w:vAlign w:val="center"/>
          </w:tcPr>
          <w:p>
            <w:pPr>
              <w:pStyle w:val="10"/>
            </w:pPr>
            <w:r>
              <w:t>项目名称</w:t>
            </w:r>
          </w:p>
        </w:tc>
        <w:tc>
          <w:tcPr>
            <w:tcW w:w="6095" w:type="dxa"/>
            <w:gridSpan w:val="3"/>
            <w:vAlign w:val="center"/>
          </w:tcPr>
          <w:p>
            <w:pPr>
              <w:pStyle w:val="12"/>
            </w:pPr>
            <w:r>
              <w:t>冀财教[2024]113号提前下达2025年中央支持地方公共文化服务体系建设补助资金（奖励项目经费）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49.45</w:t>
            </w:r>
          </w:p>
        </w:tc>
        <w:tc>
          <w:tcPr>
            <w:tcW w:w="2835" w:type="dxa"/>
            <w:vAlign w:val="center"/>
          </w:tcPr>
          <w:p>
            <w:pPr>
              <w:pStyle w:val="10"/>
            </w:pPr>
            <w:r>
              <w:t>其中：财政    资金</w:t>
            </w:r>
          </w:p>
        </w:tc>
        <w:tc>
          <w:tcPr>
            <w:tcW w:w="2551" w:type="dxa"/>
            <w:vAlign w:val="center"/>
          </w:tcPr>
          <w:p>
            <w:pPr>
              <w:pStyle w:val="12"/>
            </w:pPr>
            <w:r>
              <w:t>49.45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设备购置费用，用于电视节目的录制设备、制作设备、数据传输、电视塔维修维护，应急广播运行维护等工作，保证公共文化信息数据传输的强度、质量，保障传输信号的覆盖面。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1.提高节目的制作播出质量，保障播出效果，提升收视率。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制作播出新闻数量</w:t>
            </w:r>
          </w:p>
        </w:tc>
        <w:tc>
          <w:tcPr>
            <w:tcW w:w="5386" w:type="dxa"/>
            <w:vAlign w:val="center"/>
          </w:tcPr>
          <w:p>
            <w:pPr>
              <w:pStyle w:val="12"/>
            </w:pPr>
            <w:r>
              <w:t>制作播出新闻数量</w:t>
            </w:r>
          </w:p>
        </w:tc>
        <w:tc>
          <w:tcPr>
            <w:tcW w:w="2268" w:type="dxa"/>
            <w:vAlign w:val="center"/>
          </w:tcPr>
          <w:p>
            <w:pPr>
              <w:pStyle w:val="12"/>
            </w:pPr>
            <w:r>
              <w:t>≥2200条</w:t>
            </w:r>
          </w:p>
        </w:tc>
        <w:tc>
          <w:tcPr>
            <w:tcW w:w="1276" w:type="dxa"/>
            <w:vAlign w:val="center"/>
          </w:tcPr>
          <w:p>
            <w:pPr>
              <w:pStyle w:val="12"/>
            </w:pPr>
            <w:r>
              <w:t>冀财教[2024]113号提前下达2025年中央支持地方公共文化服务体系建设补助资金（奖励项目经费）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上送新闻数量</w:t>
            </w:r>
          </w:p>
        </w:tc>
        <w:tc>
          <w:tcPr>
            <w:tcW w:w="5386" w:type="dxa"/>
            <w:vAlign w:val="center"/>
          </w:tcPr>
          <w:p>
            <w:pPr>
              <w:pStyle w:val="12"/>
            </w:pPr>
            <w:r>
              <w:t>上送新闻数量</w:t>
            </w:r>
          </w:p>
        </w:tc>
        <w:tc>
          <w:tcPr>
            <w:tcW w:w="2268" w:type="dxa"/>
            <w:vAlign w:val="center"/>
          </w:tcPr>
          <w:p>
            <w:pPr>
              <w:pStyle w:val="12"/>
            </w:pPr>
            <w:r>
              <w:t>≥70条</w:t>
            </w:r>
          </w:p>
        </w:tc>
        <w:tc>
          <w:tcPr>
            <w:tcW w:w="1276" w:type="dxa"/>
            <w:vAlign w:val="center"/>
          </w:tcPr>
          <w:p>
            <w:pPr>
              <w:pStyle w:val="12"/>
            </w:pPr>
            <w:r>
              <w:t>冀财教[2024]113号提前下达2025年中央支持地方公共文化服务体系建设补助资金（奖励项目经费）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2025.01.01-2025.12.31</w:t>
            </w:r>
          </w:p>
        </w:tc>
        <w:tc>
          <w:tcPr>
            <w:tcW w:w="1276" w:type="dxa"/>
            <w:vAlign w:val="center"/>
          </w:tcPr>
          <w:p>
            <w:pPr>
              <w:pStyle w:val="12"/>
            </w:pPr>
            <w:r>
              <w:t>冀财教[2024]113号提前下达2025年中央支持地方公共文化服务体系建设补助资金（奖励项目经费）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项目控制成本</w:t>
            </w:r>
          </w:p>
        </w:tc>
        <w:tc>
          <w:tcPr>
            <w:tcW w:w="5386" w:type="dxa"/>
            <w:vAlign w:val="center"/>
          </w:tcPr>
          <w:p>
            <w:pPr>
              <w:pStyle w:val="12"/>
            </w:pPr>
            <w:r>
              <w:t>项目控制成本</w:t>
            </w:r>
          </w:p>
        </w:tc>
        <w:tc>
          <w:tcPr>
            <w:tcW w:w="2268" w:type="dxa"/>
            <w:vAlign w:val="center"/>
          </w:tcPr>
          <w:p>
            <w:pPr>
              <w:pStyle w:val="12"/>
            </w:pPr>
            <w:r>
              <w:t>63.18万元</w:t>
            </w:r>
          </w:p>
        </w:tc>
        <w:tc>
          <w:tcPr>
            <w:tcW w:w="1276" w:type="dxa"/>
            <w:vAlign w:val="center"/>
          </w:tcPr>
          <w:p>
            <w:pPr>
              <w:pStyle w:val="12"/>
            </w:pPr>
            <w:r>
              <w:t>冀财教[2024]113号提前下达2025年中央支持地方公共文化服务体系建设补助资金（奖励项目经费）</w:t>
            </w:r>
            <w:r>
              <w:tab/>
            </w:r>
            <w:r>
              <w:tab/>
            </w:r>
            <w:r>
              <w:tab/>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群众反映效果</w:t>
            </w:r>
          </w:p>
        </w:tc>
        <w:tc>
          <w:tcPr>
            <w:tcW w:w="5386" w:type="dxa"/>
            <w:vAlign w:val="center"/>
          </w:tcPr>
          <w:p>
            <w:pPr>
              <w:pStyle w:val="12"/>
            </w:pPr>
            <w:r>
              <w:t>收视群众反映效果</w:t>
            </w:r>
          </w:p>
        </w:tc>
        <w:tc>
          <w:tcPr>
            <w:tcW w:w="2268" w:type="dxa"/>
            <w:vAlign w:val="center"/>
          </w:tcPr>
          <w:p>
            <w:pPr>
              <w:pStyle w:val="12"/>
            </w:pPr>
            <w:r>
              <w:t>播出质量提高，播出效果提升。</w:t>
            </w:r>
          </w:p>
        </w:tc>
        <w:tc>
          <w:tcPr>
            <w:tcW w:w="1276" w:type="dxa"/>
            <w:vAlign w:val="center"/>
          </w:tcPr>
          <w:p>
            <w:pPr>
              <w:pStyle w:val="12"/>
            </w:pPr>
            <w:r>
              <w:t>冀财教[2024]113号提前下达2025年中央支持地方公共文化服务体系建设补助资金（奖励项目经费）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收视群众满意度</w:t>
            </w:r>
          </w:p>
        </w:tc>
        <w:tc>
          <w:tcPr>
            <w:tcW w:w="2268" w:type="dxa"/>
            <w:vAlign w:val="center"/>
          </w:tcPr>
          <w:p>
            <w:pPr>
              <w:pStyle w:val="12"/>
            </w:pPr>
            <w:r>
              <w:t>≥85%</w:t>
            </w:r>
          </w:p>
        </w:tc>
        <w:tc>
          <w:tcPr>
            <w:tcW w:w="1276" w:type="dxa"/>
            <w:vAlign w:val="center"/>
          </w:tcPr>
          <w:p>
            <w:pPr>
              <w:pStyle w:val="12"/>
            </w:pPr>
            <w:r>
              <w:t>冀财教[2024]113号提前下达2025年中央支持地方公共文化服务体系建设补助资金（奖励项目经费）</w:t>
            </w:r>
            <w:r>
              <w:tab/>
            </w:r>
            <w:r>
              <w:tab/>
            </w:r>
            <w:r>
              <w:tab/>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3、冀财教[2024]113号提前下达2025年中央支持地方公共文化服务体系建设补助资金（无线覆盖数字运行维护费）绩效目标表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13018325P00007410004G</w:t>
            </w:r>
          </w:p>
        </w:tc>
        <w:tc>
          <w:tcPr>
            <w:tcW w:w="2835" w:type="dxa"/>
            <w:vAlign w:val="center"/>
          </w:tcPr>
          <w:p>
            <w:pPr>
              <w:pStyle w:val="10"/>
            </w:pPr>
            <w:r>
              <w:t>项目名称</w:t>
            </w:r>
          </w:p>
        </w:tc>
        <w:tc>
          <w:tcPr>
            <w:tcW w:w="6095" w:type="dxa"/>
            <w:gridSpan w:val="3"/>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22.35</w:t>
            </w:r>
          </w:p>
        </w:tc>
        <w:tc>
          <w:tcPr>
            <w:tcW w:w="2835" w:type="dxa"/>
            <w:vAlign w:val="center"/>
          </w:tcPr>
          <w:p>
            <w:pPr>
              <w:pStyle w:val="10"/>
            </w:pPr>
            <w:r>
              <w:t>其中：财政    资金</w:t>
            </w:r>
          </w:p>
        </w:tc>
        <w:tc>
          <w:tcPr>
            <w:tcW w:w="2551" w:type="dxa"/>
            <w:vAlign w:val="center"/>
          </w:tcPr>
          <w:p>
            <w:pPr>
              <w:pStyle w:val="12"/>
            </w:pPr>
            <w:r>
              <w:t>22.35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用于发射机维修维护费用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1.保障信号质量，提升收视效果，提高收视率。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转播中央电视台节目频道</w:t>
            </w:r>
          </w:p>
        </w:tc>
        <w:tc>
          <w:tcPr>
            <w:tcW w:w="5386" w:type="dxa"/>
            <w:vAlign w:val="center"/>
          </w:tcPr>
          <w:p>
            <w:pPr>
              <w:pStyle w:val="12"/>
            </w:pPr>
            <w:r>
              <w:t>转播中央电视台节目频道</w:t>
            </w:r>
          </w:p>
        </w:tc>
        <w:tc>
          <w:tcPr>
            <w:tcW w:w="2268" w:type="dxa"/>
            <w:vAlign w:val="center"/>
          </w:tcPr>
          <w:p>
            <w:pPr>
              <w:pStyle w:val="12"/>
            </w:pPr>
            <w:r>
              <w:t>18套</w:t>
            </w:r>
          </w:p>
        </w:tc>
        <w:tc>
          <w:tcPr>
            <w:tcW w:w="1276" w:type="dxa"/>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节目清晰度分辨率DTMB标准</w:t>
            </w:r>
          </w:p>
        </w:tc>
        <w:tc>
          <w:tcPr>
            <w:tcW w:w="5386" w:type="dxa"/>
            <w:vAlign w:val="center"/>
          </w:tcPr>
          <w:p>
            <w:pPr>
              <w:pStyle w:val="12"/>
            </w:pPr>
            <w:r>
              <w:t>节目清晰度分辨率DTMB标准</w:t>
            </w:r>
          </w:p>
        </w:tc>
        <w:tc>
          <w:tcPr>
            <w:tcW w:w="2268" w:type="dxa"/>
            <w:vAlign w:val="center"/>
          </w:tcPr>
          <w:p>
            <w:pPr>
              <w:pStyle w:val="12"/>
            </w:pPr>
            <w:r>
              <w:t>节目清晰度分辨率DTMB标准</w:t>
            </w:r>
          </w:p>
        </w:tc>
        <w:tc>
          <w:tcPr>
            <w:tcW w:w="1276" w:type="dxa"/>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2025.01.01-2025.12.31</w:t>
            </w:r>
          </w:p>
        </w:tc>
        <w:tc>
          <w:tcPr>
            <w:tcW w:w="1276" w:type="dxa"/>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项目成本控制</w:t>
            </w:r>
          </w:p>
        </w:tc>
        <w:tc>
          <w:tcPr>
            <w:tcW w:w="2268" w:type="dxa"/>
            <w:vAlign w:val="center"/>
          </w:tcPr>
          <w:p>
            <w:pPr>
              <w:pStyle w:val="12"/>
            </w:pPr>
            <w:r>
              <w:t>23.7万元</w:t>
            </w:r>
          </w:p>
        </w:tc>
        <w:tc>
          <w:tcPr>
            <w:tcW w:w="1276" w:type="dxa"/>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广播电视综合人口覆盖率</w:t>
            </w:r>
          </w:p>
        </w:tc>
        <w:tc>
          <w:tcPr>
            <w:tcW w:w="2268" w:type="dxa"/>
            <w:vAlign w:val="center"/>
          </w:tcPr>
          <w:p>
            <w:pPr>
              <w:pStyle w:val="12"/>
            </w:pPr>
            <w:r>
              <w:t>≥75%</w:t>
            </w:r>
          </w:p>
        </w:tc>
        <w:tc>
          <w:tcPr>
            <w:tcW w:w="1276" w:type="dxa"/>
            <w:vAlign w:val="center"/>
          </w:tcPr>
          <w:p>
            <w:pPr>
              <w:pStyle w:val="12"/>
            </w:pPr>
            <w:r>
              <w:t>冀财教[2024]113号提前下达2025年中央支持地方公共文化服务体系建设补助资金（无线覆盖数字运行维护费）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收视群众满意度</w:t>
            </w:r>
          </w:p>
        </w:tc>
        <w:tc>
          <w:tcPr>
            <w:tcW w:w="2268" w:type="dxa"/>
            <w:vAlign w:val="center"/>
          </w:tcPr>
          <w:p>
            <w:pPr>
              <w:pStyle w:val="12"/>
            </w:pPr>
            <w:r>
              <w:t>≥85%</w:t>
            </w:r>
          </w:p>
        </w:tc>
        <w:tc>
          <w:tcPr>
            <w:tcW w:w="1276" w:type="dxa"/>
            <w:vAlign w:val="center"/>
          </w:tcPr>
          <w:p>
            <w:pPr>
              <w:pStyle w:val="12"/>
            </w:pPr>
            <w:r>
              <w:t>冀财教[2024]113号提前下达2025年中央支持地方公共文化服务体系建设补助资金（无线覆盖数字运行维护费）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4、冀财教[2024]152号提前下达2025年省级公共文化服务体系建设补助资金（奖励项目经费）绩效目标表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13018325P00007910002M</w:t>
            </w:r>
          </w:p>
        </w:tc>
        <w:tc>
          <w:tcPr>
            <w:tcW w:w="2835" w:type="dxa"/>
            <w:vAlign w:val="center"/>
          </w:tcPr>
          <w:p>
            <w:pPr>
              <w:pStyle w:val="10"/>
            </w:pPr>
            <w:r>
              <w:t>项目名称</w:t>
            </w:r>
          </w:p>
        </w:tc>
        <w:tc>
          <w:tcPr>
            <w:tcW w:w="6095" w:type="dxa"/>
            <w:gridSpan w:val="3"/>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设备购置费用，用于电视节目的录制设备、制作设备、数据传输、电视塔维修维护，应急广播运行维护等工作，保证公共文化信息数据传输的强度、质量，保障传输信号的覆盖面。</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1.提高电视节目强度、质量，保障群众收视效果。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通过无线覆盖提供电视节目</w:t>
            </w:r>
          </w:p>
        </w:tc>
        <w:tc>
          <w:tcPr>
            <w:tcW w:w="5386" w:type="dxa"/>
            <w:vAlign w:val="center"/>
          </w:tcPr>
          <w:p>
            <w:pPr>
              <w:pStyle w:val="12"/>
            </w:pPr>
            <w:r>
              <w:t>通过无线覆盖提供电视节目</w:t>
            </w:r>
          </w:p>
        </w:tc>
        <w:tc>
          <w:tcPr>
            <w:tcW w:w="2268" w:type="dxa"/>
            <w:vAlign w:val="center"/>
          </w:tcPr>
          <w:p>
            <w:pPr>
              <w:pStyle w:val="12"/>
            </w:pPr>
            <w:r>
              <w:t>18套</w:t>
            </w:r>
          </w:p>
        </w:tc>
        <w:tc>
          <w:tcPr>
            <w:tcW w:w="1276" w:type="dxa"/>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节目清晰度分辨率DTMB标准</w:t>
            </w:r>
          </w:p>
        </w:tc>
        <w:tc>
          <w:tcPr>
            <w:tcW w:w="5386" w:type="dxa"/>
            <w:vAlign w:val="center"/>
          </w:tcPr>
          <w:p>
            <w:pPr>
              <w:pStyle w:val="12"/>
            </w:pPr>
            <w:r>
              <w:t>节目清晰度分辨率DTMB标准</w:t>
            </w:r>
          </w:p>
        </w:tc>
        <w:tc>
          <w:tcPr>
            <w:tcW w:w="2268" w:type="dxa"/>
            <w:vAlign w:val="center"/>
          </w:tcPr>
          <w:p>
            <w:pPr>
              <w:pStyle w:val="12"/>
            </w:pPr>
            <w:r>
              <w:t>节目清晰度分辨率DTMB标准</w:t>
            </w:r>
          </w:p>
        </w:tc>
        <w:tc>
          <w:tcPr>
            <w:tcW w:w="1276" w:type="dxa"/>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2025/01/01-2025/12/31</w:t>
            </w:r>
          </w:p>
        </w:tc>
        <w:tc>
          <w:tcPr>
            <w:tcW w:w="1276" w:type="dxa"/>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项目成本控制</w:t>
            </w:r>
          </w:p>
        </w:tc>
        <w:tc>
          <w:tcPr>
            <w:tcW w:w="2268" w:type="dxa"/>
            <w:vAlign w:val="center"/>
          </w:tcPr>
          <w:p>
            <w:pPr>
              <w:pStyle w:val="12"/>
            </w:pPr>
            <w:r>
              <w:t>3万元</w:t>
            </w:r>
          </w:p>
        </w:tc>
        <w:tc>
          <w:tcPr>
            <w:tcW w:w="1276" w:type="dxa"/>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广播电视综合人口覆盖率</w:t>
            </w:r>
          </w:p>
        </w:tc>
        <w:tc>
          <w:tcPr>
            <w:tcW w:w="2268" w:type="dxa"/>
            <w:vAlign w:val="center"/>
          </w:tcPr>
          <w:p>
            <w:pPr>
              <w:pStyle w:val="12"/>
            </w:pPr>
            <w:r>
              <w:t>≥95%</w:t>
            </w:r>
          </w:p>
        </w:tc>
        <w:tc>
          <w:tcPr>
            <w:tcW w:w="1276" w:type="dxa"/>
            <w:vAlign w:val="center"/>
          </w:tcPr>
          <w:p>
            <w:pPr>
              <w:pStyle w:val="12"/>
            </w:pPr>
            <w:r>
              <w:t>冀财教[2024]152号提前下达2025年省级公共文化服务体系建设补助资金（奖励项目经费）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收视群众满意度</w:t>
            </w:r>
          </w:p>
        </w:tc>
        <w:tc>
          <w:tcPr>
            <w:tcW w:w="2268" w:type="dxa"/>
            <w:vAlign w:val="center"/>
          </w:tcPr>
          <w:p>
            <w:pPr>
              <w:pStyle w:val="12"/>
            </w:pPr>
            <w:r>
              <w:t>≥90%</w:t>
            </w:r>
          </w:p>
        </w:tc>
        <w:tc>
          <w:tcPr>
            <w:tcW w:w="1276" w:type="dxa"/>
            <w:vAlign w:val="center"/>
          </w:tcPr>
          <w:p>
            <w:pPr>
              <w:pStyle w:val="12"/>
            </w:pPr>
            <w:r>
              <w:t>冀财教[2024]152号提前下达2025年省级公共文化服务体系建设补助资金（奖励项目经费）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5、冀财教[2025]115号提前下达2026年中央支持地方公共文化服务体系建设补助资金（中央广播节目无线覆盖数字运行维护费）绩效目标表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13018326P00011210012L</w:t>
            </w:r>
          </w:p>
        </w:tc>
        <w:tc>
          <w:tcPr>
            <w:tcW w:w="2835" w:type="dxa"/>
            <w:vAlign w:val="center"/>
          </w:tcPr>
          <w:p>
            <w:pPr>
              <w:pStyle w:val="10"/>
            </w:pPr>
            <w:r>
              <w:t>项目名称</w:t>
            </w:r>
          </w:p>
        </w:tc>
        <w:tc>
          <w:tcPr>
            <w:tcW w:w="6095" w:type="dxa"/>
            <w:gridSpan w:val="3"/>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23.70</w:t>
            </w:r>
          </w:p>
        </w:tc>
        <w:tc>
          <w:tcPr>
            <w:tcW w:w="2835" w:type="dxa"/>
            <w:vAlign w:val="center"/>
          </w:tcPr>
          <w:p>
            <w:pPr>
              <w:pStyle w:val="10"/>
            </w:pPr>
            <w:r>
              <w:t>其中：财政    资金</w:t>
            </w:r>
          </w:p>
        </w:tc>
        <w:tc>
          <w:tcPr>
            <w:tcW w:w="2551" w:type="dxa"/>
            <w:vAlign w:val="center"/>
          </w:tcPr>
          <w:p>
            <w:pPr>
              <w:pStyle w:val="12"/>
            </w:pPr>
            <w:r>
              <w:t>23.70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用于无线信号覆盖设备的购置，发射机采购及运行维护。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1.保障信号质量，提升收视效果，提高收视率。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转播中央电视台节目频道</w:t>
            </w:r>
          </w:p>
        </w:tc>
        <w:tc>
          <w:tcPr>
            <w:tcW w:w="5386" w:type="dxa"/>
            <w:vAlign w:val="center"/>
          </w:tcPr>
          <w:p>
            <w:pPr>
              <w:pStyle w:val="12"/>
            </w:pPr>
            <w:r>
              <w:t>转播中央电视台节目频道</w:t>
            </w:r>
          </w:p>
        </w:tc>
        <w:tc>
          <w:tcPr>
            <w:tcW w:w="2268" w:type="dxa"/>
            <w:vAlign w:val="center"/>
          </w:tcPr>
          <w:p>
            <w:pPr>
              <w:pStyle w:val="12"/>
            </w:pPr>
            <w:r>
              <w:t>18套</w:t>
            </w:r>
          </w:p>
        </w:tc>
        <w:tc>
          <w:tcPr>
            <w:tcW w:w="1276" w:type="dxa"/>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节目清晰度分辨率DTMB标准</w:t>
            </w:r>
          </w:p>
        </w:tc>
        <w:tc>
          <w:tcPr>
            <w:tcW w:w="5386" w:type="dxa"/>
            <w:vAlign w:val="center"/>
          </w:tcPr>
          <w:p>
            <w:pPr>
              <w:pStyle w:val="12"/>
            </w:pPr>
            <w:r>
              <w:t>节目清晰度分辨率DTMB标准</w:t>
            </w:r>
          </w:p>
        </w:tc>
        <w:tc>
          <w:tcPr>
            <w:tcW w:w="2268" w:type="dxa"/>
            <w:vAlign w:val="center"/>
          </w:tcPr>
          <w:p>
            <w:pPr>
              <w:pStyle w:val="12"/>
            </w:pPr>
            <w:r>
              <w:t>节目清晰度分辨率DTMB标准</w:t>
            </w:r>
          </w:p>
        </w:tc>
        <w:tc>
          <w:tcPr>
            <w:tcW w:w="1276" w:type="dxa"/>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2026.01.01-2026.12.31</w:t>
            </w:r>
          </w:p>
        </w:tc>
        <w:tc>
          <w:tcPr>
            <w:tcW w:w="1276" w:type="dxa"/>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项目成本控制</w:t>
            </w:r>
          </w:p>
        </w:tc>
        <w:tc>
          <w:tcPr>
            <w:tcW w:w="2268" w:type="dxa"/>
            <w:vAlign w:val="center"/>
          </w:tcPr>
          <w:p>
            <w:pPr>
              <w:pStyle w:val="12"/>
            </w:pPr>
            <w:r>
              <w:t>≤23.7万元</w:t>
            </w:r>
          </w:p>
        </w:tc>
        <w:tc>
          <w:tcPr>
            <w:tcW w:w="1276" w:type="dxa"/>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广播电视综合人口覆盖率</w:t>
            </w:r>
          </w:p>
        </w:tc>
        <w:tc>
          <w:tcPr>
            <w:tcW w:w="2268" w:type="dxa"/>
            <w:vAlign w:val="center"/>
          </w:tcPr>
          <w:p>
            <w:pPr>
              <w:pStyle w:val="12"/>
            </w:pPr>
            <w:r>
              <w:t>≥75%</w:t>
            </w:r>
          </w:p>
        </w:tc>
        <w:tc>
          <w:tcPr>
            <w:tcW w:w="1276" w:type="dxa"/>
            <w:vAlign w:val="center"/>
          </w:tcPr>
          <w:p>
            <w:pPr>
              <w:pStyle w:val="12"/>
            </w:pPr>
            <w:r>
              <w:t>冀财教[2025]115号提前下达2026年中央支持地方公共文化服务体系建设补助资金（中央广播节目无线覆盖数字运行维护费）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收视群众满意度</w:t>
            </w:r>
          </w:p>
        </w:tc>
        <w:tc>
          <w:tcPr>
            <w:tcW w:w="2268" w:type="dxa"/>
            <w:vAlign w:val="center"/>
          </w:tcPr>
          <w:p>
            <w:pPr>
              <w:pStyle w:val="12"/>
            </w:pPr>
            <w:r>
              <w:t>≥85%</w:t>
            </w:r>
          </w:p>
        </w:tc>
        <w:tc>
          <w:tcPr>
            <w:tcW w:w="1276" w:type="dxa"/>
            <w:vAlign w:val="center"/>
          </w:tcPr>
          <w:p>
            <w:pPr>
              <w:pStyle w:val="12"/>
            </w:pPr>
            <w:r>
              <w:t>冀财教[2025]115号提前下达2026年中央支持地方公共文化服务体系建设补助资金（中央广播节目无线覆盖数字运行维护费）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6、冀财教[2025]44号下达2025年中央支持地方公共文化服务体系建设补助资金绩效目标表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13018325P00011210009K</w:t>
            </w:r>
          </w:p>
        </w:tc>
        <w:tc>
          <w:tcPr>
            <w:tcW w:w="2835" w:type="dxa"/>
            <w:vAlign w:val="center"/>
          </w:tcPr>
          <w:p>
            <w:pPr>
              <w:pStyle w:val="10"/>
            </w:pPr>
            <w:r>
              <w:t>项目名称</w:t>
            </w:r>
          </w:p>
        </w:tc>
        <w:tc>
          <w:tcPr>
            <w:tcW w:w="6095" w:type="dxa"/>
            <w:gridSpan w:val="3"/>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10.50</w:t>
            </w:r>
          </w:p>
        </w:tc>
        <w:tc>
          <w:tcPr>
            <w:tcW w:w="2835" w:type="dxa"/>
            <w:vAlign w:val="center"/>
          </w:tcPr>
          <w:p>
            <w:pPr>
              <w:pStyle w:val="10"/>
            </w:pPr>
            <w:r>
              <w:t>其中：财政    资金</w:t>
            </w:r>
          </w:p>
        </w:tc>
        <w:tc>
          <w:tcPr>
            <w:tcW w:w="2551" w:type="dxa"/>
            <w:vAlign w:val="center"/>
          </w:tcPr>
          <w:p>
            <w:pPr>
              <w:pStyle w:val="12"/>
            </w:pPr>
            <w:r>
              <w:t>10.50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设备购置维修维护费用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1.提高电视节目强度、质量，保障群众收视效果。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通过无线覆盖提供电视节目</w:t>
            </w:r>
          </w:p>
        </w:tc>
        <w:tc>
          <w:tcPr>
            <w:tcW w:w="5386" w:type="dxa"/>
            <w:vAlign w:val="center"/>
          </w:tcPr>
          <w:p>
            <w:pPr>
              <w:pStyle w:val="12"/>
            </w:pPr>
            <w:r>
              <w:t>通过无线覆盖提供电视节目</w:t>
            </w:r>
          </w:p>
        </w:tc>
        <w:tc>
          <w:tcPr>
            <w:tcW w:w="2268" w:type="dxa"/>
            <w:vAlign w:val="center"/>
          </w:tcPr>
          <w:p>
            <w:pPr>
              <w:pStyle w:val="12"/>
            </w:pPr>
            <w:r>
              <w:t>18套</w:t>
            </w:r>
          </w:p>
        </w:tc>
        <w:tc>
          <w:tcPr>
            <w:tcW w:w="1276" w:type="dxa"/>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节目清晰度分辨率DTMB标准</w:t>
            </w:r>
          </w:p>
        </w:tc>
        <w:tc>
          <w:tcPr>
            <w:tcW w:w="5386" w:type="dxa"/>
            <w:vAlign w:val="center"/>
          </w:tcPr>
          <w:p>
            <w:pPr>
              <w:pStyle w:val="12"/>
            </w:pPr>
            <w:r>
              <w:t>节目清晰度分辨率DTMB标准</w:t>
            </w:r>
          </w:p>
        </w:tc>
        <w:tc>
          <w:tcPr>
            <w:tcW w:w="2268" w:type="dxa"/>
            <w:vAlign w:val="center"/>
          </w:tcPr>
          <w:p>
            <w:pPr>
              <w:pStyle w:val="12"/>
            </w:pPr>
            <w:r>
              <w:t>节目清晰度分辨率DTMB标准</w:t>
            </w:r>
          </w:p>
        </w:tc>
        <w:tc>
          <w:tcPr>
            <w:tcW w:w="1276" w:type="dxa"/>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项目完成时间</w:t>
            </w:r>
          </w:p>
        </w:tc>
        <w:tc>
          <w:tcPr>
            <w:tcW w:w="2268" w:type="dxa"/>
            <w:vAlign w:val="center"/>
          </w:tcPr>
          <w:p>
            <w:pPr>
              <w:pStyle w:val="12"/>
            </w:pPr>
            <w:r>
              <w:t>2025/01/01-2025/12/31</w:t>
            </w:r>
          </w:p>
        </w:tc>
        <w:tc>
          <w:tcPr>
            <w:tcW w:w="1276" w:type="dxa"/>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w:t>
            </w:r>
          </w:p>
        </w:tc>
        <w:tc>
          <w:tcPr>
            <w:tcW w:w="5386" w:type="dxa"/>
            <w:vAlign w:val="center"/>
          </w:tcPr>
          <w:p>
            <w:pPr>
              <w:pStyle w:val="12"/>
            </w:pPr>
            <w:r>
              <w:t>项目成本控制</w:t>
            </w:r>
          </w:p>
        </w:tc>
        <w:tc>
          <w:tcPr>
            <w:tcW w:w="2268" w:type="dxa"/>
            <w:vAlign w:val="center"/>
          </w:tcPr>
          <w:p>
            <w:pPr>
              <w:pStyle w:val="12"/>
            </w:pPr>
            <w:r>
              <w:t>10.5万元</w:t>
            </w:r>
          </w:p>
        </w:tc>
        <w:tc>
          <w:tcPr>
            <w:tcW w:w="1276" w:type="dxa"/>
            <w:vAlign w:val="center"/>
          </w:tcPr>
          <w:p>
            <w:pPr>
              <w:pStyle w:val="12"/>
            </w:pPr>
            <w:r>
              <w:t>冀财教[2025]44号下达2025年中央支持地方公共文化服务体系建设补助资金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广播电视综合人口覆盖率</w:t>
            </w:r>
          </w:p>
        </w:tc>
        <w:tc>
          <w:tcPr>
            <w:tcW w:w="5386" w:type="dxa"/>
            <w:vAlign w:val="center"/>
          </w:tcPr>
          <w:p>
            <w:pPr>
              <w:pStyle w:val="12"/>
            </w:pPr>
            <w:r>
              <w:t>广播电视综合人口覆盖率</w:t>
            </w:r>
          </w:p>
        </w:tc>
        <w:tc>
          <w:tcPr>
            <w:tcW w:w="2268" w:type="dxa"/>
            <w:vAlign w:val="center"/>
          </w:tcPr>
          <w:p>
            <w:pPr>
              <w:pStyle w:val="12"/>
            </w:pPr>
            <w:r>
              <w:t>≥95%</w:t>
            </w:r>
          </w:p>
        </w:tc>
        <w:tc>
          <w:tcPr>
            <w:tcW w:w="1276" w:type="dxa"/>
            <w:vAlign w:val="center"/>
          </w:tcPr>
          <w:p>
            <w:pPr>
              <w:pStyle w:val="12"/>
            </w:pPr>
            <w: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收视群众满意度</w:t>
            </w:r>
          </w:p>
        </w:tc>
        <w:tc>
          <w:tcPr>
            <w:tcW w:w="5386" w:type="dxa"/>
            <w:vAlign w:val="center"/>
          </w:tcPr>
          <w:p>
            <w:pPr>
              <w:pStyle w:val="12"/>
            </w:pPr>
            <w:r>
              <w:t>收视群众满意度</w:t>
            </w:r>
          </w:p>
        </w:tc>
        <w:tc>
          <w:tcPr>
            <w:tcW w:w="2268" w:type="dxa"/>
            <w:vAlign w:val="center"/>
          </w:tcPr>
          <w:p>
            <w:pPr>
              <w:pStyle w:val="12"/>
            </w:pPr>
            <w:r>
              <w:t>≥90%</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7、景观塔电费绩效目标表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13018326P00032810132E</w:t>
            </w:r>
          </w:p>
        </w:tc>
        <w:tc>
          <w:tcPr>
            <w:tcW w:w="2835" w:type="dxa"/>
            <w:vAlign w:val="center"/>
          </w:tcPr>
          <w:p>
            <w:pPr>
              <w:pStyle w:val="10"/>
            </w:pPr>
            <w:r>
              <w:t>项目名称</w:t>
            </w:r>
          </w:p>
        </w:tc>
        <w:tc>
          <w:tcPr>
            <w:tcW w:w="6095" w:type="dxa"/>
            <w:gridSpan w:val="3"/>
            <w:vAlign w:val="center"/>
          </w:tcPr>
          <w:p>
            <w:pPr>
              <w:pStyle w:val="12"/>
            </w:pPr>
            <w:r>
              <w:t>景观塔电费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用于支付晋州市景观塔电费。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1.保障景观塔一年的亮化及美化，提升城市文化氛围，营造高品质生活环境。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亮化天数</w:t>
            </w:r>
          </w:p>
        </w:tc>
        <w:tc>
          <w:tcPr>
            <w:tcW w:w="5386" w:type="dxa"/>
            <w:vAlign w:val="center"/>
          </w:tcPr>
          <w:p>
            <w:pPr>
              <w:pStyle w:val="12"/>
            </w:pPr>
            <w:r>
              <w:t xml:space="preserve">一年亮化天数 </w:t>
            </w:r>
          </w:p>
        </w:tc>
        <w:tc>
          <w:tcPr>
            <w:tcW w:w="2268" w:type="dxa"/>
            <w:vAlign w:val="center"/>
          </w:tcPr>
          <w:p>
            <w:pPr>
              <w:pStyle w:val="12"/>
            </w:pPr>
            <w:r>
              <w:t>365天</w:t>
            </w:r>
          </w:p>
        </w:tc>
        <w:tc>
          <w:tcPr>
            <w:tcW w:w="1276" w:type="dxa"/>
            <w:vAlign w:val="center"/>
          </w:tcPr>
          <w:p>
            <w:pPr>
              <w:pStyle w:val="12"/>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亮化及美化程度</w:t>
            </w:r>
          </w:p>
        </w:tc>
        <w:tc>
          <w:tcPr>
            <w:tcW w:w="5386" w:type="dxa"/>
            <w:vAlign w:val="center"/>
          </w:tcPr>
          <w:p>
            <w:pPr>
              <w:pStyle w:val="12"/>
            </w:pPr>
            <w:r>
              <w:t>亮化及美化范围实际比率</w:t>
            </w:r>
          </w:p>
        </w:tc>
        <w:tc>
          <w:tcPr>
            <w:tcW w:w="2268" w:type="dxa"/>
            <w:vAlign w:val="center"/>
          </w:tcPr>
          <w:p>
            <w:pPr>
              <w:pStyle w:val="12"/>
            </w:pPr>
            <w:r>
              <w:t>≥85%</w:t>
            </w:r>
          </w:p>
        </w:tc>
        <w:tc>
          <w:tcPr>
            <w:tcW w:w="1276" w:type="dxa"/>
            <w:vAlign w:val="center"/>
          </w:tcPr>
          <w:p>
            <w:pPr>
              <w:pStyle w:val="12"/>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亮化时间</w:t>
            </w:r>
          </w:p>
        </w:tc>
        <w:tc>
          <w:tcPr>
            <w:tcW w:w="5386" w:type="dxa"/>
            <w:vAlign w:val="center"/>
          </w:tcPr>
          <w:p>
            <w:pPr>
              <w:pStyle w:val="12"/>
            </w:pPr>
            <w:r>
              <w:t>根据季节变化 ，夏天每晚7-9点，冬天每晚6-9点亮化</w:t>
            </w:r>
          </w:p>
        </w:tc>
        <w:tc>
          <w:tcPr>
            <w:tcW w:w="2268" w:type="dxa"/>
            <w:vAlign w:val="center"/>
          </w:tcPr>
          <w:p>
            <w:pPr>
              <w:pStyle w:val="12"/>
            </w:pPr>
            <w:r>
              <w:t>准时亮化</w:t>
            </w:r>
          </w:p>
        </w:tc>
        <w:tc>
          <w:tcPr>
            <w:tcW w:w="1276" w:type="dxa"/>
            <w:vAlign w:val="center"/>
          </w:tcPr>
          <w:p>
            <w:pPr>
              <w:pStyle w:val="12"/>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电费成本控制</w:t>
            </w:r>
          </w:p>
        </w:tc>
        <w:tc>
          <w:tcPr>
            <w:tcW w:w="5386" w:type="dxa"/>
            <w:vAlign w:val="center"/>
          </w:tcPr>
          <w:p>
            <w:pPr>
              <w:pStyle w:val="12"/>
            </w:pPr>
            <w:r>
              <w:t>电费成本控制</w:t>
            </w:r>
          </w:p>
        </w:tc>
        <w:tc>
          <w:tcPr>
            <w:tcW w:w="2268" w:type="dxa"/>
            <w:vAlign w:val="center"/>
          </w:tcPr>
          <w:p>
            <w:pPr>
              <w:pStyle w:val="12"/>
            </w:pPr>
            <w:r>
              <w:t>≤19.99万元</w:t>
            </w:r>
          </w:p>
        </w:tc>
        <w:tc>
          <w:tcPr>
            <w:tcW w:w="1276" w:type="dxa"/>
            <w:vAlign w:val="center"/>
          </w:tcPr>
          <w:p>
            <w:pPr>
              <w:pStyle w:val="12"/>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城市美化率</w:t>
            </w:r>
          </w:p>
        </w:tc>
        <w:tc>
          <w:tcPr>
            <w:tcW w:w="5386" w:type="dxa"/>
            <w:vAlign w:val="center"/>
          </w:tcPr>
          <w:p>
            <w:pPr>
              <w:pStyle w:val="12"/>
            </w:pPr>
            <w:r>
              <w:t>反映提升城市文化氛围和营造高品质生活环境的效果</w:t>
            </w:r>
          </w:p>
        </w:tc>
        <w:tc>
          <w:tcPr>
            <w:tcW w:w="2268" w:type="dxa"/>
            <w:vAlign w:val="center"/>
          </w:tcPr>
          <w:p>
            <w:pPr>
              <w:pStyle w:val="12"/>
            </w:pPr>
            <w:r>
              <w:t>显著提高</w:t>
            </w:r>
          </w:p>
          <w:p>
            <w:pPr>
              <w:pStyle w:val="12"/>
            </w:pPr>
          </w:p>
        </w:tc>
        <w:tc>
          <w:tcPr>
            <w:tcW w:w="1276" w:type="dxa"/>
            <w:vAlign w:val="center"/>
          </w:tcPr>
          <w:p>
            <w:pPr>
              <w:pStyle w:val="12"/>
            </w:pPr>
            <w:r>
              <w:t>关于景观塔电费的申请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8、年度运营经费绩效目标表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13018326P00032810134M</w:t>
            </w:r>
          </w:p>
        </w:tc>
        <w:tc>
          <w:tcPr>
            <w:tcW w:w="2835" w:type="dxa"/>
            <w:vAlign w:val="center"/>
          </w:tcPr>
          <w:p>
            <w:pPr>
              <w:pStyle w:val="10"/>
            </w:pPr>
            <w:r>
              <w:t>项目名称</w:t>
            </w:r>
          </w:p>
        </w:tc>
        <w:tc>
          <w:tcPr>
            <w:tcW w:w="6095" w:type="dxa"/>
            <w:gridSpan w:val="3"/>
            <w:vAlign w:val="center"/>
          </w:tcPr>
          <w:p>
            <w:pPr>
              <w:pStyle w:val="12"/>
            </w:pPr>
            <w:r>
              <w:t>年度运营经费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36.04</w:t>
            </w:r>
          </w:p>
        </w:tc>
        <w:tc>
          <w:tcPr>
            <w:tcW w:w="2835" w:type="dxa"/>
            <w:vAlign w:val="center"/>
          </w:tcPr>
          <w:p>
            <w:pPr>
              <w:pStyle w:val="10"/>
            </w:pPr>
            <w:r>
              <w:t>其中：财政    资金</w:t>
            </w:r>
          </w:p>
        </w:tc>
        <w:tc>
          <w:tcPr>
            <w:tcW w:w="2551" w:type="dxa"/>
            <w:vAlign w:val="center"/>
          </w:tcPr>
          <w:p>
            <w:pPr>
              <w:pStyle w:val="12"/>
            </w:pPr>
            <w:r>
              <w:t>36.04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用于支付晋州市融媒体中心专线费、平台费等。</w:t>
            </w:r>
            <w:r>
              <w:tab/>
            </w:r>
            <w:r>
              <w:t>同时支付自收自支人员及临时工人员工资及保险。</w:t>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1.保障单位网络及网络安全正常运行，确保自收自支人员及临时工人员工资及保险按时发放，加快推进全媒体传播体系建设，为社会提供更多、更好、更及时的融媒体产品。</w:t>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5386" w:type="dxa"/>
            <w:vAlign w:val="center"/>
          </w:tcPr>
          <w:p>
            <w:pPr>
              <w:pStyle w:val="12"/>
            </w:pPr>
            <w:r>
              <w:t>按时有序支付</w:t>
            </w:r>
          </w:p>
        </w:tc>
        <w:tc>
          <w:tcPr>
            <w:tcW w:w="2268" w:type="dxa"/>
            <w:vAlign w:val="center"/>
          </w:tcPr>
          <w:p>
            <w:pPr>
              <w:pStyle w:val="12"/>
            </w:pPr>
            <w:r>
              <w:t>100%</w:t>
            </w:r>
          </w:p>
        </w:tc>
        <w:tc>
          <w:tcPr>
            <w:tcW w:w="1276" w:type="dxa"/>
            <w:vAlign w:val="center"/>
          </w:tcPr>
          <w:p>
            <w:pPr>
              <w:pStyle w:val="12"/>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w:t>
            </w:r>
          </w:p>
        </w:tc>
        <w:tc>
          <w:tcPr>
            <w:tcW w:w="2268" w:type="dxa"/>
            <w:vAlign w:val="center"/>
          </w:tcPr>
          <w:p>
            <w:pPr>
              <w:pStyle w:val="12"/>
            </w:pPr>
            <w:r>
              <w:t>≤36.04万元</w:t>
            </w:r>
          </w:p>
        </w:tc>
        <w:tc>
          <w:tcPr>
            <w:tcW w:w="1276" w:type="dxa"/>
            <w:vAlign w:val="center"/>
          </w:tcPr>
          <w:p>
            <w:pPr>
              <w:pStyle w:val="12"/>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加快推进全媒体传播体系建设，为社会提供更多、更好、更及时的融媒体产品</w:t>
            </w:r>
          </w:p>
        </w:tc>
        <w:tc>
          <w:tcPr>
            <w:tcW w:w="5386" w:type="dxa"/>
            <w:vAlign w:val="center"/>
          </w:tcPr>
          <w:p>
            <w:pPr>
              <w:pStyle w:val="12"/>
            </w:pPr>
            <w:r>
              <w:t>加快推进全媒体传播体系建设，为社会提供更多、更好、更及时的融媒体产品</w:t>
            </w:r>
          </w:p>
        </w:tc>
        <w:tc>
          <w:tcPr>
            <w:tcW w:w="2268" w:type="dxa"/>
            <w:vAlign w:val="center"/>
          </w:tcPr>
          <w:p>
            <w:pPr>
              <w:pStyle w:val="12"/>
            </w:pPr>
            <w:r>
              <w:t>加快推进</w:t>
            </w:r>
          </w:p>
        </w:tc>
        <w:tc>
          <w:tcPr>
            <w:tcW w:w="1276" w:type="dxa"/>
            <w:vAlign w:val="center"/>
          </w:tcPr>
          <w:p>
            <w:pPr>
              <w:pStyle w:val="12"/>
            </w:pPr>
            <w:r>
              <w:t>晋财教申【2021】15号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观众满意度</w:t>
            </w:r>
          </w:p>
        </w:tc>
        <w:tc>
          <w:tcPr>
            <w:tcW w:w="5386" w:type="dxa"/>
            <w:vAlign w:val="center"/>
          </w:tcPr>
          <w:p>
            <w:pPr>
              <w:pStyle w:val="12"/>
            </w:pPr>
            <w:r>
              <w:t>观众满意度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9、其他临时用工绩效目标表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13018326P00032810136W</w:t>
            </w:r>
          </w:p>
        </w:tc>
        <w:tc>
          <w:tcPr>
            <w:tcW w:w="2835" w:type="dxa"/>
            <w:vAlign w:val="center"/>
          </w:tcPr>
          <w:p>
            <w:pPr>
              <w:pStyle w:val="10"/>
            </w:pPr>
            <w:r>
              <w:t>项目名称</w:t>
            </w:r>
          </w:p>
        </w:tc>
        <w:tc>
          <w:tcPr>
            <w:tcW w:w="6095" w:type="dxa"/>
            <w:gridSpan w:val="3"/>
            <w:vAlign w:val="center"/>
          </w:tcPr>
          <w:p>
            <w:pPr>
              <w:pStyle w:val="12"/>
            </w:pPr>
            <w:r>
              <w:t>其他临时用工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398.77</w:t>
            </w:r>
          </w:p>
        </w:tc>
        <w:tc>
          <w:tcPr>
            <w:tcW w:w="2835" w:type="dxa"/>
            <w:vAlign w:val="center"/>
          </w:tcPr>
          <w:p>
            <w:pPr>
              <w:pStyle w:val="10"/>
            </w:pPr>
            <w:r>
              <w:t>其中：财政    资金</w:t>
            </w:r>
          </w:p>
        </w:tc>
        <w:tc>
          <w:tcPr>
            <w:tcW w:w="2551" w:type="dxa"/>
            <w:vAlign w:val="center"/>
          </w:tcPr>
          <w:p>
            <w:pPr>
              <w:pStyle w:val="12"/>
            </w:pPr>
            <w:r>
              <w:t>398.77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用于发放单位自收自支人员及临时工等人员工资、缴纳保险等。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1.保障我单位日常工作正常有序开展。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支出完成率</w:t>
            </w:r>
          </w:p>
        </w:tc>
        <w:tc>
          <w:tcPr>
            <w:tcW w:w="5386" w:type="dxa"/>
            <w:vAlign w:val="center"/>
          </w:tcPr>
          <w:p>
            <w:pPr>
              <w:pStyle w:val="12"/>
            </w:pPr>
            <w:r>
              <w:t>按时有序支付</w:t>
            </w:r>
          </w:p>
        </w:tc>
        <w:tc>
          <w:tcPr>
            <w:tcW w:w="2268" w:type="dxa"/>
            <w:vAlign w:val="center"/>
          </w:tcPr>
          <w:p>
            <w:pPr>
              <w:pStyle w:val="12"/>
            </w:pPr>
            <w:r>
              <w:t>100%</w:t>
            </w:r>
          </w:p>
        </w:tc>
        <w:tc>
          <w:tcPr>
            <w:tcW w:w="1276" w:type="dxa"/>
            <w:vAlign w:val="center"/>
          </w:tcPr>
          <w:p>
            <w:pPr>
              <w:pStyle w:val="12"/>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工作保障率</w:t>
            </w:r>
          </w:p>
        </w:tc>
        <w:tc>
          <w:tcPr>
            <w:tcW w:w="5386" w:type="dxa"/>
            <w:vAlign w:val="center"/>
          </w:tcPr>
          <w:p>
            <w:pPr>
              <w:pStyle w:val="12"/>
            </w:pPr>
            <w:r>
              <w:t>工作保障率</w:t>
            </w:r>
          </w:p>
        </w:tc>
        <w:tc>
          <w:tcPr>
            <w:tcW w:w="2268" w:type="dxa"/>
            <w:vAlign w:val="center"/>
          </w:tcPr>
          <w:p>
            <w:pPr>
              <w:pStyle w:val="12"/>
            </w:pPr>
            <w:r>
              <w:t>100%</w:t>
            </w:r>
          </w:p>
        </w:tc>
        <w:tc>
          <w:tcPr>
            <w:tcW w:w="1276" w:type="dxa"/>
            <w:vAlign w:val="center"/>
          </w:tcPr>
          <w:p>
            <w:pPr>
              <w:pStyle w:val="12"/>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工资发放及时率</w:t>
            </w:r>
          </w:p>
        </w:tc>
        <w:tc>
          <w:tcPr>
            <w:tcW w:w="5386" w:type="dxa"/>
            <w:vAlign w:val="center"/>
          </w:tcPr>
          <w:p>
            <w:pPr>
              <w:pStyle w:val="12"/>
            </w:pPr>
            <w:r>
              <w:t>工资发放及时率</w:t>
            </w:r>
          </w:p>
        </w:tc>
        <w:tc>
          <w:tcPr>
            <w:tcW w:w="2268" w:type="dxa"/>
            <w:vAlign w:val="center"/>
          </w:tcPr>
          <w:p>
            <w:pPr>
              <w:pStyle w:val="12"/>
            </w:pPr>
            <w:r>
              <w:t>100%</w:t>
            </w:r>
          </w:p>
        </w:tc>
        <w:tc>
          <w:tcPr>
            <w:tcW w:w="1276" w:type="dxa"/>
            <w:vAlign w:val="center"/>
          </w:tcPr>
          <w:p>
            <w:pPr>
              <w:pStyle w:val="12"/>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w:t>
            </w:r>
          </w:p>
        </w:tc>
        <w:tc>
          <w:tcPr>
            <w:tcW w:w="5386" w:type="dxa"/>
            <w:vAlign w:val="center"/>
          </w:tcPr>
          <w:p>
            <w:pPr>
              <w:pStyle w:val="12"/>
            </w:pPr>
            <w:r>
              <w:t>项目预算控制</w:t>
            </w:r>
          </w:p>
        </w:tc>
        <w:tc>
          <w:tcPr>
            <w:tcW w:w="2268" w:type="dxa"/>
            <w:vAlign w:val="center"/>
          </w:tcPr>
          <w:p>
            <w:pPr>
              <w:pStyle w:val="12"/>
            </w:pPr>
            <w:r>
              <w:t>≤398.77万元</w:t>
            </w:r>
          </w:p>
        </w:tc>
        <w:tc>
          <w:tcPr>
            <w:tcW w:w="1276" w:type="dxa"/>
            <w:vAlign w:val="center"/>
          </w:tcPr>
          <w:p>
            <w:pPr>
              <w:pStyle w:val="12"/>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保障广播电视安全播出</w:t>
            </w:r>
          </w:p>
        </w:tc>
        <w:tc>
          <w:tcPr>
            <w:tcW w:w="5386" w:type="dxa"/>
            <w:vAlign w:val="center"/>
          </w:tcPr>
          <w:p>
            <w:pPr>
              <w:pStyle w:val="12"/>
            </w:pPr>
            <w:r>
              <w:t>保障广播电视安全播出</w:t>
            </w:r>
          </w:p>
        </w:tc>
        <w:tc>
          <w:tcPr>
            <w:tcW w:w="2268" w:type="dxa"/>
            <w:vAlign w:val="center"/>
          </w:tcPr>
          <w:p>
            <w:pPr>
              <w:pStyle w:val="12"/>
            </w:pPr>
            <w:r>
              <w:t>保障广播电视安全播出</w:t>
            </w:r>
          </w:p>
        </w:tc>
        <w:tc>
          <w:tcPr>
            <w:tcW w:w="1276" w:type="dxa"/>
            <w:vAlign w:val="center"/>
          </w:tcPr>
          <w:p>
            <w:pPr>
              <w:pStyle w:val="12"/>
            </w:pPr>
            <w:r>
              <w:t>晋财教申【2017】28号文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≥85%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359001晋州市广播电视台本级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0.52</w:t>
            </w:r>
          </w:p>
        </w:tc>
        <w:tc>
          <w:tcPr>
            <w:tcW w:w="964" w:type="dxa"/>
            <w:vAlign w:val="center"/>
          </w:tcPr>
          <w:p>
            <w:pPr>
              <w:pStyle w:val="15"/>
            </w:pPr>
            <w:r>
              <w:t>0.52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晋州市广播电视台本级小计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0.52</w:t>
            </w:r>
          </w:p>
        </w:tc>
        <w:tc>
          <w:tcPr>
            <w:tcW w:w="964" w:type="dxa"/>
            <w:vAlign w:val="center"/>
          </w:tcPr>
          <w:p>
            <w:pPr>
              <w:pStyle w:val="15"/>
            </w:pPr>
            <w:r>
              <w:t>0.52</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5.46</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260</w:t>
            </w:r>
          </w:p>
        </w:tc>
        <w:tc>
          <w:tcPr>
            <w:tcW w:w="850" w:type="dxa"/>
            <w:vAlign w:val="center"/>
          </w:tcPr>
          <w:p>
            <w:pPr>
              <w:pStyle w:val="11"/>
            </w:pPr>
            <w:r>
              <w:t>0.00</w:t>
            </w:r>
          </w:p>
        </w:tc>
        <w:tc>
          <w:tcPr>
            <w:tcW w:w="964" w:type="dxa"/>
            <w:vAlign w:val="center"/>
          </w:tcPr>
          <w:p>
            <w:pPr>
              <w:pStyle w:val="11"/>
            </w:pPr>
            <w:r>
              <w:t>0.52</w:t>
            </w:r>
          </w:p>
        </w:tc>
        <w:tc>
          <w:tcPr>
            <w:tcW w:w="964" w:type="dxa"/>
            <w:vAlign w:val="center"/>
          </w:tcPr>
          <w:p>
            <w:pPr>
              <w:pStyle w:val="11"/>
            </w:pPr>
            <w:r>
              <w:t>0.52</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0.52</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晋州市广播电视台本级上年末固定资产金额为8663.28万元（详见下表）。本年度拟购置固定资产总额为0.00万元，已按要求列入政府采购预算，详见政府采购预算表。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359001晋州市广播电视台本级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8663.28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6870</w:t>
            </w:r>
          </w:p>
        </w:tc>
        <w:tc>
          <w:tcPr>
            <w:tcW w:w="2835" w:type="dxa"/>
            <w:vAlign w:val="center"/>
          </w:tcPr>
          <w:p>
            <w:pPr>
              <w:pStyle w:val="11"/>
            </w:pPr>
            <w:r>
              <w:t>776.03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6870</w:t>
            </w:r>
          </w:p>
        </w:tc>
        <w:tc>
          <w:tcPr>
            <w:tcW w:w="2835" w:type="dxa"/>
            <w:vAlign w:val="center"/>
          </w:tcPr>
          <w:p>
            <w:pPr>
              <w:pStyle w:val="11"/>
            </w:pPr>
            <w:r>
              <w:t>776.04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23.23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r>
              <w:t>31</w:t>
            </w:r>
          </w:p>
        </w:tc>
        <w:tc>
          <w:tcPr>
            <w:tcW w:w="2835" w:type="dxa"/>
            <w:vAlign w:val="center"/>
          </w:tcPr>
          <w:p>
            <w:pPr>
              <w:pStyle w:val="11"/>
            </w:pPr>
            <w:r>
              <w:t>2541.95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1467</w:t>
            </w:r>
          </w:p>
        </w:tc>
        <w:tc>
          <w:tcPr>
            <w:tcW w:w="2835" w:type="dxa"/>
            <w:vAlign w:val="center"/>
          </w:tcPr>
          <w:p>
            <w:pPr>
              <w:pStyle w:val="11"/>
            </w:pPr>
            <w:r>
              <w:t>5322.07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二、晋州市有线电视台收支预算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359003晋州市有线电视台</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200.00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200.00</w:t>
            </w:r>
          </w:p>
        </w:tc>
        <w:tc>
          <w:tcPr>
            <w:tcW w:w="4535" w:type="dxa"/>
            <w:vAlign w:val="center"/>
          </w:tcPr>
          <w:p>
            <w:pPr>
              <w:pStyle w:val="14"/>
            </w:pPr>
            <w:r>
              <w:t>本年支出合计</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200.00</w:t>
            </w:r>
          </w:p>
        </w:tc>
        <w:tc>
          <w:tcPr>
            <w:tcW w:w="4535" w:type="dxa"/>
            <w:vAlign w:val="center"/>
          </w:tcPr>
          <w:p>
            <w:pPr>
              <w:pStyle w:val="14"/>
            </w:pPr>
            <w:r>
              <w:t>支出总计</w:t>
            </w:r>
          </w:p>
        </w:tc>
        <w:tc>
          <w:tcPr>
            <w:tcW w:w="2126" w:type="dxa"/>
            <w:vAlign w:val="center"/>
          </w:tcPr>
          <w:p>
            <w:pPr>
              <w:pStyle w:val="15"/>
            </w:pPr>
            <w:r>
              <w:t>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359003晋州市有线电视台</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20708</w:t>
            </w:r>
          </w:p>
        </w:tc>
        <w:tc>
          <w:tcPr>
            <w:tcW w:w="1559" w:type="dxa"/>
            <w:vAlign w:val="center"/>
          </w:tcPr>
          <w:p>
            <w:pPr>
              <w:pStyle w:val="12"/>
            </w:pPr>
            <w:r>
              <w:t>广播电视</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2070808</w:t>
            </w:r>
          </w:p>
        </w:tc>
        <w:tc>
          <w:tcPr>
            <w:tcW w:w="1559" w:type="dxa"/>
            <w:vAlign w:val="center"/>
          </w:tcPr>
          <w:p>
            <w:pPr>
              <w:pStyle w:val="12"/>
            </w:pPr>
            <w:r>
              <w:t>广播电视事务</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20708</w:t>
            </w:r>
          </w:p>
        </w:tc>
        <w:tc>
          <w:tcPr>
            <w:tcW w:w="4535" w:type="dxa"/>
            <w:vAlign w:val="center"/>
          </w:tcPr>
          <w:p>
            <w:pPr>
              <w:pStyle w:val="12"/>
            </w:pPr>
            <w:r>
              <w:t>广播电视</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2070808</w:t>
            </w:r>
          </w:p>
        </w:tc>
        <w:tc>
          <w:tcPr>
            <w:tcW w:w="4535" w:type="dxa"/>
            <w:vAlign w:val="center"/>
          </w:tcPr>
          <w:p>
            <w:pPr>
              <w:pStyle w:val="12"/>
            </w:pPr>
            <w:r>
              <w:t>广播电视事务</w:t>
            </w:r>
          </w:p>
        </w:tc>
        <w:tc>
          <w:tcPr>
            <w:tcW w:w="1361" w:type="dxa"/>
            <w:vAlign w:val="center"/>
          </w:tcPr>
          <w:p>
            <w:pPr>
              <w:pStyle w:val="11"/>
            </w:pPr>
            <w:r>
              <w:t>200.00</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200.00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200.00</w:t>
            </w:r>
          </w:p>
        </w:tc>
        <w:tc>
          <w:tcPr>
            <w:tcW w:w="1474" w:type="dxa"/>
            <w:vAlign w:val="center"/>
          </w:tcPr>
          <w:p>
            <w:pPr>
              <w:pStyle w:val="11"/>
            </w:pPr>
            <w:r>
              <w:t>200.00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200.00</w:t>
            </w:r>
          </w:p>
        </w:tc>
        <w:tc>
          <w:tcPr>
            <w:tcW w:w="3402" w:type="dxa"/>
            <w:vAlign w:val="center"/>
          </w:tcPr>
          <w:p>
            <w:pPr>
              <w:pStyle w:val="14"/>
            </w:pPr>
            <w:r>
              <w:t>本年支出合计</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200.00</w:t>
            </w:r>
          </w:p>
        </w:tc>
        <w:tc>
          <w:tcPr>
            <w:tcW w:w="3402" w:type="dxa"/>
            <w:vAlign w:val="center"/>
          </w:tcPr>
          <w:p>
            <w:pPr>
              <w:pStyle w:val="14"/>
            </w:pPr>
            <w:r>
              <w:t>支出总计</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20708</w:t>
            </w:r>
          </w:p>
        </w:tc>
        <w:tc>
          <w:tcPr>
            <w:tcW w:w="4535" w:type="dxa"/>
            <w:vAlign w:val="center"/>
          </w:tcPr>
          <w:p>
            <w:pPr>
              <w:pStyle w:val="12"/>
            </w:pPr>
            <w:r>
              <w:t>广播电视</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2070808</w:t>
            </w:r>
          </w:p>
        </w:tc>
        <w:tc>
          <w:tcPr>
            <w:tcW w:w="4535" w:type="dxa"/>
            <w:vAlign w:val="center"/>
          </w:tcPr>
          <w:p>
            <w:pPr>
              <w:pStyle w:val="12"/>
            </w:pPr>
            <w:r>
              <w:t>广播电视事务</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200.00</w:t>
            </w:r>
          </w:p>
        </w:tc>
        <w:tc>
          <w:tcPr>
            <w:tcW w:w="2551" w:type="dxa"/>
            <w:vAlign w:val="center"/>
          </w:tcPr>
          <w:p>
            <w:pPr>
              <w:pStyle w:val="11"/>
            </w:pPr>
            <w:r>
              <w:t>200.00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75.06</w:t>
            </w:r>
          </w:p>
        </w:tc>
        <w:tc>
          <w:tcPr>
            <w:tcW w:w="2551" w:type="dxa"/>
            <w:vAlign w:val="center"/>
          </w:tcPr>
          <w:p>
            <w:pPr>
              <w:pStyle w:val="11"/>
            </w:pPr>
            <w:r>
              <w:t>75.06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8.89</w:t>
            </w:r>
          </w:p>
        </w:tc>
        <w:tc>
          <w:tcPr>
            <w:tcW w:w="2551" w:type="dxa"/>
            <w:vAlign w:val="center"/>
          </w:tcPr>
          <w:p>
            <w:pPr>
              <w:pStyle w:val="11"/>
            </w:pPr>
            <w:r>
              <w:t>8.89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59.89</w:t>
            </w:r>
          </w:p>
        </w:tc>
        <w:tc>
          <w:tcPr>
            <w:tcW w:w="2551" w:type="dxa"/>
            <w:vAlign w:val="center"/>
          </w:tcPr>
          <w:p>
            <w:pPr>
              <w:pStyle w:val="11"/>
            </w:pPr>
            <w:r>
              <w:t>59.89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20.17</w:t>
            </w:r>
          </w:p>
        </w:tc>
        <w:tc>
          <w:tcPr>
            <w:tcW w:w="2551" w:type="dxa"/>
            <w:vAlign w:val="center"/>
          </w:tcPr>
          <w:p>
            <w:pPr>
              <w:pStyle w:val="11"/>
            </w:pPr>
            <w:r>
              <w:t>20.17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10.09</w:t>
            </w:r>
          </w:p>
        </w:tc>
        <w:tc>
          <w:tcPr>
            <w:tcW w:w="2551" w:type="dxa"/>
            <w:vAlign w:val="center"/>
          </w:tcPr>
          <w:p>
            <w:pPr>
              <w:pStyle w:val="11"/>
            </w:pPr>
            <w:r>
              <w:t>10.09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1.53</w:t>
            </w:r>
          </w:p>
        </w:tc>
        <w:tc>
          <w:tcPr>
            <w:tcW w:w="2551" w:type="dxa"/>
            <w:vAlign w:val="center"/>
          </w:tcPr>
          <w:p>
            <w:pPr>
              <w:pStyle w:val="11"/>
            </w:pPr>
            <w:r>
              <w:t>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359003晋州市有线电视台</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晋州市有线电视台2026年单位预算信息公开情况说明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按照《中华人民共和国预算法》、《地方预决算公开操作规程》和《关于进一步推进预算公开工作的实施意见》规定，现将晋州市有线电视台2026年单位预算公开如下：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市域内各类新闻资讯的采集和编辑；宣传上级党委和政府的决策部署、中心工作及重点工作；宣传本地党委和政府的工作安排，传播本地政经资讯；向基层干部群众提供政务服务、生活服务、社会传播、教育培训等综合服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晋州市有线电视台</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财政性资金零补助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200.00万元，其中：一般公共预算收入200.00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晋州市有线电视台年度单位预算中支出预算的总体情况。2026年支出预算200.00万元，其中基本支出200.00万元，包括人员经费200.00万元和日常公用经费0.00万元；项目支出0.00万元，主要为无项目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2026年预算收支安排200.00万元，较2025年预算</w:t>
      </w:r>
      <w:r>
        <w:rPr>
          <w:rFonts w:hint="eastAsia"/>
          <w:lang w:val="en-US" w:eastAsia="zh-CN"/>
        </w:rPr>
        <w:t>减少98.79</w:t>
      </w:r>
      <w:r>
        <w:t>万元，其中：基本支出</w:t>
      </w:r>
      <w:r>
        <w:rPr>
          <w:rFonts w:hint="eastAsia"/>
          <w:lang w:val="en-US" w:eastAsia="zh-CN"/>
        </w:rPr>
        <w:t>减少98.79</w:t>
      </w:r>
      <w:r>
        <w:t>万元，主要为2026年削减基本支出总数。项目支出增加0.00万元，主要为无项目支出。预计下年使用的单位资金结余增加0.00万元。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w:t>
      </w:r>
      <w:r>
        <w:rPr>
          <w:rFonts w:hint="eastAsia"/>
          <w:lang w:val="en-US" w:eastAsia="zh-CN"/>
        </w:rPr>
        <w:t>0.00</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w:t>
      </w:r>
      <w:r>
        <w:rPr>
          <w:rFonts w:hint="eastAsia"/>
          <w:lang w:val="en-US" w:eastAsia="zh-CN"/>
        </w:rPr>
        <w:t>0.00</w:t>
      </w:r>
      <w:r>
        <w:t>万元，其中因公出国（境）费0.00万元；公务用车购置及运维费</w:t>
      </w:r>
      <w:r>
        <w:rPr>
          <w:rFonts w:hint="eastAsia"/>
          <w:lang w:val="en-US" w:eastAsia="zh-CN"/>
        </w:rPr>
        <w:t>0.00</w:t>
      </w:r>
      <w:r>
        <w:t>万元（其中：公务用车购置费为0.00万元，公务用车运维费</w:t>
      </w:r>
      <w:r>
        <w:rPr>
          <w:rFonts w:hint="eastAsia"/>
          <w:lang w:val="en-US" w:eastAsia="zh-CN"/>
        </w:rPr>
        <w:t>0.00</w:t>
      </w:r>
      <w:r>
        <w:t>万元)；公务接待费0.00万元。与2025年相比减少</w:t>
      </w:r>
      <w:r>
        <w:rPr>
          <w:rFonts w:hint="eastAsia"/>
          <w:lang w:val="en-US" w:eastAsia="zh-CN"/>
        </w:rPr>
        <w:t>2.00</w:t>
      </w:r>
      <w:r>
        <w:t>万元，增减变化的主要原因是</w:t>
      </w:r>
      <w:r>
        <w:rPr>
          <w:rFonts w:hint="eastAsia"/>
        </w:rPr>
        <w:t>无车辆无三公经费预算</w:t>
      </w:r>
      <w:r>
        <w:rPr>
          <w:rFonts w:hint="eastAsia"/>
          <w:lang w:eastAsia="zh-CN"/>
        </w:rPr>
        <w:t>。</w:t>
      </w:r>
      <w:bookmarkStart w:id="2" w:name="_GoBack"/>
      <w:bookmarkEnd w:id="2"/>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359003晋州市有线电视台</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晋州市有线电视台上年末固定资产金额为0.00万元（详见下表）。本年度拟购置固定资产总额为0.00万元，已按要求列入政府采购预算，详见政府采购预算表。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359003晋州市有线电视台</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A544194"/>
    <w:rsid w:val="6310434B"/>
    <w:rsid w:val="7209774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62</Pages>
  <Words>13527</Words>
  <Characters>16315</Characters>
  <TotalTime>0</TotalTime>
  <ScaleCrop>false</ScaleCrop>
  <LinksUpToDate>false</LinksUpToDate>
  <CharactersWithSpaces>16621</CharactersWithSpaces>
  <Application>WPS Office_11.1.0.11372_F1E327BC-269C-435d-A152-05C5408002CA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2026-02-13T13:41:00Z</dcterms:created>
  <dc:creator>kongtao</dc:creator>
  <cp:lastModifiedBy>kongtao</cp:lastModifiedBy>
  <dcterms:modified xsi:type="dcterms:W3CDTF">2026-02-28T08:13:10Z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B8A64467A338417D942CAE86401E3AE5</vt:lpwstr>
  </property>
</Properties>
</file>