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359晋州市广播电视台</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1103.38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1188.69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1103.38</w:t>
            </w:r>
          </w:p>
        </w:tc>
        <w:tc>
          <w:tcPr>
            <w:tcW w:w="4535" w:type="dxa"/>
            <w:vAlign w:val="center"/>
          </w:tcPr>
          <w:p>
            <w:pPr>
              <w:pStyle w:val="15"/>
            </w:pPr>
            <w:r>
              <w:t>本年支出合计</w:t>
            </w:r>
          </w:p>
        </w:tc>
        <w:tc>
          <w:tcPr>
            <w:tcW w:w="2126" w:type="dxa"/>
            <w:vAlign w:val="center"/>
          </w:tcPr>
          <w:p>
            <w:pPr>
              <w:pStyle w:val="16"/>
            </w:pPr>
            <w:r>
              <w:t>1188.69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85.31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1188.69</w:t>
            </w:r>
          </w:p>
        </w:tc>
        <w:tc>
          <w:tcPr>
            <w:tcW w:w="4535" w:type="dxa"/>
            <w:vAlign w:val="center"/>
          </w:tcPr>
          <w:p>
            <w:pPr>
              <w:pStyle w:val="15"/>
            </w:pPr>
            <w:r>
              <w:t>支出总计</w:t>
            </w:r>
          </w:p>
        </w:tc>
        <w:tc>
          <w:tcPr>
            <w:tcW w:w="2126" w:type="dxa"/>
            <w:vAlign w:val="center"/>
          </w:tcPr>
          <w:p>
            <w:pPr>
              <w:pStyle w:val="16"/>
            </w:pPr>
            <w:r>
              <w:t>1188.69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359晋州市广播电视台</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1188.69</w:t>
            </w:r>
          </w:p>
        </w:tc>
        <w:tc>
          <w:tcPr>
            <w:tcW w:w="1134" w:type="dxa"/>
            <w:vAlign w:val="center"/>
          </w:tcPr>
          <w:p>
            <w:pPr>
              <w:pStyle w:val="16"/>
            </w:pPr>
            <w:r>
              <w:t>1103.38</w:t>
            </w:r>
          </w:p>
        </w:tc>
        <w:tc>
          <w:tcPr>
            <w:tcW w:w="1134" w:type="dxa"/>
            <w:vAlign w:val="center"/>
          </w:tcPr>
          <w:p>
            <w:pPr>
              <w:pStyle w:val="16"/>
            </w:pPr>
            <w:r>
              <w:t>1103.38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1188.69</w:t>
            </w:r>
          </w:p>
        </w:tc>
        <w:tc>
          <w:tcPr>
            <w:tcW w:w="1134" w:type="dxa"/>
            <w:vAlign w:val="center"/>
          </w:tcPr>
          <w:p>
            <w:pPr>
              <w:pStyle w:val="12"/>
            </w:pPr>
            <w:r>
              <w:t>1103.38</w:t>
            </w:r>
          </w:p>
        </w:tc>
        <w:tc>
          <w:tcPr>
            <w:tcW w:w="1134" w:type="dxa"/>
            <w:vAlign w:val="center"/>
          </w:tcPr>
          <w:p>
            <w:pPr>
              <w:pStyle w:val="12"/>
            </w:pPr>
            <w:r>
              <w:t>1103.38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1152.83</w:t>
            </w:r>
          </w:p>
        </w:tc>
        <w:tc>
          <w:tcPr>
            <w:tcW w:w="1134" w:type="dxa"/>
            <w:vAlign w:val="center"/>
          </w:tcPr>
          <w:p>
            <w:pPr>
              <w:pStyle w:val="12"/>
            </w:pPr>
            <w:r>
              <w:t>1103.38</w:t>
            </w:r>
          </w:p>
        </w:tc>
        <w:tc>
          <w:tcPr>
            <w:tcW w:w="1134" w:type="dxa"/>
            <w:vAlign w:val="center"/>
          </w:tcPr>
          <w:p>
            <w:pPr>
              <w:pStyle w:val="12"/>
            </w:pPr>
            <w:r>
              <w:t>1103.38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1152.83</w:t>
            </w:r>
          </w:p>
        </w:tc>
        <w:tc>
          <w:tcPr>
            <w:tcW w:w="1134" w:type="dxa"/>
            <w:vAlign w:val="center"/>
          </w:tcPr>
          <w:p>
            <w:pPr>
              <w:pStyle w:val="12"/>
            </w:pPr>
            <w:r>
              <w:t>1103.38</w:t>
            </w:r>
          </w:p>
        </w:tc>
        <w:tc>
          <w:tcPr>
            <w:tcW w:w="1134" w:type="dxa"/>
            <w:vAlign w:val="center"/>
          </w:tcPr>
          <w:p>
            <w:pPr>
              <w:pStyle w:val="12"/>
            </w:pPr>
            <w:r>
              <w:t>1103.38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35.85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35.85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35.85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1188.69</w:t>
            </w:r>
          </w:p>
        </w:tc>
        <w:tc>
          <w:tcPr>
            <w:tcW w:w="1361" w:type="dxa"/>
            <w:vAlign w:val="center"/>
          </w:tcPr>
          <w:p>
            <w:pPr>
              <w:pStyle w:val="16"/>
            </w:pPr>
            <w:r>
              <w:t>614.87</w:t>
            </w:r>
          </w:p>
        </w:tc>
        <w:tc>
          <w:tcPr>
            <w:tcW w:w="1361" w:type="dxa"/>
            <w:vAlign w:val="center"/>
          </w:tcPr>
          <w:p>
            <w:pPr>
              <w:pStyle w:val="16"/>
            </w:pPr>
            <w:r>
              <w:t>573.82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1188.69</w:t>
            </w:r>
          </w:p>
        </w:tc>
        <w:tc>
          <w:tcPr>
            <w:tcW w:w="1361" w:type="dxa"/>
            <w:vAlign w:val="center"/>
          </w:tcPr>
          <w:p>
            <w:pPr>
              <w:pStyle w:val="12"/>
            </w:pPr>
            <w:r>
              <w:t>614.87</w:t>
            </w:r>
          </w:p>
        </w:tc>
        <w:tc>
          <w:tcPr>
            <w:tcW w:w="1361" w:type="dxa"/>
            <w:vAlign w:val="center"/>
          </w:tcPr>
          <w:p>
            <w:pPr>
              <w:pStyle w:val="12"/>
            </w:pPr>
            <w:r>
              <w:t>573.82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1152.83</w:t>
            </w:r>
          </w:p>
        </w:tc>
        <w:tc>
          <w:tcPr>
            <w:tcW w:w="1361" w:type="dxa"/>
            <w:vAlign w:val="center"/>
          </w:tcPr>
          <w:p>
            <w:pPr>
              <w:pStyle w:val="12"/>
            </w:pPr>
            <w:r>
              <w:t>614.87</w:t>
            </w:r>
          </w:p>
        </w:tc>
        <w:tc>
          <w:tcPr>
            <w:tcW w:w="1361" w:type="dxa"/>
            <w:vAlign w:val="center"/>
          </w:tcPr>
          <w:p>
            <w:pPr>
              <w:pStyle w:val="12"/>
            </w:pPr>
            <w:r>
              <w:t>537.96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1152.83</w:t>
            </w:r>
          </w:p>
        </w:tc>
        <w:tc>
          <w:tcPr>
            <w:tcW w:w="1361" w:type="dxa"/>
            <w:vAlign w:val="center"/>
          </w:tcPr>
          <w:p>
            <w:pPr>
              <w:pStyle w:val="12"/>
            </w:pPr>
            <w:r>
              <w:t>614.87</w:t>
            </w:r>
          </w:p>
        </w:tc>
        <w:tc>
          <w:tcPr>
            <w:tcW w:w="1361" w:type="dxa"/>
            <w:vAlign w:val="center"/>
          </w:tcPr>
          <w:p>
            <w:pPr>
              <w:pStyle w:val="12"/>
            </w:pPr>
            <w:r>
              <w:t>537.96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35.85</w:t>
            </w:r>
          </w:p>
        </w:tc>
        <w:tc>
          <w:tcPr>
            <w:tcW w:w="1361" w:type="dxa"/>
            <w:vAlign w:val="center"/>
          </w:tcPr>
          <w:p>
            <w:pPr>
              <w:pStyle w:val="12"/>
            </w:pPr>
          </w:p>
        </w:tc>
        <w:tc>
          <w:tcPr>
            <w:tcW w:w="1361" w:type="dxa"/>
            <w:vAlign w:val="center"/>
          </w:tcPr>
          <w:p>
            <w:pPr>
              <w:pStyle w:val="12"/>
            </w:pPr>
            <w:r>
              <w:t>35.85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35.85</w:t>
            </w:r>
          </w:p>
        </w:tc>
        <w:tc>
          <w:tcPr>
            <w:tcW w:w="1361" w:type="dxa"/>
            <w:vAlign w:val="center"/>
          </w:tcPr>
          <w:p>
            <w:pPr>
              <w:pStyle w:val="12"/>
            </w:pPr>
          </w:p>
        </w:tc>
        <w:tc>
          <w:tcPr>
            <w:tcW w:w="1361" w:type="dxa"/>
            <w:vAlign w:val="center"/>
          </w:tcPr>
          <w:p>
            <w:pPr>
              <w:pStyle w:val="12"/>
            </w:pPr>
            <w:r>
              <w:t>35.85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1103.38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1188.69</w:t>
            </w:r>
          </w:p>
        </w:tc>
        <w:tc>
          <w:tcPr>
            <w:tcW w:w="1474" w:type="dxa"/>
            <w:vAlign w:val="center"/>
          </w:tcPr>
          <w:p>
            <w:pPr>
              <w:pStyle w:val="12"/>
            </w:pPr>
            <w:r>
              <w:t>1188.69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1103.38</w:t>
            </w:r>
          </w:p>
        </w:tc>
        <w:tc>
          <w:tcPr>
            <w:tcW w:w="3402" w:type="dxa"/>
            <w:vAlign w:val="center"/>
          </w:tcPr>
          <w:p>
            <w:pPr>
              <w:pStyle w:val="15"/>
            </w:pPr>
            <w:r>
              <w:t>本年支出合计</w:t>
            </w:r>
          </w:p>
        </w:tc>
        <w:tc>
          <w:tcPr>
            <w:tcW w:w="1474" w:type="dxa"/>
            <w:vAlign w:val="center"/>
          </w:tcPr>
          <w:p>
            <w:pPr>
              <w:pStyle w:val="16"/>
            </w:pPr>
            <w:r>
              <w:t>1188.69</w:t>
            </w:r>
          </w:p>
        </w:tc>
        <w:tc>
          <w:tcPr>
            <w:tcW w:w="1474" w:type="dxa"/>
            <w:vAlign w:val="center"/>
          </w:tcPr>
          <w:p>
            <w:pPr>
              <w:pStyle w:val="16"/>
            </w:pPr>
            <w:r>
              <w:t>1188.69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85.31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85.31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1188.69</w:t>
            </w:r>
          </w:p>
        </w:tc>
        <w:tc>
          <w:tcPr>
            <w:tcW w:w="3402" w:type="dxa"/>
            <w:vAlign w:val="center"/>
          </w:tcPr>
          <w:p>
            <w:pPr>
              <w:pStyle w:val="15"/>
            </w:pPr>
            <w:r>
              <w:t>支出总计</w:t>
            </w:r>
          </w:p>
        </w:tc>
        <w:tc>
          <w:tcPr>
            <w:tcW w:w="1474" w:type="dxa"/>
            <w:vAlign w:val="center"/>
          </w:tcPr>
          <w:p>
            <w:pPr>
              <w:pStyle w:val="16"/>
            </w:pPr>
            <w:r>
              <w:t>1188.69</w:t>
            </w:r>
          </w:p>
        </w:tc>
        <w:tc>
          <w:tcPr>
            <w:tcW w:w="1474" w:type="dxa"/>
            <w:vAlign w:val="center"/>
          </w:tcPr>
          <w:p>
            <w:pPr>
              <w:pStyle w:val="16"/>
            </w:pPr>
            <w:r>
              <w:t>1188.69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1188.69</w:t>
            </w:r>
          </w:p>
        </w:tc>
        <w:tc>
          <w:tcPr>
            <w:tcW w:w="2551" w:type="dxa"/>
            <w:vAlign w:val="center"/>
          </w:tcPr>
          <w:p>
            <w:pPr>
              <w:pStyle w:val="16"/>
            </w:pPr>
            <w:r>
              <w:t>614.87</w:t>
            </w:r>
          </w:p>
        </w:tc>
        <w:tc>
          <w:tcPr>
            <w:tcW w:w="2551" w:type="dxa"/>
            <w:vAlign w:val="center"/>
          </w:tcPr>
          <w:p>
            <w:pPr>
              <w:pStyle w:val="16"/>
            </w:pPr>
            <w:r>
              <w:t>573.82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1188.69</w:t>
            </w:r>
          </w:p>
        </w:tc>
        <w:tc>
          <w:tcPr>
            <w:tcW w:w="2551" w:type="dxa"/>
            <w:vAlign w:val="center"/>
          </w:tcPr>
          <w:p>
            <w:pPr>
              <w:pStyle w:val="12"/>
            </w:pPr>
            <w:r>
              <w:t>614.87</w:t>
            </w:r>
          </w:p>
        </w:tc>
        <w:tc>
          <w:tcPr>
            <w:tcW w:w="2551" w:type="dxa"/>
            <w:vAlign w:val="center"/>
          </w:tcPr>
          <w:p>
            <w:pPr>
              <w:pStyle w:val="12"/>
            </w:pPr>
            <w:r>
              <w:t>573.82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1152.83</w:t>
            </w:r>
          </w:p>
        </w:tc>
        <w:tc>
          <w:tcPr>
            <w:tcW w:w="2551" w:type="dxa"/>
            <w:vAlign w:val="center"/>
          </w:tcPr>
          <w:p>
            <w:pPr>
              <w:pStyle w:val="12"/>
            </w:pPr>
            <w:r>
              <w:t>614.87</w:t>
            </w:r>
          </w:p>
        </w:tc>
        <w:tc>
          <w:tcPr>
            <w:tcW w:w="2551" w:type="dxa"/>
            <w:vAlign w:val="center"/>
          </w:tcPr>
          <w:p>
            <w:pPr>
              <w:pStyle w:val="12"/>
            </w:pPr>
            <w:r>
              <w:t>537.96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1152.83</w:t>
            </w:r>
          </w:p>
        </w:tc>
        <w:tc>
          <w:tcPr>
            <w:tcW w:w="2551" w:type="dxa"/>
            <w:vAlign w:val="center"/>
          </w:tcPr>
          <w:p>
            <w:pPr>
              <w:pStyle w:val="12"/>
            </w:pPr>
            <w:r>
              <w:t>614.87</w:t>
            </w:r>
          </w:p>
        </w:tc>
        <w:tc>
          <w:tcPr>
            <w:tcW w:w="2551" w:type="dxa"/>
            <w:vAlign w:val="center"/>
          </w:tcPr>
          <w:p>
            <w:pPr>
              <w:pStyle w:val="12"/>
            </w:pPr>
            <w:r>
              <w:t>537.96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35.85</w:t>
            </w:r>
          </w:p>
        </w:tc>
        <w:tc>
          <w:tcPr>
            <w:tcW w:w="2551" w:type="dxa"/>
            <w:vAlign w:val="center"/>
          </w:tcPr>
          <w:p>
            <w:pPr>
              <w:pStyle w:val="12"/>
            </w:pPr>
          </w:p>
        </w:tc>
        <w:tc>
          <w:tcPr>
            <w:tcW w:w="2551" w:type="dxa"/>
            <w:vAlign w:val="center"/>
          </w:tcPr>
          <w:p>
            <w:pPr>
              <w:pStyle w:val="12"/>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35.85</w:t>
            </w:r>
          </w:p>
        </w:tc>
        <w:tc>
          <w:tcPr>
            <w:tcW w:w="2551" w:type="dxa"/>
            <w:vAlign w:val="center"/>
          </w:tcPr>
          <w:p>
            <w:pPr>
              <w:pStyle w:val="12"/>
            </w:pPr>
          </w:p>
        </w:tc>
        <w:tc>
          <w:tcPr>
            <w:tcW w:w="2551" w:type="dxa"/>
            <w:vAlign w:val="center"/>
          </w:tcPr>
          <w:p>
            <w:pPr>
              <w:pStyle w:val="12"/>
            </w:pPr>
            <w:r>
              <w:t>35.85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614.87</w:t>
            </w:r>
          </w:p>
        </w:tc>
        <w:tc>
          <w:tcPr>
            <w:tcW w:w="2551" w:type="dxa"/>
            <w:vAlign w:val="center"/>
          </w:tcPr>
          <w:p>
            <w:pPr>
              <w:pStyle w:val="16"/>
            </w:pPr>
            <w:r>
              <w:t>571.92</w:t>
            </w:r>
          </w:p>
        </w:tc>
        <w:tc>
          <w:tcPr>
            <w:tcW w:w="2551" w:type="dxa"/>
            <w:vAlign w:val="center"/>
          </w:tcPr>
          <w:p>
            <w:pPr>
              <w:pStyle w:val="16"/>
            </w:pPr>
            <w:r>
              <w:t>42.95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516.78</w:t>
            </w:r>
          </w:p>
        </w:tc>
        <w:tc>
          <w:tcPr>
            <w:tcW w:w="2551" w:type="dxa"/>
            <w:vAlign w:val="center"/>
          </w:tcPr>
          <w:p>
            <w:pPr>
              <w:pStyle w:val="12"/>
            </w:pPr>
            <w:r>
              <w:t>516.78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191.52</w:t>
            </w:r>
          </w:p>
        </w:tc>
        <w:tc>
          <w:tcPr>
            <w:tcW w:w="2551" w:type="dxa"/>
            <w:vAlign w:val="center"/>
          </w:tcPr>
          <w:p>
            <w:pPr>
              <w:pStyle w:val="12"/>
            </w:pPr>
            <w:r>
              <w:t>191.52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25.58</w:t>
            </w:r>
          </w:p>
        </w:tc>
        <w:tc>
          <w:tcPr>
            <w:tcW w:w="2551" w:type="dxa"/>
            <w:vAlign w:val="center"/>
          </w:tcPr>
          <w:p>
            <w:pPr>
              <w:pStyle w:val="12"/>
            </w:pPr>
            <w:r>
              <w:t>25.58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157.92</w:t>
            </w:r>
          </w:p>
        </w:tc>
        <w:tc>
          <w:tcPr>
            <w:tcW w:w="2551" w:type="dxa"/>
            <w:vAlign w:val="center"/>
          </w:tcPr>
          <w:p>
            <w:pPr>
              <w:pStyle w:val="12"/>
            </w:pPr>
            <w:r>
              <w:t>157.92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52.63</w:t>
            </w:r>
          </w:p>
        </w:tc>
        <w:tc>
          <w:tcPr>
            <w:tcW w:w="2551" w:type="dxa"/>
            <w:vAlign w:val="center"/>
          </w:tcPr>
          <w:p>
            <w:pPr>
              <w:pStyle w:val="12"/>
            </w:pPr>
            <w:r>
              <w:t>52.63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10.09</w:t>
            </w:r>
          </w:p>
        </w:tc>
        <w:tc>
          <w:tcPr>
            <w:tcW w:w="2551" w:type="dxa"/>
            <w:vAlign w:val="center"/>
          </w:tcPr>
          <w:p>
            <w:pPr>
              <w:pStyle w:val="12"/>
            </w:pPr>
            <w:r>
              <w:t>10.09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22.86</w:t>
            </w:r>
          </w:p>
        </w:tc>
        <w:tc>
          <w:tcPr>
            <w:tcW w:w="2551" w:type="dxa"/>
            <w:vAlign w:val="center"/>
          </w:tcPr>
          <w:p>
            <w:pPr>
              <w:pStyle w:val="12"/>
            </w:pPr>
            <w:r>
              <w:t>22.86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7.47</w:t>
            </w:r>
          </w:p>
        </w:tc>
        <w:tc>
          <w:tcPr>
            <w:tcW w:w="2551" w:type="dxa"/>
            <w:vAlign w:val="center"/>
          </w:tcPr>
          <w:p>
            <w:pPr>
              <w:pStyle w:val="12"/>
            </w:pPr>
            <w:r>
              <w:t>7.47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3.89</w:t>
            </w:r>
          </w:p>
        </w:tc>
        <w:tc>
          <w:tcPr>
            <w:tcW w:w="2551" w:type="dxa"/>
            <w:vAlign w:val="center"/>
          </w:tcPr>
          <w:p>
            <w:pPr>
              <w:pStyle w:val="12"/>
            </w:pPr>
            <w:r>
              <w:t>3.89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42.53</w:t>
            </w:r>
          </w:p>
        </w:tc>
        <w:tc>
          <w:tcPr>
            <w:tcW w:w="2551" w:type="dxa"/>
            <w:vAlign w:val="center"/>
          </w:tcPr>
          <w:p>
            <w:pPr>
              <w:pStyle w:val="12"/>
            </w:pPr>
            <w:r>
              <w:t>42.53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42.95</w:t>
            </w:r>
          </w:p>
        </w:tc>
        <w:tc>
          <w:tcPr>
            <w:tcW w:w="2551" w:type="dxa"/>
            <w:vAlign w:val="center"/>
          </w:tcPr>
          <w:p>
            <w:pPr>
              <w:pStyle w:val="12"/>
            </w:pPr>
          </w:p>
        </w:tc>
        <w:tc>
          <w:tcPr>
            <w:tcW w:w="2551" w:type="dxa"/>
            <w:vAlign w:val="center"/>
          </w:tcPr>
          <w:p>
            <w:pPr>
              <w:pStyle w:val="12"/>
            </w:pPr>
            <w:r>
              <w:t>42.95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3.22</w:t>
            </w:r>
          </w:p>
        </w:tc>
        <w:tc>
          <w:tcPr>
            <w:tcW w:w="2551" w:type="dxa"/>
            <w:vAlign w:val="center"/>
          </w:tcPr>
          <w:p>
            <w:pPr>
              <w:pStyle w:val="12"/>
            </w:pPr>
          </w:p>
        </w:tc>
        <w:tc>
          <w:tcPr>
            <w:tcW w:w="2551" w:type="dxa"/>
            <w:vAlign w:val="center"/>
          </w:tcPr>
          <w:p>
            <w:pPr>
              <w:pStyle w:val="12"/>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0.14</w:t>
            </w:r>
          </w:p>
        </w:tc>
        <w:tc>
          <w:tcPr>
            <w:tcW w:w="2551" w:type="dxa"/>
            <w:vAlign w:val="center"/>
          </w:tcPr>
          <w:p>
            <w:pPr>
              <w:pStyle w:val="12"/>
            </w:pPr>
          </w:p>
        </w:tc>
        <w:tc>
          <w:tcPr>
            <w:tcW w:w="2551"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1.68</w:t>
            </w:r>
          </w:p>
        </w:tc>
        <w:tc>
          <w:tcPr>
            <w:tcW w:w="2551" w:type="dxa"/>
            <w:vAlign w:val="center"/>
          </w:tcPr>
          <w:p>
            <w:pPr>
              <w:pStyle w:val="12"/>
            </w:pPr>
          </w:p>
        </w:tc>
        <w:tc>
          <w:tcPr>
            <w:tcW w:w="2551" w:type="dxa"/>
            <w:vAlign w:val="center"/>
          </w:tcPr>
          <w:p>
            <w:pPr>
              <w:pStyle w:val="12"/>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11.25</w:t>
            </w:r>
          </w:p>
        </w:tc>
        <w:tc>
          <w:tcPr>
            <w:tcW w:w="2551" w:type="dxa"/>
            <w:vAlign w:val="center"/>
          </w:tcPr>
          <w:p>
            <w:pPr>
              <w:pStyle w:val="12"/>
            </w:pPr>
          </w:p>
        </w:tc>
        <w:tc>
          <w:tcPr>
            <w:tcW w:w="2551" w:type="dxa"/>
            <w:vAlign w:val="center"/>
          </w:tcPr>
          <w:p>
            <w:pPr>
              <w:pStyle w:val="12"/>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2.43</w:t>
            </w:r>
          </w:p>
        </w:tc>
        <w:tc>
          <w:tcPr>
            <w:tcW w:w="2551" w:type="dxa"/>
            <w:vAlign w:val="center"/>
          </w:tcPr>
          <w:p>
            <w:pPr>
              <w:pStyle w:val="12"/>
            </w:pPr>
          </w:p>
        </w:tc>
        <w:tc>
          <w:tcPr>
            <w:tcW w:w="2551" w:type="dxa"/>
            <w:vAlign w:val="center"/>
          </w:tcPr>
          <w:p>
            <w:pPr>
              <w:pStyle w:val="12"/>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14.68</w:t>
            </w:r>
          </w:p>
        </w:tc>
        <w:tc>
          <w:tcPr>
            <w:tcW w:w="2551" w:type="dxa"/>
            <w:vAlign w:val="center"/>
          </w:tcPr>
          <w:p>
            <w:pPr>
              <w:pStyle w:val="12"/>
            </w:pPr>
          </w:p>
        </w:tc>
        <w:tc>
          <w:tcPr>
            <w:tcW w:w="2551" w:type="dxa"/>
            <w:vAlign w:val="center"/>
          </w:tcPr>
          <w:p>
            <w:pPr>
              <w:pStyle w:val="12"/>
            </w:pPr>
            <w:r>
              <w:t>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6.65</w:t>
            </w:r>
          </w:p>
        </w:tc>
        <w:tc>
          <w:tcPr>
            <w:tcW w:w="2551" w:type="dxa"/>
            <w:vAlign w:val="center"/>
          </w:tcPr>
          <w:p>
            <w:pPr>
              <w:pStyle w:val="12"/>
            </w:pPr>
          </w:p>
        </w:tc>
        <w:tc>
          <w:tcPr>
            <w:tcW w:w="2551" w:type="dxa"/>
            <w:vAlign w:val="center"/>
          </w:tcPr>
          <w:p>
            <w:pPr>
              <w:pStyle w:val="12"/>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55.14</w:t>
            </w:r>
          </w:p>
        </w:tc>
        <w:tc>
          <w:tcPr>
            <w:tcW w:w="2551" w:type="dxa"/>
            <w:vAlign w:val="center"/>
          </w:tcPr>
          <w:p>
            <w:pPr>
              <w:pStyle w:val="12"/>
            </w:pPr>
            <w:r>
              <w:t>55.14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53.02</w:t>
            </w:r>
          </w:p>
        </w:tc>
        <w:tc>
          <w:tcPr>
            <w:tcW w:w="2551" w:type="dxa"/>
            <w:vAlign w:val="center"/>
          </w:tcPr>
          <w:p>
            <w:pPr>
              <w:pStyle w:val="12"/>
            </w:pPr>
            <w:r>
              <w:t>53.02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359晋州市广播电视台</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1.94</w:t>
            </w:r>
          </w:p>
        </w:tc>
        <w:tc>
          <w:tcPr>
            <w:tcW w:w="2381" w:type="dxa"/>
            <w:vAlign w:val="center"/>
          </w:tcPr>
          <w:p>
            <w:pPr>
              <w:pStyle w:val="16"/>
            </w:pPr>
            <w:r>
              <w:t>1.94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晋州市广播电视台2026年部门预算信息公开情况说明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晋州市广播电视台2026年部门预算信息公开情况说明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按照《中华人民共和国预算法》、《地方预决算公开操作规程》和《关于进一步推进预算公开工作的实施意见》规定，现将晋州市广播电视台2026年部门预算公开如下：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1、负责市域内各类新闻资讯的采集和编辑。</w:t>
      </w:r>
    </w:p>
    <w:p>
      <w:pPr>
        <w:pStyle w:val="18"/>
      </w:pPr>
      <w:r>
        <w:t>2、负责广播电视设备的维护与保养、管理与更新，确保设备正常运行。</w:t>
      </w:r>
    </w:p>
    <w:p>
      <w:pPr>
        <w:pStyle w:val="18"/>
      </w:pPr>
      <w:r>
        <w:t>3、宣传上级党委和政府的决策部署、中心工作及重点工作。</w:t>
      </w:r>
    </w:p>
    <w:p>
      <w:pPr>
        <w:pStyle w:val="18"/>
      </w:pPr>
      <w:r>
        <w:t>4、宣传本地党委和政府的工作安排，传播本地政经资讯。</w:t>
      </w:r>
    </w:p>
    <w:p>
      <w:pPr>
        <w:pStyle w:val="18"/>
      </w:pPr>
      <w:r>
        <w:t>5、严格审稿、审带、重播、重审制度。</w:t>
      </w:r>
    </w:p>
    <w:p>
      <w:pPr>
        <w:pStyle w:val="18"/>
      </w:pPr>
      <w:r>
        <w:t>6、各类资料登记造册，分类保管。</w:t>
      </w:r>
    </w:p>
    <w:p>
      <w:pPr>
        <w:pStyle w:val="18"/>
      </w:pPr>
      <w:r>
        <w:t>7、向基层干部群众提供政务服务、生活服务、社会传播、教育培训等综合服务。</w:t>
      </w:r>
    </w:p>
    <w:p>
      <w:pPr>
        <w:pStyle w:val="18"/>
      </w:pPr>
      <w:r>
        <w:t>8、完成市委、市政府交办的其他任务。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晋州市广播电视台本级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晋州市有线电视台</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按照预算管理有关规定，目前部门预算的编制实行综合预算管理，即全部收入和支出都反映在预算中。晋州市广播电视台机关及所属事业单位的收支包含在部门预算中。</w:t>
      </w:r>
    </w:p>
    <w:p>
      <w:pPr>
        <w:pStyle w:val="19"/>
      </w:pPr>
      <w:r>
        <w:t>1、收入说明</w:t>
      </w:r>
    </w:p>
    <w:p>
      <w:pPr>
        <w:pStyle w:val="19"/>
      </w:pPr>
      <w:r>
        <w:t>反映本部门当年全部收入。2026年预算收入1188.69万元，其中：一般公共预算收入1103.38万元，基金预算收入0.00万元，国有资本经营预算收入0.00万元，财政专户核拨收入0.00万元，单位资金收入0.00万元，上年结转结余85.31万元。</w:t>
      </w:r>
    </w:p>
    <w:p>
      <w:pPr>
        <w:pStyle w:val="19"/>
      </w:pPr>
      <w:r>
        <w:t>2、支出说明</w:t>
      </w:r>
    </w:p>
    <w:p>
      <w:pPr>
        <w:pStyle w:val="19"/>
      </w:pPr>
      <w:r>
        <w:t>收支预算总表支出栏、基本支出表、项目支出表按经济分类和支出功能分类科目编制，反映晋州市广播电视台年度部门预算中支出预算的总体情况。2026年支出预算1188.69万元，其中基本支出614.87万元，包括人员经费571.92万元和日常公用经费42.95万元；项目支出573.82万元，主要为其他临时用工、年度运营经费、景观塔电费、高速口显示屏电费、冀财教[2024]152号提前下达2025年省级公共文化服务体系建设补助资金（奖励项目经费）、冀财教[2024]113号提前下达2025年中央支持地方公共文化服务体系建设补助资金（无线覆盖数字运行维护费）、冀财教[2024]113号提前下达2025年中央支持地方公共文化服务体系建设补助资金（奖励项目经费）、冀财教[2025]115号提前下达2026年中央支持地方公共文化服务体系建设补助资金（中央广播节目无线覆盖数字运行维护费）、冀财教[2025]44号下达2025年中央支持地方公共文化服务体系建设补助资金；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2026年预算收支安排1188.69万元，较2025年预算</w:t>
      </w:r>
      <w:r>
        <w:rPr>
          <w:rFonts w:hint="eastAsia"/>
          <w:lang w:val="en-US" w:eastAsia="zh-CN"/>
        </w:rPr>
        <w:t>减少23.6</w:t>
      </w:r>
      <w:r>
        <w:t>万元，其中：基本支出</w:t>
      </w:r>
      <w:r>
        <w:rPr>
          <w:rFonts w:hint="eastAsia"/>
          <w:lang w:val="en-US" w:eastAsia="zh-CN"/>
        </w:rPr>
        <w:t>减少42.73</w:t>
      </w:r>
      <w:r>
        <w:t>万元，主要为人员有退休和调出，相应基本支出减少。项目支出增加19.13万元，主要为有2025年结转项目，无新增项目。预计下年使用的单位资金结余增加0.00万元。</w:t>
      </w:r>
    </w:p>
    <w:p>
      <w:pPr>
        <w:keepNext w:val="0"/>
        <w:keepLines w:val="0"/>
        <w:pageBreakBefore w:val="0"/>
        <w:widowControl/>
        <w:kinsoku/>
        <w:wordWrap/>
        <w:overflowPunct/>
        <w:topLinePunct w:val="0"/>
        <w:autoSpaceDE/>
        <w:autoSpaceDN/>
        <w:bidi w:val="0"/>
        <w:adjustRightInd/>
        <w:snapToGrid w:val="0"/>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val="0"/>
        <w:spacing w:line="240" w:lineRule="auto"/>
        <w:textAlignment w:val="auto"/>
      </w:pPr>
      <w:r>
        <w:t>2026年，我</w:t>
      </w:r>
      <w:r>
        <w:rPr>
          <w:rFonts w:hint="eastAsia"/>
          <w:lang w:val="en-US" w:eastAsia="zh-CN"/>
        </w:rPr>
        <w:t>部门</w:t>
      </w:r>
      <w:r>
        <w:t>机关运行经费共计安排42.95万元，主要用于日常维修、办公用房水电费、办公用房取暖费、办公用房物业管理费等日常运行支出。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bookmarkStart w:id="20" w:name="_GoBack"/>
      <w:bookmarkEnd w:id="20"/>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2026年，我单位财政拨款“三公”经费预算安排1.94万元，其中因公出国（境）费0.00万元；公务用车购置及运维费1.94万元（其中：公务用车购置费为0.00万元，公务用车运维费1.94万元)；公务接待费0.00万元。与2025年相比减少</w:t>
      </w:r>
      <w:r>
        <w:rPr>
          <w:rFonts w:hint="eastAsia"/>
          <w:lang w:val="en-US" w:eastAsia="zh-CN"/>
        </w:rPr>
        <w:t>2.06</w:t>
      </w:r>
      <w:r>
        <w:t>万元，增减变化的主要原因是</w:t>
      </w:r>
      <w:r>
        <w:rPr>
          <w:rFonts w:hint="eastAsia"/>
        </w:rPr>
        <w:t>359003单位无车辆削减三公经费2万元，359001单位减少经费0.06万元。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紧围绕市委、市政府中心工作，充分发挥党媒喉舌作用，确保全市重点工作宣传到位，把党和政府的声音传播到位。认真做好市里安排的学习教育活动，让活动引领融媒体中心工作，通过理论学习与业务技能培训相结合、送出去与请进来相结合的措施，督促广电从业人员学业务、钻技术、比作品，培养一支政治坚定、业务精湛、作风优良、能打硬仗的广电队伍。时刻绷紧安全这根弦，围绕安全播出，加大投入、加大技改、加大责任追究，确保栏目节目录制、剪辑、播出无差错、无事故。利用整合的新媒体探索创新创收增收路径和渠道，寻求广电发展新办法、新资源、新优势，强化晋州广电传播力和影响力。加强与中央、省、石家庄市电视台的联系沟通，筛选、圈定典型新闻素材线索，及时拍摄报送，向更高的平台宣传推介晋州。围绕节目编排、栏目设计和节目质量，抓好微电影拍摄、短视频、专题片、宣传片制作推送；拓宽创收渠道，整合广告平台，缓解人员工资发放压力。</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1、广播电视节目制作播出：全年制作播出新闻2200篇以上，其中时政新闻1200篇，社会新闻1000篇，上送新闻70篇，广播新闻用稿1600篇以上。</w:t>
      </w:r>
    </w:p>
    <w:p>
      <w:pPr>
        <w:pStyle w:val="23"/>
      </w:pPr>
      <w:r>
        <w:t>绩效目标：全年制作播出新闻2200篇以上。 </w:t>
      </w:r>
    </w:p>
    <w:p>
      <w:pPr>
        <w:pStyle w:val="23"/>
      </w:pPr>
      <w:r>
        <w:t>绩效指标：播出新闻目标计划完成率≥85%。</w:t>
      </w:r>
    </w:p>
    <w:p>
      <w:pPr>
        <w:pStyle w:val="23"/>
      </w:pPr>
      <w:r>
        <w:t>2、安全播出管理：加大责任追究，确保新闻录制、剪辑、播出无差错、无事故。</w:t>
      </w:r>
    </w:p>
    <w:p>
      <w:pPr>
        <w:pStyle w:val="23"/>
      </w:pPr>
      <w:r>
        <w:t>绩效目标：全年安全播出新闻稿件无事故。</w:t>
      </w:r>
    </w:p>
    <w:p>
      <w:pPr>
        <w:pStyle w:val="23"/>
      </w:pPr>
      <w:r>
        <w:t>绩效指标：全年播出稿件达标率≥90%。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1、2026年进行融媒体中心管理体制改革，实施绩效考核，完善预算绩效管理制度、资金管理办法、工作保障制度等，为全年预算绩效目标的实现奠定制度基础。</w:t>
      </w:r>
    </w:p>
    <w:p>
      <w:pPr>
        <w:pStyle w:val="24"/>
      </w:pPr>
    </w:p>
    <w:p>
      <w:pPr>
        <w:pStyle w:val="24"/>
      </w:pPr>
      <w:r>
        <w:t>2、加强支出管理。通过优化支出结构、编细编实预算、加快履行政府采购手续、尽快启动项目、及时支付资金、按规定及时下达资金等多种措施，确保支出进度达标。</w:t>
      </w:r>
    </w:p>
    <w:p>
      <w:pPr>
        <w:pStyle w:val="24"/>
      </w:pPr>
    </w:p>
    <w:p>
      <w:pPr>
        <w:pStyle w:val="24"/>
      </w:pPr>
      <w:r>
        <w:t>3、加强绩效运行监控。按要求开展绩效运行监控，发现问题及时采取措施，确保绩效目标如期保质实现。</w:t>
      </w:r>
    </w:p>
    <w:p>
      <w:pPr>
        <w:pStyle w:val="24"/>
      </w:pPr>
    </w:p>
    <w:p>
      <w:pPr>
        <w:pStyle w:val="24"/>
      </w:pPr>
      <w:r>
        <w:t>4、做好绩效自评。按要求开展上年度部门预算绩效自评和重点评价工作，对评价中发现的问题及时整改，调整优化支出结构，提高财政资金使用效益。</w:t>
      </w:r>
    </w:p>
    <w:p>
      <w:pPr>
        <w:pStyle w:val="24"/>
      </w:pPr>
    </w:p>
    <w:p>
      <w:pPr>
        <w:pStyle w:val="24"/>
      </w:pPr>
      <w:r>
        <w:t>5、规范财务资产管理。完善财务管理制度，严格审批程序，加强固定资产登记、使用和报废处置管理，做到支出合理，物尽其用。</w:t>
      </w:r>
    </w:p>
    <w:p>
      <w:pPr>
        <w:pStyle w:val="24"/>
      </w:pP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p>
    <w:p>
      <w:pPr>
        <w:pStyle w:val="24"/>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1、高速口显示屏电费绩效目标表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13018326P000328101307</w:t>
            </w:r>
          </w:p>
        </w:tc>
        <w:tc>
          <w:tcPr>
            <w:tcW w:w="2835" w:type="dxa"/>
            <w:vAlign w:val="center"/>
          </w:tcPr>
          <w:p>
            <w:pPr>
              <w:pStyle w:val="11"/>
            </w:pPr>
            <w:r>
              <w:t>项目名称</w:t>
            </w:r>
          </w:p>
        </w:tc>
        <w:tc>
          <w:tcPr>
            <w:tcW w:w="6095" w:type="dxa"/>
            <w:gridSpan w:val="3"/>
            <w:vAlign w:val="center"/>
          </w:tcPr>
          <w:p>
            <w:pPr>
              <w:pStyle w:val="13"/>
            </w:pPr>
            <w:r>
              <w:t>高速口显示屏电费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用于缴纳高速口显示屏相应电费。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1.保证高速口显示屏全年按要求播放清晰、完整视频画面。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视频播放天数</w:t>
            </w:r>
          </w:p>
        </w:tc>
        <w:tc>
          <w:tcPr>
            <w:tcW w:w="5386" w:type="dxa"/>
            <w:vAlign w:val="center"/>
          </w:tcPr>
          <w:p>
            <w:pPr>
              <w:pStyle w:val="13"/>
            </w:pPr>
            <w:r>
              <w:t>视频播放天数</w:t>
            </w:r>
          </w:p>
        </w:tc>
        <w:tc>
          <w:tcPr>
            <w:tcW w:w="2268" w:type="dxa"/>
            <w:vAlign w:val="center"/>
          </w:tcPr>
          <w:p>
            <w:pPr>
              <w:pStyle w:val="13"/>
            </w:pPr>
            <w:r>
              <w:t>365天</w:t>
            </w:r>
          </w:p>
        </w:tc>
        <w:tc>
          <w:tcPr>
            <w:tcW w:w="1276" w:type="dxa"/>
            <w:vAlign w:val="center"/>
          </w:tcPr>
          <w:p>
            <w:pPr>
              <w:pStyle w:val="13"/>
            </w:pPr>
            <w:r>
              <w:t>关于晋州高速路口全彩艺术雕塑异形显示屏电费的请示</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播放画面清晰完好占比</w:t>
            </w:r>
          </w:p>
        </w:tc>
        <w:tc>
          <w:tcPr>
            <w:tcW w:w="5386" w:type="dxa"/>
            <w:vAlign w:val="center"/>
          </w:tcPr>
          <w:p>
            <w:pPr>
              <w:pStyle w:val="13"/>
            </w:pPr>
            <w:r>
              <w:t>播放画面清晰完好占比</w:t>
            </w:r>
          </w:p>
        </w:tc>
        <w:tc>
          <w:tcPr>
            <w:tcW w:w="2268" w:type="dxa"/>
            <w:vAlign w:val="center"/>
          </w:tcPr>
          <w:p>
            <w:pPr>
              <w:pStyle w:val="13"/>
            </w:pPr>
            <w:r>
              <w:t>≥60%</w:t>
            </w:r>
          </w:p>
        </w:tc>
        <w:tc>
          <w:tcPr>
            <w:tcW w:w="1276" w:type="dxa"/>
            <w:vAlign w:val="center"/>
          </w:tcPr>
          <w:p>
            <w:pPr>
              <w:pStyle w:val="13"/>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播放视频画面及时率</w:t>
            </w:r>
          </w:p>
        </w:tc>
        <w:tc>
          <w:tcPr>
            <w:tcW w:w="5386" w:type="dxa"/>
            <w:vAlign w:val="center"/>
          </w:tcPr>
          <w:p>
            <w:pPr>
              <w:pStyle w:val="13"/>
            </w:pPr>
            <w:r>
              <w:t>播放视频画面及时率</w:t>
            </w:r>
          </w:p>
        </w:tc>
        <w:tc>
          <w:tcPr>
            <w:tcW w:w="2268" w:type="dxa"/>
            <w:vAlign w:val="center"/>
          </w:tcPr>
          <w:p>
            <w:pPr>
              <w:pStyle w:val="13"/>
            </w:pPr>
            <w:r>
              <w:t>100%</w:t>
            </w:r>
          </w:p>
        </w:tc>
        <w:tc>
          <w:tcPr>
            <w:tcW w:w="1276" w:type="dxa"/>
            <w:vAlign w:val="center"/>
          </w:tcPr>
          <w:p>
            <w:pPr>
              <w:pStyle w:val="13"/>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每年消耗电量成本控制</w:t>
            </w:r>
          </w:p>
        </w:tc>
        <w:tc>
          <w:tcPr>
            <w:tcW w:w="5386" w:type="dxa"/>
            <w:vAlign w:val="center"/>
          </w:tcPr>
          <w:p>
            <w:pPr>
              <w:pStyle w:val="13"/>
            </w:pPr>
            <w:r>
              <w:t>每年消耗电量成本控制</w:t>
            </w:r>
          </w:p>
        </w:tc>
        <w:tc>
          <w:tcPr>
            <w:tcW w:w="2268" w:type="dxa"/>
            <w:vAlign w:val="center"/>
          </w:tcPr>
          <w:p>
            <w:pPr>
              <w:pStyle w:val="13"/>
            </w:pPr>
            <w:r>
              <w:t>≤10万元</w:t>
            </w:r>
          </w:p>
        </w:tc>
        <w:tc>
          <w:tcPr>
            <w:tcW w:w="1276" w:type="dxa"/>
            <w:vAlign w:val="center"/>
          </w:tcPr>
          <w:p>
            <w:pPr>
              <w:pStyle w:val="13"/>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展示晋州形象</w:t>
            </w:r>
          </w:p>
        </w:tc>
        <w:tc>
          <w:tcPr>
            <w:tcW w:w="5386" w:type="dxa"/>
            <w:vAlign w:val="center"/>
          </w:tcPr>
          <w:p>
            <w:pPr>
              <w:pStyle w:val="13"/>
            </w:pPr>
            <w:r>
              <w:t>宣传展示晋州、提升晋州形象</w:t>
            </w:r>
          </w:p>
        </w:tc>
        <w:tc>
          <w:tcPr>
            <w:tcW w:w="2268" w:type="dxa"/>
            <w:vAlign w:val="center"/>
          </w:tcPr>
          <w:p>
            <w:pPr>
              <w:pStyle w:val="13"/>
            </w:pPr>
            <w:r>
              <w:t>进一步提升</w:t>
            </w:r>
          </w:p>
        </w:tc>
        <w:tc>
          <w:tcPr>
            <w:tcW w:w="1276" w:type="dxa"/>
            <w:vAlign w:val="center"/>
          </w:tcPr>
          <w:p>
            <w:pPr>
              <w:pStyle w:val="13"/>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2、冀财教[2024]113号提前下达2025年中央支持地方公共文化服务体系建设补助资金（奖励项目经费）绩效目标表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13018325P000074100054</w:t>
            </w:r>
          </w:p>
        </w:tc>
        <w:tc>
          <w:tcPr>
            <w:tcW w:w="2835" w:type="dxa"/>
            <w:vAlign w:val="center"/>
          </w:tcPr>
          <w:p>
            <w:pPr>
              <w:pStyle w:val="11"/>
            </w:pPr>
            <w:r>
              <w:t>项目名称</w:t>
            </w:r>
          </w:p>
        </w:tc>
        <w:tc>
          <w:tcPr>
            <w:tcW w:w="6095" w:type="dxa"/>
            <w:gridSpan w:val="3"/>
            <w:vAlign w:val="center"/>
          </w:tcPr>
          <w:p>
            <w:pPr>
              <w:pStyle w:val="13"/>
            </w:pPr>
            <w:r>
              <w:t>冀财教[2024]113号提前下达2025年中央支持地方公共文化服务体系建设补助资金（奖励项目经费）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49.45</w:t>
            </w:r>
          </w:p>
        </w:tc>
        <w:tc>
          <w:tcPr>
            <w:tcW w:w="2835" w:type="dxa"/>
            <w:vAlign w:val="center"/>
          </w:tcPr>
          <w:p>
            <w:pPr>
              <w:pStyle w:val="11"/>
            </w:pPr>
            <w:r>
              <w:t>其中：财政    资金</w:t>
            </w:r>
          </w:p>
        </w:tc>
        <w:tc>
          <w:tcPr>
            <w:tcW w:w="2551" w:type="dxa"/>
            <w:vAlign w:val="center"/>
          </w:tcPr>
          <w:p>
            <w:pPr>
              <w:pStyle w:val="13"/>
            </w:pPr>
            <w:r>
              <w:t>49.45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设备购置费用，用于电视节目的录制设备、制作设备、数据传输、电视塔维修维护，应急广播运行维护等工作，保证公共文化信息数据传输的强度、质量，保障传输信号的覆盖面。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1.提高节目的制作播出质量，保障播出效果，提升收视率。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制作播出新闻数量</w:t>
            </w:r>
          </w:p>
        </w:tc>
        <w:tc>
          <w:tcPr>
            <w:tcW w:w="5386" w:type="dxa"/>
            <w:vAlign w:val="center"/>
          </w:tcPr>
          <w:p>
            <w:pPr>
              <w:pStyle w:val="13"/>
            </w:pPr>
            <w:r>
              <w:t>制作播出新闻数量</w:t>
            </w:r>
          </w:p>
        </w:tc>
        <w:tc>
          <w:tcPr>
            <w:tcW w:w="2268" w:type="dxa"/>
            <w:vAlign w:val="center"/>
          </w:tcPr>
          <w:p>
            <w:pPr>
              <w:pStyle w:val="13"/>
            </w:pPr>
            <w:r>
              <w:t>≥2200条</w:t>
            </w:r>
          </w:p>
        </w:tc>
        <w:tc>
          <w:tcPr>
            <w:tcW w:w="1276" w:type="dxa"/>
            <w:vAlign w:val="center"/>
          </w:tcPr>
          <w:p>
            <w:pPr>
              <w:pStyle w:val="13"/>
            </w:pPr>
            <w:r>
              <w:t>冀财教[2024]113号提前下达2025年中央支持地方公共文化服务体系建设补助资金（奖励项目经费）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上送新闻数量</w:t>
            </w:r>
          </w:p>
        </w:tc>
        <w:tc>
          <w:tcPr>
            <w:tcW w:w="5386" w:type="dxa"/>
            <w:vAlign w:val="center"/>
          </w:tcPr>
          <w:p>
            <w:pPr>
              <w:pStyle w:val="13"/>
            </w:pPr>
            <w:r>
              <w:t>上送新闻数量</w:t>
            </w:r>
          </w:p>
        </w:tc>
        <w:tc>
          <w:tcPr>
            <w:tcW w:w="2268" w:type="dxa"/>
            <w:vAlign w:val="center"/>
          </w:tcPr>
          <w:p>
            <w:pPr>
              <w:pStyle w:val="13"/>
            </w:pPr>
            <w:r>
              <w:t>≥70条</w:t>
            </w:r>
          </w:p>
        </w:tc>
        <w:tc>
          <w:tcPr>
            <w:tcW w:w="1276" w:type="dxa"/>
            <w:vAlign w:val="center"/>
          </w:tcPr>
          <w:p>
            <w:pPr>
              <w:pStyle w:val="13"/>
            </w:pPr>
            <w:r>
              <w:t>冀财教[2024]113号提前下达2025年中央支持地方公共文化服务体系建设补助资金（奖励项目经费）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2025.01.01-2025.12.31</w:t>
            </w:r>
          </w:p>
        </w:tc>
        <w:tc>
          <w:tcPr>
            <w:tcW w:w="1276" w:type="dxa"/>
            <w:vAlign w:val="center"/>
          </w:tcPr>
          <w:p>
            <w:pPr>
              <w:pStyle w:val="13"/>
            </w:pPr>
            <w:r>
              <w:t>冀财教[2024]113号提前下达2025年中央支持地方公共文化服务体系建设补助资金（奖励项目经费）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项目控制成本</w:t>
            </w:r>
          </w:p>
        </w:tc>
        <w:tc>
          <w:tcPr>
            <w:tcW w:w="5386" w:type="dxa"/>
            <w:vAlign w:val="center"/>
          </w:tcPr>
          <w:p>
            <w:pPr>
              <w:pStyle w:val="13"/>
            </w:pPr>
            <w:r>
              <w:t>项目控制成本</w:t>
            </w:r>
          </w:p>
        </w:tc>
        <w:tc>
          <w:tcPr>
            <w:tcW w:w="2268" w:type="dxa"/>
            <w:vAlign w:val="center"/>
          </w:tcPr>
          <w:p>
            <w:pPr>
              <w:pStyle w:val="13"/>
            </w:pPr>
            <w:r>
              <w:t>63.18万元</w:t>
            </w:r>
          </w:p>
        </w:tc>
        <w:tc>
          <w:tcPr>
            <w:tcW w:w="1276" w:type="dxa"/>
            <w:vAlign w:val="center"/>
          </w:tcPr>
          <w:p>
            <w:pPr>
              <w:pStyle w:val="13"/>
            </w:pPr>
            <w:r>
              <w:t>冀财教[2024]113号提前下达2025年中央支持地方公共文化服务体系建设补助资金（奖励项目经费）</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群众反映效果</w:t>
            </w:r>
          </w:p>
        </w:tc>
        <w:tc>
          <w:tcPr>
            <w:tcW w:w="5386" w:type="dxa"/>
            <w:vAlign w:val="center"/>
          </w:tcPr>
          <w:p>
            <w:pPr>
              <w:pStyle w:val="13"/>
            </w:pPr>
            <w:r>
              <w:t>收视群众反映效果</w:t>
            </w:r>
          </w:p>
        </w:tc>
        <w:tc>
          <w:tcPr>
            <w:tcW w:w="2268" w:type="dxa"/>
            <w:vAlign w:val="center"/>
          </w:tcPr>
          <w:p>
            <w:pPr>
              <w:pStyle w:val="13"/>
            </w:pPr>
            <w:r>
              <w:t>播出质量提高，播出效果提升。</w:t>
            </w:r>
          </w:p>
        </w:tc>
        <w:tc>
          <w:tcPr>
            <w:tcW w:w="1276" w:type="dxa"/>
            <w:vAlign w:val="center"/>
          </w:tcPr>
          <w:p>
            <w:pPr>
              <w:pStyle w:val="13"/>
            </w:pPr>
            <w:r>
              <w:t>冀财教[2024]113号提前下达2025年中央支持地方公共文化服务体系建设补助资金（奖励项目经费）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收视群众满意度</w:t>
            </w:r>
          </w:p>
        </w:tc>
        <w:tc>
          <w:tcPr>
            <w:tcW w:w="2268" w:type="dxa"/>
            <w:vAlign w:val="center"/>
          </w:tcPr>
          <w:p>
            <w:pPr>
              <w:pStyle w:val="13"/>
            </w:pPr>
            <w:r>
              <w:t>≥85%</w:t>
            </w:r>
          </w:p>
        </w:tc>
        <w:tc>
          <w:tcPr>
            <w:tcW w:w="1276" w:type="dxa"/>
            <w:vAlign w:val="center"/>
          </w:tcPr>
          <w:p>
            <w:pPr>
              <w:pStyle w:val="13"/>
            </w:pPr>
            <w:r>
              <w:t>冀财教[2024]113号提前下达2025年中央支持地方公共文化服务体系建设补助资金（奖励项目经费）</w:t>
            </w:r>
            <w:r>
              <w:tab/>
            </w:r>
            <w:r>
              <w:tab/>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3、冀财教[2024]113号提前下达2025年中央支持地方公共文化服务体系建设补助资金（无线覆盖数字运行维护费）绩效目标表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13018325P00007410004G</w:t>
            </w:r>
          </w:p>
        </w:tc>
        <w:tc>
          <w:tcPr>
            <w:tcW w:w="2835" w:type="dxa"/>
            <w:vAlign w:val="center"/>
          </w:tcPr>
          <w:p>
            <w:pPr>
              <w:pStyle w:val="11"/>
            </w:pPr>
            <w:r>
              <w:t>项目名称</w:t>
            </w:r>
          </w:p>
        </w:tc>
        <w:tc>
          <w:tcPr>
            <w:tcW w:w="6095" w:type="dxa"/>
            <w:gridSpan w:val="3"/>
            <w:vAlign w:val="center"/>
          </w:tcPr>
          <w:p>
            <w:pPr>
              <w:pStyle w:val="13"/>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22.35</w:t>
            </w:r>
          </w:p>
        </w:tc>
        <w:tc>
          <w:tcPr>
            <w:tcW w:w="2835" w:type="dxa"/>
            <w:vAlign w:val="center"/>
          </w:tcPr>
          <w:p>
            <w:pPr>
              <w:pStyle w:val="11"/>
            </w:pPr>
            <w:r>
              <w:t>其中：财政    资金</w:t>
            </w:r>
          </w:p>
        </w:tc>
        <w:tc>
          <w:tcPr>
            <w:tcW w:w="2551" w:type="dxa"/>
            <w:vAlign w:val="center"/>
          </w:tcPr>
          <w:p>
            <w:pPr>
              <w:pStyle w:val="13"/>
            </w:pPr>
            <w:r>
              <w:t>22.35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用于发射机维修维护费用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1.保障信号质量，提升收视效果，提高收视率。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转播中央电视台节目频道</w:t>
            </w:r>
          </w:p>
        </w:tc>
        <w:tc>
          <w:tcPr>
            <w:tcW w:w="5386" w:type="dxa"/>
            <w:vAlign w:val="center"/>
          </w:tcPr>
          <w:p>
            <w:pPr>
              <w:pStyle w:val="13"/>
            </w:pPr>
            <w:r>
              <w:t>转播中央电视台节目频道</w:t>
            </w:r>
          </w:p>
        </w:tc>
        <w:tc>
          <w:tcPr>
            <w:tcW w:w="2268" w:type="dxa"/>
            <w:vAlign w:val="center"/>
          </w:tcPr>
          <w:p>
            <w:pPr>
              <w:pStyle w:val="13"/>
            </w:pPr>
            <w:r>
              <w:t>18套</w:t>
            </w:r>
          </w:p>
        </w:tc>
        <w:tc>
          <w:tcPr>
            <w:tcW w:w="1276" w:type="dxa"/>
            <w:vAlign w:val="center"/>
          </w:tcPr>
          <w:p>
            <w:pPr>
              <w:pStyle w:val="13"/>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节目清晰度分辨率DTMB标准</w:t>
            </w:r>
          </w:p>
        </w:tc>
        <w:tc>
          <w:tcPr>
            <w:tcW w:w="5386" w:type="dxa"/>
            <w:vAlign w:val="center"/>
          </w:tcPr>
          <w:p>
            <w:pPr>
              <w:pStyle w:val="13"/>
            </w:pPr>
            <w:r>
              <w:t>节目清晰度分辨率DTMB标准</w:t>
            </w:r>
          </w:p>
        </w:tc>
        <w:tc>
          <w:tcPr>
            <w:tcW w:w="2268" w:type="dxa"/>
            <w:vAlign w:val="center"/>
          </w:tcPr>
          <w:p>
            <w:pPr>
              <w:pStyle w:val="13"/>
            </w:pPr>
            <w:r>
              <w:t>节目清晰度分辨率DTMB标准</w:t>
            </w:r>
          </w:p>
        </w:tc>
        <w:tc>
          <w:tcPr>
            <w:tcW w:w="1276" w:type="dxa"/>
            <w:vAlign w:val="center"/>
          </w:tcPr>
          <w:p>
            <w:pPr>
              <w:pStyle w:val="13"/>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2025.01.01-2025.12.31</w:t>
            </w:r>
          </w:p>
        </w:tc>
        <w:tc>
          <w:tcPr>
            <w:tcW w:w="1276" w:type="dxa"/>
            <w:vAlign w:val="center"/>
          </w:tcPr>
          <w:p>
            <w:pPr>
              <w:pStyle w:val="13"/>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项目成本控制</w:t>
            </w:r>
          </w:p>
        </w:tc>
        <w:tc>
          <w:tcPr>
            <w:tcW w:w="2268" w:type="dxa"/>
            <w:vAlign w:val="center"/>
          </w:tcPr>
          <w:p>
            <w:pPr>
              <w:pStyle w:val="13"/>
            </w:pPr>
            <w:r>
              <w:t>23.7万元</w:t>
            </w:r>
          </w:p>
        </w:tc>
        <w:tc>
          <w:tcPr>
            <w:tcW w:w="1276" w:type="dxa"/>
            <w:vAlign w:val="center"/>
          </w:tcPr>
          <w:p>
            <w:pPr>
              <w:pStyle w:val="13"/>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广播电视综合人口覆盖率</w:t>
            </w:r>
          </w:p>
        </w:tc>
        <w:tc>
          <w:tcPr>
            <w:tcW w:w="5386" w:type="dxa"/>
            <w:vAlign w:val="center"/>
          </w:tcPr>
          <w:p>
            <w:pPr>
              <w:pStyle w:val="13"/>
            </w:pPr>
            <w:r>
              <w:t>广播电视综合人口覆盖率</w:t>
            </w:r>
          </w:p>
        </w:tc>
        <w:tc>
          <w:tcPr>
            <w:tcW w:w="2268" w:type="dxa"/>
            <w:vAlign w:val="center"/>
          </w:tcPr>
          <w:p>
            <w:pPr>
              <w:pStyle w:val="13"/>
            </w:pPr>
            <w:r>
              <w:t>≥75%</w:t>
            </w:r>
          </w:p>
        </w:tc>
        <w:tc>
          <w:tcPr>
            <w:tcW w:w="1276" w:type="dxa"/>
            <w:vAlign w:val="center"/>
          </w:tcPr>
          <w:p>
            <w:pPr>
              <w:pStyle w:val="13"/>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收视群众满意度</w:t>
            </w:r>
          </w:p>
        </w:tc>
        <w:tc>
          <w:tcPr>
            <w:tcW w:w="2268" w:type="dxa"/>
            <w:vAlign w:val="center"/>
          </w:tcPr>
          <w:p>
            <w:pPr>
              <w:pStyle w:val="13"/>
            </w:pPr>
            <w:r>
              <w:t>≥85%</w:t>
            </w:r>
          </w:p>
        </w:tc>
        <w:tc>
          <w:tcPr>
            <w:tcW w:w="1276" w:type="dxa"/>
            <w:vAlign w:val="center"/>
          </w:tcPr>
          <w:p>
            <w:pPr>
              <w:pStyle w:val="13"/>
            </w:pPr>
            <w:r>
              <w:t>冀财教[2024]113号提前下达2025年中央支持地方公共文化服务体系建设补助资金（无线覆盖数字运行维护费）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4、冀财教[2024]152号提前下达2025年省级公共文化服务体系建设补助资金（奖励项目经费）绩效目标表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13018325P00007910002M</w:t>
            </w:r>
          </w:p>
        </w:tc>
        <w:tc>
          <w:tcPr>
            <w:tcW w:w="2835" w:type="dxa"/>
            <w:vAlign w:val="center"/>
          </w:tcPr>
          <w:p>
            <w:pPr>
              <w:pStyle w:val="11"/>
            </w:pPr>
            <w:r>
              <w:t>项目名称</w:t>
            </w:r>
          </w:p>
        </w:tc>
        <w:tc>
          <w:tcPr>
            <w:tcW w:w="6095" w:type="dxa"/>
            <w:gridSpan w:val="3"/>
            <w:vAlign w:val="center"/>
          </w:tcPr>
          <w:p>
            <w:pPr>
              <w:pStyle w:val="13"/>
            </w:pPr>
            <w:r>
              <w:t>冀财教[2024]152号提前下达2025年省级公共文化服务体系建设补助资金（奖励项目经费）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设备购置费用，用于电视节目的录制设备、制作设备、数据传输、电视塔维修维护，应急广播运行维护等工作，保证公共文化信息数据传输的强度、质量，保障传输信号的覆盖面。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1.提高电视节目强度、质量，保障群众收视效果。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通过无线覆盖提供电视节目</w:t>
            </w:r>
          </w:p>
        </w:tc>
        <w:tc>
          <w:tcPr>
            <w:tcW w:w="5386" w:type="dxa"/>
            <w:vAlign w:val="center"/>
          </w:tcPr>
          <w:p>
            <w:pPr>
              <w:pStyle w:val="13"/>
            </w:pPr>
            <w:r>
              <w:t>通过无线覆盖提供电视节目</w:t>
            </w:r>
          </w:p>
        </w:tc>
        <w:tc>
          <w:tcPr>
            <w:tcW w:w="2268" w:type="dxa"/>
            <w:vAlign w:val="center"/>
          </w:tcPr>
          <w:p>
            <w:pPr>
              <w:pStyle w:val="13"/>
            </w:pPr>
            <w:r>
              <w:t>18套</w:t>
            </w:r>
          </w:p>
        </w:tc>
        <w:tc>
          <w:tcPr>
            <w:tcW w:w="1276" w:type="dxa"/>
            <w:vAlign w:val="center"/>
          </w:tcPr>
          <w:p>
            <w:pPr>
              <w:pStyle w:val="13"/>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节目清晰度分辨率DTMB标准</w:t>
            </w:r>
          </w:p>
        </w:tc>
        <w:tc>
          <w:tcPr>
            <w:tcW w:w="5386" w:type="dxa"/>
            <w:vAlign w:val="center"/>
          </w:tcPr>
          <w:p>
            <w:pPr>
              <w:pStyle w:val="13"/>
            </w:pPr>
            <w:r>
              <w:t>节目清晰度分辨率DTMB标准</w:t>
            </w:r>
          </w:p>
        </w:tc>
        <w:tc>
          <w:tcPr>
            <w:tcW w:w="2268" w:type="dxa"/>
            <w:vAlign w:val="center"/>
          </w:tcPr>
          <w:p>
            <w:pPr>
              <w:pStyle w:val="13"/>
            </w:pPr>
            <w:r>
              <w:t>节目清晰度分辨率DTMB标准</w:t>
            </w:r>
          </w:p>
        </w:tc>
        <w:tc>
          <w:tcPr>
            <w:tcW w:w="1276" w:type="dxa"/>
            <w:vAlign w:val="center"/>
          </w:tcPr>
          <w:p>
            <w:pPr>
              <w:pStyle w:val="13"/>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2025/01/01-2025/12/31</w:t>
            </w:r>
          </w:p>
        </w:tc>
        <w:tc>
          <w:tcPr>
            <w:tcW w:w="1276" w:type="dxa"/>
            <w:vAlign w:val="center"/>
          </w:tcPr>
          <w:p>
            <w:pPr>
              <w:pStyle w:val="13"/>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项目成本控制</w:t>
            </w:r>
          </w:p>
        </w:tc>
        <w:tc>
          <w:tcPr>
            <w:tcW w:w="2268" w:type="dxa"/>
            <w:vAlign w:val="center"/>
          </w:tcPr>
          <w:p>
            <w:pPr>
              <w:pStyle w:val="13"/>
            </w:pPr>
            <w:r>
              <w:t>3万元</w:t>
            </w:r>
          </w:p>
        </w:tc>
        <w:tc>
          <w:tcPr>
            <w:tcW w:w="1276" w:type="dxa"/>
            <w:vAlign w:val="center"/>
          </w:tcPr>
          <w:p>
            <w:pPr>
              <w:pStyle w:val="13"/>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广播电视综合人口覆盖率</w:t>
            </w:r>
          </w:p>
        </w:tc>
        <w:tc>
          <w:tcPr>
            <w:tcW w:w="5386" w:type="dxa"/>
            <w:vAlign w:val="center"/>
          </w:tcPr>
          <w:p>
            <w:pPr>
              <w:pStyle w:val="13"/>
            </w:pPr>
            <w:r>
              <w:t>广播电视综合人口覆盖率</w:t>
            </w:r>
          </w:p>
        </w:tc>
        <w:tc>
          <w:tcPr>
            <w:tcW w:w="2268" w:type="dxa"/>
            <w:vAlign w:val="center"/>
          </w:tcPr>
          <w:p>
            <w:pPr>
              <w:pStyle w:val="13"/>
            </w:pPr>
            <w:r>
              <w:t>≥95%</w:t>
            </w:r>
          </w:p>
        </w:tc>
        <w:tc>
          <w:tcPr>
            <w:tcW w:w="1276" w:type="dxa"/>
            <w:vAlign w:val="center"/>
          </w:tcPr>
          <w:p>
            <w:pPr>
              <w:pStyle w:val="13"/>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收视群众满意度</w:t>
            </w:r>
          </w:p>
        </w:tc>
        <w:tc>
          <w:tcPr>
            <w:tcW w:w="2268" w:type="dxa"/>
            <w:vAlign w:val="center"/>
          </w:tcPr>
          <w:p>
            <w:pPr>
              <w:pStyle w:val="13"/>
            </w:pPr>
            <w:r>
              <w:t>≥90%</w:t>
            </w:r>
          </w:p>
        </w:tc>
        <w:tc>
          <w:tcPr>
            <w:tcW w:w="1276" w:type="dxa"/>
            <w:vAlign w:val="center"/>
          </w:tcPr>
          <w:p>
            <w:pPr>
              <w:pStyle w:val="13"/>
            </w:pPr>
            <w:r>
              <w:t>冀财教[2024]152号提前下达2025年省级公共文化服务体系建设补助资金（奖励项目经费）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5、冀财教[2025]115号提前下达2026年中央支持地方公共文化服务体系建设补助资金（中央广播节目无线覆盖数字运行维护费）绩效目标表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13018326P00011210012L</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w:t>
            </w:r>
          </w:p>
        </w:tc>
        <w:tc>
          <w:tcPr>
            <w:tcW w:w="2835" w:type="dxa"/>
            <w:vAlign w:val="center"/>
          </w:tcPr>
          <w:p>
            <w:pPr>
              <w:pStyle w:val="11"/>
            </w:pPr>
            <w:r>
              <w:t>其中：财政    资金</w:t>
            </w:r>
          </w:p>
        </w:tc>
        <w:tc>
          <w:tcPr>
            <w:tcW w:w="2551" w:type="dxa"/>
            <w:vAlign w:val="center"/>
          </w:tcPr>
          <w:p>
            <w:pPr>
              <w:pStyle w:val="13"/>
            </w:pPr>
            <w:r>
              <w:t>23.70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用于无线信号覆盖设备的购置，发射机采购及运行维护。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1.保障信号质量，提升收视效果，提高收视率。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转播中央电视台节目频道</w:t>
            </w:r>
          </w:p>
        </w:tc>
        <w:tc>
          <w:tcPr>
            <w:tcW w:w="5386" w:type="dxa"/>
            <w:vAlign w:val="center"/>
          </w:tcPr>
          <w:p>
            <w:pPr>
              <w:pStyle w:val="13"/>
            </w:pPr>
            <w:r>
              <w:t>转播中央电视台节目频道</w:t>
            </w:r>
          </w:p>
        </w:tc>
        <w:tc>
          <w:tcPr>
            <w:tcW w:w="2268" w:type="dxa"/>
            <w:vAlign w:val="center"/>
          </w:tcPr>
          <w:p>
            <w:pPr>
              <w:pStyle w:val="13"/>
            </w:pPr>
            <w:r>
              <w:t>18套</w:t>
            </w:r>
          </w:p>
        </w:tc>
        <w:tc>
          <w:tcPr>
            <w:tcW w:w="1276" w:type="dxa"/>
            <w:vAlign w:val="center"/>
          </w:tcPr>
          <w:p>
            <w:pPr>
              <w:pStyle w:val="13"/>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节目清晰度分辨率DTMB标准</w:t>
            </w:r>
          </w:p>
        </w:tc>
        <w:tc>
          <w:tcPr>
            <w:tcW w:w="5386" w:type="dxa"/>
            <w:vAlign w:val="center"/>
          </w:tcPr>
          <w:p>
            <w:pPr>
              <w:pStyle w:val="13"/>
            </w:pPr>
            <w:r>
              <w:t>节目清晰度分辨率DTMB标准</w:t>
            </w:r>
          </w:p>
        </w:tc>
        <w:tc>
          <w:tcPr>
            <w:tcW w:w="2268" w:type="dxa"/>
            <w:vAlign w:val="center"/>
          </w:tcPr>
          <w:p>
            <w:pPr>
              <w:pStyle w:val="13"/>
            </w:pPr>
            <w:r>
              <w:t>节目清晰度分辨率DTMB标准</w:t>
            </w:r>
          </w:p>
        </w:tc>
        <w:tc>
          <w:tcPr>
            <w:tcW w:w="1276" w:type="dxa"/>
            <w:vAlign w:val="center"/>
          </w:tcPr>
          <w:p>
            <w:pPr>
              <w:pStyle w:val="13"/>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2026.01.01-2026.12.31</w:t>
            </w:r>
          </w:p>
        </w:tc>
        <w:tc>
          <w:tcPr>
            <w:tcW w:w="1276" w:type="dxa"/>
            <w:vAlign w:val="center"/>
          </w:tcPr>
          <w:p>
            <w:pPr>
              <w:pStyle w:val="13"/>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项目成本控制</w:t>
            </w:r>
          </w:p>
        </w:tc>
        <w:tc>
          <w:tcPr>
            <w:tcW w:w="2268" w:type="dxa"/>
            <w:vAlign w:val="center"/>
          </w:tcPr>
          <w:p>
            <w:pPr>
              <w:pStyle w:val="13"/>
            </w:pPr>
            <w:r>
              <w:t>≤23.7万元</w:t>
            </w:r>
          </w:p>
        </w:tc>
        <w:tc>
          <w:tcPr>
            <w:tcW w:w="1276" w:type="dxa"/>
            <w:vAlign w:val="center"/>
          </w:tcPr>
          <w:p>
            <w:pPr>
              <w:pStyle w:val="13"/>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广播电视综合人口覆盖率</w:t>
            </w:r>
          </w:p>
        </w:tc>
        <w:tc>
          <w:tcPr>
            <w:tcW w:w="5386" w:type="dxa"/>
            <w:vAlign w:val="center"/>
          </w:tcPr>
          <w:p>
            <w:pPr>
              <w:pStyle w:val="13"/>
            </w:pPr>
            <w:r>
              <w:t>广播电视综合人口覆盖率</w:t>
            </w:r>
          </w:p>
        </w:tc>
        <w:tc>
          <w:tcPr>
            <w:tcW w:w="2268" w:type="dxa"/>
            <w:vAlign w:val="center"/>
          </w:tcPr>
          <w:p>
            <w:pPr>
              <w:pStyle w:val="13"/>
            </w:pPr>
            <w:r>
              <w:t>≥75%</w:t>
            </w:r>
          </w:p>
        </w:tc>
        <w:tc>
          <w:tcPr>
            <w:tcW w:w="1276" w:type="dxa"/>
            <w:vAlign w:val="center"/>
          </w:tcPr>
          <w:p>
            <w:pPr>
              <w:pStyle w:val="13"/>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收视群众满意度</w:t>
            </w:r>
          </w:p>
        </w:tc>
        <w:tc>
          <w:tcPr>
            <w:tcW w:w="2268" w:type="dxa"/>
            <w:vAlign w:val="center"/>
          </w:tcPr>
          <w:p>
            <w:pPr>
              <w:pStyle w:val="13"/>
            </w:pPr>
            <w:r>
              <w:t>≥85%</w:t>
            </w:r>
          </w:p>
        </w:tc>
        <w:tc>
          <w:tcPr>
            <w:tcW w:w="1276" w:type="dxa"/>
            <w:vAlign w:val="center"/>
          </w:tcPr>
          <w:p>
            <w:pPr>
              <w:pStyle w:val="13"/>
            </w:pPr>
            <w:r>
              <w:t>冀财教[2025]115号提前下达2026年中央支持地方公共文化服务体系建设补助资金（中央广播节目无线覆盖数字运行维护费）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6、冀财教[2025]44号下达2025年中央支持地方公共文化服务体系建设补助资金绩效目标表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13018325P00011210009K</w:t>
            </w:r>
          </w:p>
        </w:tc>
        <w:tc>
          <w:tcPr>
            <w:tcW w:w="2835" w:type="dxa"/>
            <w:vAlign w:val="center"/>
          </w:tcPr>
          <w:p>
            <w:pPr>
              <w:pStyle w:val="11"/>
            </w:pPr>
            <w:r>
              <w:t>项目名称</w:t>
            </w:r>
          </w:p>
        </w:tc>
        <w:tc>
          <w:tcPr>
            <w:tcW w:w="6095" w:type="dxa"/>
            <w:gridSpan w:val="3"/>
            <w:vAlign w:val="center"/>
          </w:tcPr>
          <w:p>
            <w:pPr>
              <w:pStyle w:val="13"/>
            </w:pPr>
            <w:r>
              <w:t>冀财教[2025]44号下达2025年中央支持地方公共文化服务体系建设补助资金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w:t>
            </w:r>
          </w:p>
        </w:tc>
        <w:tc>
          <w:tcPr>
            <w:tcW w:w="2835" w:type="dxa"/>
            <w:vAlign w:val="center"/>
          </w:tcPr>
          <w:p>
            <w:pPr>
              <w:pStyle w:val="11"/>
            </w:pPr>
            <w:r>
              <w:t>其中：财政    资金</w:t>
            </w:r>
          </w:p>
        </w:tc>
        <w:tc>
          <w:tcPr>
            <w:tcW w:w="2551" w:type="dxa"/>
            <w:vAlign w:val="center"/>
          </w:tcPr>
          <w:p>
            <w:pPr>
              <w:pStyle w:val="13"/>
            </w:pPr>
            <w:r>
              <w:t>10.50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设备购置维修维护费用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1.提高电视节目强度、质量，保障群众收视效果。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通过无线覆盖提供电视节目</w:t>
            </w:r>
          </w:p>
        </w:tc>
        <w:tc>
          <w:tcPr>
            <w:tcW w:w="5386" w:type="dxa"/>
            <w:vAlign w:val="center"/>
          </w:tcPr>
          <w:p>
            <w:pPr>
              <w:pStyle w:val="13"/>
            </w:pPr>
            <w:r>
              <w:t>通过无线覆盖提供电视节目</w:t>
            </w:r>
          </w:p>
        </w:tc>
        <w:tc>
          <w:tcPr>
            <w:tcW w:w="2268" w:type="dxa"/>
            <w:vAlign w:val="center"/>
          </w:tcPr>
          <w:p>
            <w:pPr>
              <w:pStyle w:val="13"/>
            </w:pPr>
            <w:r>
              <w:t>18套</w:t>
            </w:r>
          </w:p>
        </w:tc>
        <w:tc>
          <w:tcPr>
            <w:tcW w:w="1276" w:type="dxa"/>
            <w:vAlign w:val="center"/>
          </w:tcPr>
          <w:p>
            <w:pPr>
              <w:pStyle w:val="13"/>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节目清晰度分辨率DTMB标准</w:t>
            </w:r>
          </w:p>
        </w:tc>
        <w:tc>
          <w:tcPr>
            <w:tcW w:w="5386" w:type="dxa"/>
            <w:vAlign w:val="center"/>
          </w:tcPr>
          <w:p>
            <w:pPr>
              <w:pStyle w:val="13"/>
            </w:pPr>
            <w:r>
              <w:t>节目清晰度分辨率DTMB标准</w:t>
            </w:r>
          </w:p>
        </w:tc>
        <w:tc>
          <w:tcPr>
            <w:tcW w:w="2268" w:type="dxa"/>
            <w:vAlign w:val="center"/>
          </w:tcPr>
          <w:p>
            <w:pPr>
              <w:pStyle w:val="13"/>
            </w:pPr>
            <w:r>
              <w:t>节目清晰度分辨率DTMB标准</w:t>
            </w:r>
          </w:p>
        </w:tc>
        <w:tc>
          <w:tcPr>
            <w:tcW w:w="1276" w:type="dxa"/>
            <w:vAlign w:val="center"/>
          </w:tcPr>
          <w:p>
            <w:pPr>
              <w:pStyle w:val="13"/>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2025/01/01-2025/12/31</w:t>
            </w:r>
          </w:p>
        </w:tc>
        <w:tc>
          <w:tcPr>
            <w:tcW w:w="1276" w:type="dxa"/>
            <w:vAlign w:val="center"/>
          </w:tcPr>
          <w:p>
            <w:pPr>
              <w:pStyle w:val="13"/>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项目成本控制</w:t>
            </w:r>
          </w:p>
        </w:tc>
        <w:tc>
          <w:tcPr>
            <w:tcW w:w="2268" w:type="dxa"/>
            <w:vAlign w:val="center"/>
          </w:tcPr>
          <w:p>
            <w:pPr>
              <w:pStyle w:val="13"/>
            </w:pPr>
            <w:r>
              <w:t>10.5万元</w:t>
            </w:r>
          </w:p>
        </w:tc>
        <w:tc>
          <w:tcPr>
            <w:tcW w:w="1276" w:type="dxa"/>
            <w:vAlign w:val="center"/>
          </w:tcPr>
          <w:p>
            <w:pPr>
              <w:pStyle w:val="13"/>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广播电视综合人口覆盖率</w:t>
            </w:r>
          </w:p>
        </w:tc>
        <w:tc>
          <w:tcPr>
            <w:tcW w:w="5386" w:type="dxa"/>
            <w:vAlign w:val="center"/>
          </w:tcPr>
          <w:p>
            <w:pPr>
              <w:pStyle w:val="13"/>
            </w:pPr>
            <w:r>
              <w:t>广播电视综合人口覆盖率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收视群众满意度</w:t>
            </w:r>
          </w:p>
        </w:tc>
        <w:tc>
          <w:tcPr>
            <w:tcW w:w="5386" w:type="dxa"/>
            <w:vAlign w:val="center"/>
          </w:tcPr>
          <w:p>
            <w:pPr>
              <w:pStyle w:val="13"/>
            </w:pPr>
            <w:r>
              <w:t>收视群众满意度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7、景观塔电费绩效目标表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13018326P00032810132E</w:t>
            </w:r>
          </w:p>
        </w:tc>
        <w:tc>
          <w:tcPr>
            <w:tcW w:w="2835" w:type="dxa"/>
            <w:vAlign w:val="center"/>
          </w:tcPr>
          <w:p>
            <w:pPr>
              <w:pStyle w:val="11"/>
            </w:pPr>
            <w:r>
              <w:t>项目名称</w:t>
            </w:r>
          </w:p>
        </w:tc>
        <w:tc>
          <w:tcPr>
            <w:tcW w:w="6095" w:type="dxa"/>
            <w:gridSpan w:val="3"/>
            <w:vAlign w:val="center"/>
          </w:tcPr>
          <w:p>
            <w:pPr>
              <w:pStyle w:val="13"/>
            </w:pPr>
            <w:r>
              <w:t>景观塔电费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19.99</w:t>
            </w:r>
          </w:p>
        </w:tc>
        <w:tc>
          <w:tcPr>
            <w:tcW w:w="2835" w:type="dxa"/>
            <w:vAlign w:val="center"/>
          </w:tcPr>
          <w:p>
            <w:pPr>
              <w:pStyle w:val="11"/>
            </w:pPr>
            <w:r>
              <w:t>其中：财政    资金</w:t>
            </w:r>
          </w:p>
        </w:tc>
        <w:tc>
          <w:tcPr>
            <w:tcW w:w="2551" w:type="dxa"/>
            <w:vAlign w:val="center"/>
          </w:tcPr>
          <w:p>
            <w:pPr>
              <w:pStyle w:val="13"/>
            </w:pPr>
            <w:r>
              <w:t>19.99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用于支付晋州市景观塔电费。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1.保障景观塔一年的亮化及美化，提升城市文化氛围，营造高品质生活环境。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亮化天数</w:t>
            </w:r>
          </w:p>
        </w:tc>
        <w:tc>
          <w:tcPr>
            <w:tcW w:w="5386" w:type="dxa"/>
            <w:vAlign w:val="center"/>
          </w:tcPr>
          <w:p>
            <w:pPr>
              <w:pStyle w:val="13"/>
            </w:pPr>
            <w:r>
              <w:t xml:space="preserve">一年亮化天数 </w:t>
            </w:r>
          </w:p>
        </w:tc>
        <w:tc>
          <w:tcPr>
            <w:tcW w:w="2268" w:type="dxa"/>
            <w:vAlign w:val="center"/>
          </w:tcPr>
          <w:p>
            <w:pPr>
              <w:pStyle w:val="13"/>
            </w:pPr>
            <w:r>
              <w:t>365天</w:t>
            </w:r>
          </w:p>
        </w:tc>
        <w:tc>
          <w:tcPr>
            <w:tcW w:w="1276" w:type="dxa"/>
            <w:vAlign w:val="center"/>
          </w:tcPr>
          <w:p>
            <w:pPr>
              <w:pStyle w:val="13"/>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亮化及美化程度</w:t>
            </w:r>
          </w:p>
        </w:tc>
        <w:tc>
          <w:tcPr>
            <w:tcW w:w="5386" w:type="dxa"/>
            <w:vAlign w:val="center"/>
          </w:tcPr>
          <w:p>
            <w:pPr>
              <w:pStyle w:val="13"/>
            </w:pPr>
            <w:r>
              <w:t>亮化及美化范围实际比率</w:t>
            </w:r>
          </w:p>
        </w:tc>
        <w:tc>
          <w:tcPr>
            <w:tcW w:w="2268" w:type="dxa"/>
            <w:vAlign w:val="center"/>
          </w:tcPr>
          <w:p>
            <w:pPr>
              <w:pStyle w:val="13"/>
            </w:pPr>
            <w:r>
              <w:t>≥85%</w:t>
            </w:r>
          </w:p>
        </w:tc>
        <w:tc>
          <w:tcPr>
            <w:tcW w:w="1276" w:type="dxa"/>
            <w:vAlign w:val="center"/>
          </w:tcPr>
          <w:p>
            <w:pPr>
              <w:pStyle w:val="13"/>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亮化时间</w:t>
            </w:r>
          </w:p>
        </w:tc>
        <w:tc>
          <w:tcPr>
            <w:tcW w:w="5386" w:type="dxa"/>
            <w:vAlign w:val="center"/>
          </w:tcPr>
          <w:p>
            <w:pPr>
              <w:pStyle w:val="13"/>
            </w:pPr>
            <w:r>
              <w:t>根据季节变化 ，夏天每晚7-9点，冬天每晚6-9点亮化</w:t>
            </w:r>
          </w:p>
        </w:tc>
        <w:tc>
          <w:tcPr>
            <w:tcW w:w="2268" w:type="dxa"/>
            <w:vAlign w:val="center"/>
          </w:tcPr>
          <w:p>
            <w:pPr>
              <w:pStyle w:val="13"/>
            </w:pPr>
            <w:r>
              <w:t>准时亮化</w:t>
            </w:r>
          </w:p>
        </w:tc>
        <w:tc>
          <w:tcPr>
            <w:tcW w:w="1276" w:type="dxa"/>
            <w:vAlign w:val="center"/>
          </w:tcPr>
          <w:p>
            <w:pPr>
              <w:pStyle w:val="13"/>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电费成本控制</w:t>
            </w:r>
          </w:p>
        </w:tc>
        <w:tc>
          <w:tcPr>
            <w:tcW w:w="5386" w:type="dxa"/>
            <w:vAlign w:val="center"/>
          </w:tcPr>
          <w:p>
            <w:pPr>
              <w:pStyle w:val="13"/>
            </w:pPr>
            <w:r>
              <w:t>电费成本控制</w:t>
            </w:r>
          </w:p>
        </w:tc>
        <w:tc>
          <w:tcPr>
            <w:tcW w:w="2268" w:type="dxa"/>
            <w:vAlign w:val="center"/>
          </w:tcPr>
          <w:p>
            <w:pPr>
              <w:pStyle w:val="13"/>
            </w:pPr>
            <w:r>
              <w:t>≤19.99万元</w:t>
            </w:r>
          </w:p>
        </w:tc>
        <w:tc>
          <w:tcPr>
            <w:tcW w:w="1276" w:type="dxa"/>
            <w:vAlign w:val="center"/>
          </w:tcPr>
          <w:p>
            <w:pPr>
              <w:pStyle w:val="13"/>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城市美化率</w:t>
            </w:r>
          </w:p>
        </w:tc>
        <w:tc>
          <w:tcPr>
            <w:tcW w:w="5386" w:type="dxa"/>
            <w:vAlign w:val="center"/>
          </w:tcPr>
          <w:p>
            <w:pPr>
              <w:pStyle w:val="13"/>
            </w:pPr>
            <w:r>
              <w:t>反映提升城市文化氛围和营造高品质生活环境的效果</w:t>
            </w:r>
          </w:p>
        </w:tc>
        <w:tc>
          <w:tcPr>
            <w:tcW w:w="2268" w:type="dxa"/>
            <w:vAlign w:val="center"/>
          </w:tcPr>
          <w:p>
            <w:pPr>
              <w:pStyle w:val="13"/>
            </w:pPr>
            <w:r>
              <w:t>显著提高</w:t>
            </w:r>
          </w:p>
          <w:p>
            <w:pPr>
              <w:pStyle w:val="13"/>
            </w:pPr>
          </w:p>
        </w:tc>
        <w:tc>
          <w:tcPr>
            <w:tcW w:w="1276" w:type="dxa"/>
            <w:vAlign w:val="center"/>
          </w:tcPr>
          <w:p>
            <w:pPr>
              <w:pStyle w:val="13"/>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8、年度运营经费绩效目标表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13018326P00032810134M</w:t>
            </w:r>
          </w:p>
        </w:tc>
        <w:tc>
          <w:tcPr>
            <w:tcW w:w="2835" w:type="dxa"/>
            <w:vAlign w:val="center"/>
          </w:tcPr>
          <w:p>
            <w:pPr>
              <w:pStyle w:val="11"/>
            </w:pPr>
            <w:r>
              <w:t>项目名称</w:t>
            </w:r>
          </w:p>
        </w:tc>
        <w:tc>
          <w:tcPr>
            <w:tcW w:w="6095" w:type="dxa"/>
            <w:gridSpan w:val="3"/>
            <w:vAlign w:val="center"/>
          </w:tcPr>
          <w:p>
            <w:pPr>
              <w:pStyle w:val="13"/>
            </w:pPr>
            <w:r>
              <w:t>年度运营经费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36.04</w:t>
            </w:r>
          </w:p>
        </w:tc>
        <w:tc>
          <w:tcPr>
            <w:tcW w:w="2835" w:type="dxa"/>
            <w:vAlign w:val="center"/>
          </w:tcPr>
          <w:p>
            <w:pPr>
              <w:pStyle w:val="11"/>
            </w:pPr>
            <w:r>
              <w:t>其中：财政    资金</w:t>
            </w:r>
          </w:p>
        </w:tc>
        <w:tc>
          <w:tcPr>
            <w:tcW w:w="2551" w:type="dxa"/>
            <w:vAlign w:val="center"/>
          </w:tcPr>
          <w:p>
            <w:pPr>
              <w:pStyle w:val="13"/>
            </w:pPr>
            <w:r>
              <w:t>36.04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用于支付晋州市融媒体中心专线费、平台费等。</w:t>
            </w:r>
            <w:r>
              <w:tab/>
            </w:r>
            <w:r>
              <w:t>同时支付自收自支人员及临时工人员工资及保险。</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1.保障单位网络及网络安全正常运行，确保自收自支人员及临时工人员工资及保险按时发放，加快推进全媒体传播体系建设，为社会提供更多、更好、更及时的融媒体产品。</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支出完成率</w:t>
            </w:r>
          </w:p>
        </w:tc>
        <w:tc>
          <w:tcPr>
            <w:tcW w:w="5386" w:type="dxa"/>
            <w:vAlign w:val="center"/>
          </w:tcPr>
          <w:p>
            <w:pPr>
              <w:pStyle w:val="13"/>
            </w:pPr>
            <w:r>
              <w:t>按时有序支付</w:t>
            </w:r>
          </w:p>
        </w:tc>
        <w:tc>
          <w:tcPr>
            <w:tcW w:w="2268" w:type="dxa"/>
            <w:vAlign w:val="center"/>
          </w:tcPr>
          <w:p>
            <w:pPr>
              <w:pStyle w:val="13"/>
            </w:pPr>
            <w:r>
              <w:t>100%</w:t>
            </w:r>
          </w:p>
        </w:tc>
        <w:tc>
          <w:tcPr>
            <w:tcW w:w="1276" w:type="dxa"/>
            <w:vAlign w:val="center"/>
          </w:tcPr>
          <w:p>
            <w:pPr>
              <w:pStyle w:val="13"/>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项目预算控制</w:t>
            </w:r>
          </w:p>
        </w:tc>
        <w:tc>
          <w:tcPr>
            <w:tcW w:w="2268" w:type="dxa"/>
            <w:vAlign w:val="center"/>
          </w:tcPr>
          <w:p>
            <w:pPr>
              <w:pStyle w:val="13"/>
            </w:pPr>
            <w:r>
              <w:t>≤36.04万元</w:t>
            </w:r>
          </w:p>
        </w:tc>
        <w:tc>
          <w:tcPr>
            <w:tcW w:w="1276" w:type="dxa"/>
            <w:vAlign w:val="center"/>
          </w:tcPr>
          <w:p>
            <w:pPr>
              <w:pStyle w:val="13"/>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加快推进全媒体传播体系建设，为社会提供更多、更好、更及时的融媒体产品</w:t>
            </w:r>
          </w:p>
        </w:tc>
        <w:tc>
          <w:tcPr>
            <w:tcW w:w="5386" w:type="dxa"/>
            <w:vAlign w:val="center"/>
          </w:tcPr>
          <w:p>
            <w:pPr>
              <w:pStyle w:val="13"/>
            </w:pPr>
            <w:r>
              <w:t>加快推进全媒体传播体系建设，为社会提供更多、更好、更及时的融媒体产品</w:t>
            </w:r>
          </w:p>
        </w:tc>
        <w:tc>
          <w:tcPr>
            <w:tcW w:w="2268" w:type="dxa"/>
            <w:vAlign w:val="center"/>
          </w:tcPr>
          <w:p>
            <w:pPr>
              <w:pStyle w:val="13"/>
            </w:pPr>
            <w:r>
              <w:t>加快推进</w:t>
            </w:r>
          </w:p>
        </w:tc>
        <w:tc>
          <w:tcPr>
            <w:tcW w:w="1276" w:type="dxa"/>
            <w:vAlign w:val="center"/>
          </w:tcPr>
          <w:p>
            <w:pPr>
              <w:pStyle w:val="13"/>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9、其他临时用工绩效目标表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13018326P00032810136W</w:t>
            </w:r>
          </w:p>
        </w:tc>
        <w:tc>
          <w:tcPr>
            <w:tcW w:w="2835" w:type="dxa"/>
            <w:vAlign w:val="center"/>
          </w:tcPr>
          <w:p>
            <w:pPr>
              <w:pStyle w:val="11"/>
            </w:pPr>
            <w:r>
              <w:t>项目名称</w:t>
            </w:r>
          </w:p>
        </w:tc>
        <w:tc>
          <w:tcPr>
            <w:tcW w:w="6095" w:type="dxa"/>
            <w:gridSpan w:val="3"/>
            <w:vAlign w:val="center"/>
          </w:tcPr>
          <w:p>
            <w:pPr>
              <w:pStyle w:val="13"/>
            </w:pPr>
            <w:r>
              <w:t>其他临时用工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398.77</w:t>
            </w:r>
          </w:p>
        </w:tc>
        <w:tc>
          <w:tcPr>
            <w:tcW w:w="2835" w:type="dxa"/>
            <w:vAlign w:val="center"/>
          </w:tcPr>
          <w:p>
            <w:pPr>
              <w:pStyle w:val="11"/>
            </w:pPr>
            <w:r>
              <w:t>其中：财政    资金</w:t>
            </w:r>
          </w:p>
        </w:tc>
        <w:tc>
          <w:tcPr>
            <w:tcW w:w="2551" w:type="dxa"/>
            <w:vAlign w:val="center"/>
          </w:tcPr>
          <w:p>
            <w:pPr>
              <w:pStyle w:val="13"/>
            </w:pPr>
            <w:r>
              <w:t>398.77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用于发放单位自收自支人员及临时工等人员工资、缴纳保险等。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1.保障我单位日常工作正常有序开展。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支出完成率</w:t>
            </w:r>
          </w:p>
        </w:tc>
        <w:tc>
          <w:tcPr>
            <w:tcW w:w="5386" w:type="dxa"/>
            <w:vAlign w:val="center"/>
          </w:tcPr>
          <w:p>
            <w:pPr>
              <w:pStyle w:val="13"/>
            </w:pPr>
            <w:r>
              <w:t>按时有序支付</w:t>
            </w:r>
          </w:p>
        </w:tc>
        <w:tc>
          <w:tcPr>
            <w:tcW w:w="2268" w:type="dxa"/>
            <w:vAlign w:val="center"/>
          </w:tcPr>
          <w:p>
            <w:pPr>
              <w:pStyle w:val="13"/>
            </w:pPr>
            <w:r>
              <w:t>100%</w:t>
            </w:r>
          </w:p>
        </w:tc>
        <w:tc>
          <w:tcPr>
            <w:tcW w:w="1276" w:type="dxa"/>
            <w:vAlign w:val="center"/>
          </w:tcPr>
          <w:p>
            <w:pPr>
              <w:pStyle w:val="13"/>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项目预算控制</w:t>
            </w:r>
          </w:p>
        </w:tc>
        <w:tc>
          <w:tcPr>
            <w:tcW w:w="2268" w:type="dxa"/>
            <w:vAlign w:val="center"/>
          </w:tcPr>
          <w:p>
            <w:pPr>
              <w:pStyle w:val="13"/>
            </w:pPr>
            <w:r>
              <w:t>≤398.77万元</w:t>
            </w:r>
          </w:p>
        </w:tc>
        <w:tc>
          <w:tcPr>
            <w:tcW w:w="1276" w:type="dxa"/>
            <w:vAlign w:val="center"/>
          </w:tcPr>
          <w:p>
            <w:pPr>
              <w:pStyle w:val="13"/>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保障广播电视安全播出</w:t>
            </w:r>
          </w:p>
        </w:tc>
        <w:tc>
          <w:tcPr>
            <w:tcW w:w="5386" w:type="dxa"/>
            <w:vAlign w:val="center"/>
          </w:tcPr>
          <w:p>
            <w:pPr>
              <w:pStyle w:val="13"/>
            </w:pPr>
            <w:r>
              <w:t>保障广播电视安全播出</w:t>
            </w:r>
          </w:p>
        </w:tc>
        <w:tc>
          <w:tcPr>
            <w:tcW w:w="2268" w:type="dxa"/>
            <w:vAlign w:val="center"/>
          </w:tcPr>
          <w:p>
            <w:pPr>
              <w:pStyle w:val="13"/>
            </w:pPr>
            <w:r>
              <w:t>保障广播电视安全播出</w:t>
            </w:r>
          </w:p>
        </w:tc>
        <w:tc>
          <w:tcPr>
            <w:tcW w:w="1276" w:type="dxa"/>
            <w:vAlign w:val="center"/>
          </w:tcPr>
          <w:p>
            <w:pPr>
              <w:pStyle w:val="13"/>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359晋州市广播电视台</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0.52</w:t>
            </w:r>
          </w:p>
        </w:tc>
        <w:tc>
          <w:tcPr>
            <w:tcW w:w="964" w:type="dxa"/>
            <w:vAlign w:val="center"/>
          </w:tcPr>
          <w:p>
            <w:pPr>
              <w:pStyle w:val="16"/>
            </w:pPr>
            <w:r>
              <w:t>0.52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晋州市广播电视台本级小计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0.52</w:t>
            </w:r>
          </w:p>
        </w:tc>
        <w:tc>
          <w:tcPr>
            <w:tcW w:w="964" w:type="dxa"/>
            <w:vAlign w:val="center"/>
          </w:tcPr>
          <w:p>
            <w:pPr>
              <w:pStyle w:val="16"/>
            </w:pPr>
            <w:r>
              <w:t>0.52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260</w:t>
            </w:r>
          </w:p>
        </w:tc>
        <w:tc>
          <w:tcPr>
            <w:tcW w:w="850" w:type="dxa"/>
            <w:vAlign w:val="center"/>
          </w:tcPr>
          <w:p>
            <w:pPr>
              <w:pStyle w:val="12"/>
            </w:pPr>
            <w:r>
              <w:t>0.00</w:t>
            </w:r>
          </w:p>
        </w:tc>
        <w:tc>
          <w:tcPr>
            <w:tcW w:w="964" w:type="dxa"/>
            <w:vAlign w:val="center"/>
          </w:tcPr>
          <w:p>
            <w:pPr>
              <w:pStyle w:val="12"/>
            </w:pPr>
            <w:r>
              <w:t>0.52</w:t>
            </w:r>
          </w:p>
        </w:tc>
        <w:tc>
          <w:tcPr>
            <w:tcW w:w="964" w:type="dxa"/>
            <w:vAlign w:val="center"/>
          </w:tcPr>
          <w:p>
            <w:pPr>
              <w:pStyle w:val="12"/>
            </w:pPr>
            <w:r>
              <w:t>0.52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晋州市广播电视台（含所属单位）上年末固定资产金额为8663.28万元（详见下表）。本年度拟购置固定资产总额为0.00万元，已按要求列入政府采购预算，详见政府采购预算表。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359晋州市广播电视台</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8663.28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6870</w:t>
            </w:r>
          </w:p>
        </w:tc>
        <w:tc>
          <w:tcPr>
            <w:tcW w:w="2835" w:type="dxa"/>
            <w:vAlign w:val="center"/>
          </w:tcPr>
          <w:p>
            <w:pPr>
              <w:pStyle w:val="12"/>
            </w:pPr>
            <w:r>
              <w:t>776.03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6870</w:t>
            </w:r>
          </w:p>
        </w:tc>
        <w:tc>
          <w:tcPr>
            <w:tcW w:w="2835" w:type="dxa"/>
            <w:vAlign w:val="center"/>
          </w:tcPr>
          <w:p>
            <w:pPr>
              <w:pStyle w:val="12"/>
            </w:pPr>
            <w:r>
              <w:t>776.04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31</w:t>
            </w:r>
          </w:p>
        </w:tc>
        <w:tc>
          <w:tcPr>
            <w:tcW w:w="2835" w:type="dxa"/>
            <w:vAlign w:val="center"/>
          </w:tcPr>
          <w:p>
            <w:pPr>
              <w:pStyle w:val="12"/>
            </w:pPr>
            <w:r>
              <w:t>2541.95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1467</w:t>
            </w:r>
          </w:p>
        </w:tc>
        <w:tc>
          <w:tcPr>
            <w:tcW w:w="2835" w:type="dxa"/>
            <w:vAlign w:val="center"/>
          </w:tcPr>
          <w:p>
            <w:pPr>
              <w:pStyle w:val="12"/>
            </w:pPr>
            <w:r>
              <w:t>5322.07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1F1E35"/>
    <w:rsid w:val="3A433391"/>
    <w:rsid w:val="3D6A070B"/>
    <w:rsid w:val="4298117D"/>
    <w:rsid w:val="4B832AB7"/>
    <w:rsid w:val="6D975F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48</Pages>
  <Words>11206</Words>
  <Characters>13453</Characters>
  <TotalTime>2</TotalTime>
  <ScaleCrop>false</ScaleCrop>
  <LinksUpToDate>false</LinksUpToDate>
  <CharactersWithSpaces>13680</CharactersWithSpaces>
  <Application>WPS Office_11.1.0.11372_F1E327BC-269C-435d-A152-05C5408002CA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2026-02-12T17:11:00Z</dcterms:created>
  <dc:creator>Administrator</dc:creator>
  <cp:lastModifiedBy>kongtao</cp:lastModifiedBy>
  <dcterms:modified xsi:type="dcterms:W3CDTF">2026-02-28T08:15:13Z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77DB0DED8D3C4FB79D8BF9F2E4A3E0AA</vt:lpwstr>
  </property>
</Properties>
</file>