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一、晋州市统计局本级收支预算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一、晋州市统计局本级收支预算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410001晋州市统计局本级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596.93</w:t>
            </w:r>
          </w:p>
        </w:tc>
        <w:tc>
          <w:tcPr>
            <w:tcW w:w="4535" w:type="dxa"/>
            <w:vAlign w:val="center"/>
          </w:tcPr>
          <w:p>
            <w:pPr>
              <w:pStyle w:val="12"/>
            </w:pPr>
            <w:r>
              <w:t>一、一般公共服务支出</w:t>
            </w:r>
          </w:p>
        </w:tc>
        <w:tc>
          <w:tcPr>
            <w:tcW w:w="2126" w:type="dxa"/>
            <w:vAlign w:val="center"/>
          </w:tcPr>
          <w:p>
            <w:pPr>
              <w:pStyle w:val="11"/>
            </w:pPr>
            <w:r>
              <w:t>596.93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596.93</w:t>
            </w:r>
          </w:p>
        </w:tc>
        <w:tc>
          <w:tcPr>
            <w:tcW w:w="4535" w:type="dxa"/>
            <w:vAlign w:val="center"/>
          </w:tcPr>
          <w:p>
            <w:pPr>
              <w:pStyle w:val="14"/>
            </w:pPr>
            <w:r>
              <w:t>本年支出合计</w:t>
            </w:r>
          </w:p>
        </w:tc>
        <w:tc>
          <w:tcPr>
            <w:tcW w:w="2126" w:type="dxa"/>
            <w:vAlign w:val="center"/>
          </w:tcPr>
          <w:p>
            <w:pPr>
              <w:pStyle w:val="15"/>
            </w:pPr>
            <w:r>
              <w:t>596.93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596.93</w:t>
            </w:r>
          </w:p>
        </w:tc>
        <w:tc>
          <w:tcPr>
            <w:tcW w:w="4535" w:type="dxa"/>
            <w:vAlign w:val="center"/>
          </w:tcPr>
          <w:p>
            <w:pPr>
              <w:pStyle w:val="14"/>
            </w:pPr>
            <w:r>
              <w:t>支出总计</w:t>
            </w:r>
          </w:p>
        </w:tc>
        <w:tc>
          <w:tcPr>
            <w:tcW w:w="2126" w:type="dxa"/>
            <w:vAlign w:val="center"/>
          </w:tcPr>
          <w:p>
            <w:pPr>
              <w:pStyle w:val="15"/>
            </w:pPr>
            <w:r>
              <w:t>596.93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410001晋州市统计局本级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596.93</w:t>
            </w:r>
          </w:p>
        </w:tc>
        <w:tc>
          <w:tcPr>
            <w:tcW w:w="1134" w:type="dxa"/>
            <w:vAlign w:val="center"/>
          </w:tcPr>
          <w:p>
            <w:pPr>
              <w:pStyle w:val="15"/>
            </w:pPr>
            <w:r>
              <w:t>596.93</w:t>
            </w:r>
          </w:p>
        </w:tc>
        <w:tc>
          <w:tcPr>
            <w:tcW w:w="1134" w:type="dxa"/>
            <w:vAlign w:val="center"/>
          </w:tcPr>
          <w:p>
            <w:pPr>
              <w:pStyle w:val="15"/>
            </w:pPr>
            <w:r>
              <w:t>596.93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596.93</w:t>
            </w:r>
          </w:p>
        </w:tc>
        <w:tc>
          <w:tcPr>
            <w:tcW w:w="1134" w:type="dxa"/>
            <w:vAlign w:val="center"/>
          </w:tcPr>
          <w:p>
            <w:pPr>
              <w:pStyle w:val="11"/>
            </w:pPr>
            <w:r>
              <w:t>596.93</w:t>
            </w:r>
          </w:p>
        </w:tc>
        <w:tc>
          <w:tcPr>
            <w:tcW w:w="1134" w:type="dxa"/>
            <w:vAlign w:val="center"/>
          </w:tcPr>
          <w:p>
            <w:pPr>
              <w:pStyle w:val="11"/>
            </w:pPr>
            <w:r>
              <w:t>596.93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20105</w:t>
            </w:r>
          </w:p>
        </w:tc>
        <w:tc>
          <w:tcPr>
            <w:tcW w:w="1559" w:type="dxa"/>
            <w:vAlign w:val="center"/>
          </w:tcPr>
          <w:p>
            <w:pPr>
              <w:pStyle w:val="12"/>
            </w:pPr>
            <w:r>
              <w:t>统计信息事务</w:t>
            </w:r>
          </w:p>
        </w:tc>
        <w:tc>
          <w:tcPr>
            <w:tcW w:w="1134" w:type="dxa"/>
            <w:vAlign w:val="center"/>
          </w:tcPr>
          <w:p>
            <w:pPr>
              <w:pStyle w:val="11"/>
            </w:pPr>
            <w:r>
              <w:t>596.93</w:t>
            </w:r>
          </w:p>
        </w:tc>
        <w:tc>
          <w:tcPr>
            <w:tcW w:w="1134" w:type="dxa"/>
            <w:vAlign w:val="center"/>
          </w:tcPr>
          <w:p>
            <w:pPr>
              <w:pStyle w:val="11"/>
            </w:pPr>
            <w:r>
              <w:t>596.93</w:t>
            </w:r>
          </w:p>
        </w:tc>
        <w:tc>
          <w:tcPr>
            <w:tcW w:w="1134" w:type="dxa"/>
            <w:vAlign w:val="center"/>
          </w:tcPr>
          <w:p>
            <w:pPr>
              <w:pStyle w:val="11"/>
            </w:pPr>
            <w:r>
              <w:t>596.93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2010501</w:t>
            </w:r>
          </w:p>
        </w:tc>
        <w:tc>
          <w:tcPr>
            <w:tcW w:w="1559" w:type="dxa"/>
            <w:vAlign w:val="center"/>
          </w:tcPr>
          <w:p>
            <w:pPr>
              <w:pStyle w:val="12"/>
            </w:pPr>
            <w:r>
              <w:t>行政运行</w:t>
            </w:r>
          </w:p>
        </w:tc>
        <w:tc>
          <w:tcPr>
            <w:tcW w:w="1134" w:type="dxa"/>
            <w:vAlign w:val="center"/>
          </w:tcPr>
          <w:p>
            <w:pPr>
              <w:pStyle w:val="11"/>
            </w:pPr>
            <w:r>
              <w:t>392.38</w:t>
            </w:r>
          </w:p>
        </w:tc>
        <w:tc>
          <w:tcPr>
            <w:tcW w:w="1134" w:type="dxa"/>
            <w:vAlign w:val="center"/>
          </w:tcPr>
          <w:p>
            <w:pPr>
              <w:pStyle w:val="11"/>
            </w:pPr>
            <w:r>
              <w:t>392.38</w:t>
            </w:r>
          </w:p>
        </w:tc>
        <w:tc>
          <w:tcPr>
            <w:tcW w:w="1134" w:type="dxa"/>
            <w:vAlign w:val="center"/>
          </w:tcPr>
          <w:p>
            <w:pPr>
              <w:pStyle w:val="11"/>
            </w:pPr>
            <w:r>
              <w:t>392.38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2010502</w:t>
            </w:r>
          </w:p>
        </w:tc>
        <w:tc>
          <w:tcPr>
            <w:tcW w:w="1559" w:type="dxa"/>
            <w:vAlign w:val="center"/>
          </w:tcPr>
          <w:p>
            <w:pPr>
              <w:pStyle w:val="12"/>
            </w:pPr>
            <w:r>
              <w:t>一般行政管理事务</w:t>
            </w:r>
          </w:p>
        </w:tc>
        <w:tc>
          <w:tcPr>
            <w:tcW w:w="1134" w:type="dxa"/>
            <w:vAlign w:val="center"/>
          </w:tcPr>
          <w:p>
            <w:pPr>
              <w:pStyle w:val="11"/>
            </w:pPr>
            <w:r>
              <w:t>0.70</w:t>
            </w:r>
          </w:p>
        </w:tc>
        <w:tc>
          <w:tcPr>
            <w:tcW w:w="1134" w:type="dxa"/>
            <w:vAlign w:val="center"/>
          </w:tcPr>
          <w:p>
            <w:pPr>
              <w:pStyle w:val="11"/>
            </w:pPr>
            <w:r>
              <w:t>0.70</w:t>
            </w:r>
          </w:p>
        </w:tc>
        <w:tc>
          <w:tcPr>
            <w:tcW w:w="1134" w:type="dxa"/>
            <w:vAlign w:val="center"/>
          </w:tcPr>
          <w:p>
            <w:pPr>
              <w:pStyle w:val="11"/>
            </w:pPr>
            <w:r>
              <w:t>0.70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2010504</w:t>
            </w:r>
          </w:p>
        </w:tc>
        <w:tc>
          <w:tcPr>
            <w:tcW w:w="1559" w:type="dxa"/>
            <w:vAlign w:val="center"/>
          </w:tcPr>
          <w:p>
            <w:pPr>
              <w:pStyle w:val="12"/>
            </w:pPr>
            <w:r>
              <w:t>信息事务</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2010505</w:t>
            </w:r>
          </w:p>
        </w:tc>
        <w:tc>
          <w:tcPr>
            <w:tcW w:w="1559" w:type="dxa"/>
            <w:vAlign w:val="center"/>
          </w:tcPr>
          <w:p>
            <w:pPr>
              <w:pStyle w:val="12"/>
            </w:pPr>
            <w:r>
              <w:t>专项统计业务</w:t>
            </w:r>
          </w:p>
        </w:tc>
        <w:tc>
          <w:tcPr>
            <w:tcW w:w="1134" w:type="dxa"/>
            <w:vAlign w:val="center"/>
          </w:tcPr>
          <w:p>
            <w:pPr>
              <w:pStyle w:val="11"/>
            </w:pPr>
            <w:r>
              <w:t>137.08</w:t>
            </w:r>
          </w:p>
        </w:tc>
        <w:tc>
          <w:tcPr>
            <w:tcW w:w="1134" w:type="dxa"/>
            <w:vAlign w:val="center"/>
          </w:tcPr>
          <w:p>
            <w:pPr>
              <w:pStyle w:val="11"/>
            </w:pPr>
            <w:r>
              <w:t>137.08</w:t>
            </w:r>
          </w:p>
        </w:tc>
        <w:tc>
          <w:tcPr>
            <w:tcW w:w="1134" w:type="dxa"/>
            <w:vAlign w:val="center"/>
          </w:tcPr>
          <w:p>
            <w:pPr>
              <w:pStyle w:val="11"/>
            </w:pPr>
            <w:r>
              <w:t>137.08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2010506</w:t>
            </w:r>
          </w:p>
        </w:tc>
        <w:tc>
          <w:tcPr>
            <w:tcW w:w="1559" w:type="dxa"/>
            <w:vAlign w:val="center"/>
          </w:tcPr>
          <w:p>
            <w:pPr>
              <w:pStyle w:val="12"/>
            </w:pPr>
            <w:r>
              <w:t>统计管理</w:t>
            </w:r>
          </w:p>
        </w:tc>
        <w:tc>
          <w:tcPr>
            <w:tcW w:w="1134" w:type="dxa"/>
            <w:vAlign w:val="center"/>
          </w:tcPr>
          <w:p>
            <w:pPr>
              <w:pStyle w:val="11"/>
            </w:pPr>
            <w:r>
              <w:t>58.77</w:t>
            </w:r>
          </w:p>
        </w:tc>
        <w:tc>
          <w:tcPr>
            <w:tcW w:w="1134" w:type="dxa"/>
            <w:vAlign w:val="center"/>
          </w:tcPr>
          <w:p>
            <w:pPr>
              <w:pStyle w:val="11"/>
            </w:pPr>
            <w:r>
              <w:t>58.77</w:t>
            </w:r>
          </w:p>
        </w:tc>
        <w:tc>
          <w:tcPr>
            <w:tcW w:w="1134" w:type="dxa"/>
            <w:vAlign w:val="center"/>
          </w:tcPr>
          <w:p>
            <w:pPr>
              <w:pStyle w:val="11"/>
            </w:pPr>
            <w:r>
              <w:t>58.77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410001晋州市统计局本级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596.93</w:t>
            </w:r>
          </w:p>
        </w:tc>
        <w:tc>
          <w:tcPr>
            <w:tcW w:w="1361" w:type="dxa"/>
            <w:vAlign w:val="center"/>
          </w:tcPr>
          <w:p>
            <w:pPr>
              <w:pStyle w:val="15"/>
            </w:pPr>
            <w:r>
              <w:t>392.38</w:t>
            </w:r>
          </w:p>
        </w:tc>
        <w:tc>
          <w:tcPr>
            <w:tcW w:w="1361" w:type="dxa"/>
            <w:vAlign w:val="center"/>
          </w:tcPr>
          <w:p>
            <w:pPr>
              <w:pStyle w:val="15"/>
            </w:pPr>
            <w:r>
              <w:t>204.55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596.93</w:t>
            </w:r>
          </w:p>
        </w:tc>
        <w:tc>
          <w:tcPr>
            <w:tcW w:w="1361" w:type="dxa"/>
            <w:vAlign w:val="center"/>
          </w:tcPr>
          <w:p>
            <w:pPr>
              <w:pStyle w:val="11"/>
            </w:pPr>
            <w:r>
              <w:t>392.38</w:t>
            </w:r>
          </w:p>
        </w:tc>
        <w:tc>
          <w:tcPr>
            <w:tcW w:w="1361" w:type="dxa"/>
            <w:vAlign w:val="center"/>
          </w:tcPr>
          <w:p>
            <w:pPr>
              <w:pStyle w:val="11"/>
            </w:pPr>
            <w:r>
              <w:t>204.55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20105</w:t>
            </w:r>
          </w:p>
        </w:tc>
        <w:tc>
          <w:tcPr>
            <w:tcW w:w="4535" w:type="dxa"/>
            <w:vAlign w:val="center"/>
          </w:tcPr>
          <w:p>
            <w:pPr>
              <w:pStyle w:val="12"/>
            </w:pPr>
            <w:r>
              <w:t>统计信息事务</w:t>
            </w:r>
          </w:p>
        </w:tc>
        <w:tc>
          <w:tcPr>
            <w:tcW w:w="1361" w:type="dxa"/>
            <w:vAlign w:val="center"/>
          </w:tcPr>
          <w:p>
            <w:pPr>
              <w:pStyle w:val="11"/>
            </w:pPr>
            <w:r>
              <w:t>596.93</w:t>
            </w:r>
          </w:p>
        </w:tc>
        <w:tc>
          <w:tcPr>
            <w:tcW w:w="1361" w:type="dxa"/>
            <w:vAlign w:val="center"/>
          </w:tcPr>
          <w:p>
            <w:pPr>
              <w:pStyle w:val="11"/>
            </w:pPr>
            <w:r>
              <w:t>392.38</w:t>
            </w:r>
          </w:p>
        </w:tc>
        <w:tc>
          <w:tcPr>
            <w:tcW w:w="1361" w:type="dxa"/>
            <w:vAlign w:val="center"/>
          </w:tcPr>
          <w:p>
            <w:pPr>
              <w:pStyle w:val="11"/>
            </w:pPr>
            <w:r>
              <w:t>204.55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2010501</w:t>
            </w:r>
          </w:p>
        </w:tc>
        <w:tc>
          <w:tcPr>
            <w:tcW w:w="4535" w:type="dxa"/>
            <w:vAlign w:val="center"/>
          </w:tcPr>
          <w:p>
            <w:pPr>
              <w:pStyle w:val="12"/>
            </w:pPr>
            <w:r>
              <w:t>行政运行</w:t>
            </w:r>
          </w:p>
        </w:tc>
        <w:tc>
          <w:tcPr>
            <w:tcW w:w="1361" w:type="dxa"/>
            <w:vAlign w:val="center"/>
          </w:tcPr>
          <w:p>
            <w:pPr>
              <w:pStyle w:val="11"/>
            </w:pPr>
            <w:r>
              <w:t>392.38</w:t>
            </w:r>
          </w:p>
        </w:tc>
        <w:tc>
          <w:tcPr>
            <w:tcW w:w="1361" w:type="dxa"/>
            <w:vAlign w:val="center"/>
          </w:tcPr>
          <w:p>
            <w:pPr>
              <w:pStyle w:val="11"/>
            </w:pPr>
            <w:r>
              <w:t>392.38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2010502</w:t>
            </w:r>
          </w:p>
        </w:tc>
        <w:tc>
          <w:tcPr>
            <w:tcW w:w="4535" w:type="dxa"/>
            <w:vAlign w:val="center"/>
          </w:tcPr>
          <w:p>
            <w:pPr>
              <w:pStyle w:val="12"/>
            </w:pPr>
            <w:r>
              <w:t>一般行政管理事务</w:t>
            </w:r>
          </w:p>
        </w:tc>
        <w:tc>
          <w:tcPr>
            <w:tcW w:w="1361" w:type="dxa"/>
            <w:vAlign w:val="center"/>
          </w:tcPr>
          <w:p>
            <w:pPr>
              <w:pStyle w:val="11"/>
            </w:pPr>
            <w:r>
              <w:t>0.70</w:t>
            </w:r>
          </w:p>
        </w:tc>
        <w:tc>
          <w:tcPr>
            <w:tcW w:w="1361" w:type="dxa"/>
            <w:vAlign w:val="center"/>
          </w:tcPr>
          <w:p>
            <w:pPr>
              <w:pStyle w:val="11"/>
            </w:pPr>
          </w:p>
        </w:tc>
        <w:tc>
          <w:tcPr>
            <w:tcW w:w="1361" w:type="dxa"/>
            <w:vAlign w:val="center"/>
          </w:tcPr>
          <w:p>
            <w:pPr>
              <w:pStyle w:val="11"/>
            </w:pPr>
            <w:r>
              <w:t>0.70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2010504</w:t>
            </w:r>
          </w:p>
        </w:tc>
        <w:tc>
          <w:tcPr>
            <w:tcW w:w="4535" w:type="dxa"/>
            <w:vAlign w:val="center"/>
          </w:tcPr>
          <w:p>
            <w:pPr>
              <w:pStyle w:val="12"/>
            </w:pPr>
            <w:r>
              <w:t>信息事务</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2010505</w:t>
            </w:r>
          </w:p>
        </w:tc>
        <w:tc>
          <w:tcPr>
            <w:tcW w:w="4535" w:type="dxa"/>
            <w:vAlign w:val="center"/>
          </w:tcPr>
          <w:p>
            <w:pPr>
              <w:pStyle w:val="12"/>
            </w:pPr>
            <w:r>
              <w:t>专项统计业务</w:t>
            </w:r>
          </w:p>
        </w:tc>
        <w:tc>
          <w:tcPr>
            <w:tcW w:w="1361" w:type="dxa"/>
            <w:vAlign w:val="center"/>
          </w:tcPr>
          <w:p>
            <w:pPr>
              <w:pStyle w:val="11"/>
            </w:pPr>
            <w:r>
              <w:t>137.08</w:t>
            </w:r>
          </w:p>
        </w:tc>
        <w:tc>
          <w:tcPr>
            <w:tcW w:w="1361" w:type="dxa"/>
            <w:vAlign w:val="center"/>
          </w:tcPr>
          <w:p>
            <w:pPr>
              <w:pStyle w:val="11"/>
            </w:pPr>
          </w:p>
        </w:tc>
        <w:tc>
          <w:tcPr>
            <w:tcW w:w="1361" w:type="dxa"/>
            <w:vAlign w:val="center"/>
          </w:tcPr>
          <w:p>
            <w:pPr>
              <w:pStyle w:val="11"/>
            </w:pPr>
            <w:r>
              <w:t>137.08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2010506</w:t>
            </w:r>
          </w:p>
        </w:tc>
        <w:tc>
          <w:tcPr>
            <w:tcW w:w="4535" w:type="dxa"/>
            <w:vAlign w:val="center"/>
          </w:tcPr>
          <w:p>
            <w:pPr>
              <w:pStyle w:val="12"/>
            </w:pPr>
            <w:r>
              <w:t>统计管理</w:t>
            </w:r>
          </w:p>
        </w:tc>
        <w:tc>
          <w:tcPr>
            <w:tcW w:w="1361" w:type="dxa"/>
            <w:vAlign w:val="center"/>
          </w:tcPr>
          <w:p>
            <w:pPr>
              <w:pStyle w:val="11"/>
            </w:pPr>
            <w:r>
              <w:t>58.77</w:t>
            </w:r>
          </w:p>
        </w:tc>
        <w:tc>
          <w:tcPr>
            <w:tcW w:w="1361" w:type="dxa"/>
            <w:vAlign w:val="center"/>
          </w:tcPr>
          <w:p>
            <w:pPr>
              <w:pStyle w:val="11"/>
            </w:pPr>
          </w:p>
        </w:tc>
        <w:tc>
          <w:tcPr>
            <w:tcW w:w="1361" w:type="dxa"/>
            <w:vAlign w:val="center"/>
          </w:tcPr>
          <w:p>
            <w:pPr>
              <w:pStyle w:val="11"/>
            </w:pPr>
            <w:r>
              <w:t>58.77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410001晋州市统计局本级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596.93</w:t>
            </w:r>
          </w:p>
        </w:tc>
        <w:tc>
          <w:tcPr>
            <w:tcW w:w="3402" w:type="dxa"/>
            <w:vAlign w:val="center"/>
          </w:tcPr>
          <w:p>
            <w:pPr>
              <w:pStyle w:val="12"/>
            </w:pPr>
            <w:r>
              <w:t>一、一般公共服务支出</w:t>
            </w:r>
          </w:p>
        </w:tc>
        <w:tc>
          <w:tcPr>
            <w:tcW w:w="1474" w:type="dxa"/>
            <w:vAlign w:val="center"/>
          </w:tcPr>
          <w:p>
            <w:pPr>
              <w:pStyle w:val="11"/>
            </w:pPr>
            <w:r>
              <w:t>596.93</w:t>
            </w:r>
          </w:p>
        </w:tc>
        <w:tc>
          <w:tcPr>
            <w:tcW w:w="1474" w:type="dxa"/>
            <w:vAlign w:val="center"/>
          </w:tcPr>
          <w:p>
            <w:pPr>
              <w:pStyle w:val="11"/>
            </w:pPr>
            <w:r>
              <w:t>596.93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596.93</w:t>
            </w:r>
          </w:p>
        </w:tc>
        <w:tc>
          <w:tcPr>
            <w:tcW w:w="3402" w:type="dxa"/>
            <w:vAlign w:val="center"/>
          </w:tcPr>
          <w:p>
            <w:pPr>
              <w:pStyle w:val="14"/>
            </w:pPr>
            <w:r>
              <w:t>本年支出合计</w:t>
            </w:r>
          </w:p>
        </w:tc>
        <w:tc>
          <w:tcPr>
            <w:tcW w:w="1474" w:type="dxa"/>
            <w:vAlign w:val="center"/>
          </w:tcPr>
          <w:p>
            <w:pPr>
              <w:pStyle w:val="15"/>
            </w:pPr>
            <w:r>
              <w:t>596.93</w:t>
            </w:r>
          </w:p>
        </w:tc>
        <w:tc>
          <w:tcPr>
            <w:tcW w:w="1474" w:type="dxa"/>
            <w:vAlign w:val="center"/>
          </w:tcPr>
          <w:p>
            <w:pPr>
              <w:pStyle w:val="15"/>
            </w:pPr>
            <w:r>
              <w:t>596.93</w:t>
            </w: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596.93</w:t>
            </w:r>
          </w:p>
        </w:tc>
        <w:tc>
          <w:tcPr>
            <w:tcW w:w="3402" w:type="dxa"/>
            <w:vAlign w:val="center"/>
          </w:tcPr>
          <w:p>
            <w:pPr>
              <w:pStyle w:val="14"/>
            </w:pPr>
            <w:r>
              <w:t>支出总计</w:t>
            </w:r>
          </w:p>
        </w:tc>
        <w:tc>
          <w:tcPr>
            <w:tcW w:w="1474" w:type="dxa"/>
            <w:vAlign w:val="center"/>
          </w:tcPr>
          <w:p>
            <w:pPr>
              <w:pStyle w:val="15"/>
            </w:pPr>
            <w:r>
              <w:t>596.93</w:t>
            </w:r>
          </w:p>
        </w:tc>
        <w:tc>
          <w:tcPr>
            <w:tcW w:w="1474" w:type="dxa"/>
            <w:vAlign w:val="center"/>
          </w:tcPr>
          <w:p>
            <w:pPr>
              <w:pStyle w:val="15"/>
            </w:pPr>
            <w:r>
              <w:t>596.93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410001晋州市统计局本级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596.93</w:t>
            </w:r>
          </w:p>
        </w:tc>
        <w:tc>
          <w:tcPr>
            <w:tcW w:w="2551" w:type="dxa"/>
            <w:vAlign w:val="center"/>
          </w:tcPr>
          <w:p>
            <w:pPr>
              <w:pStyle w:val="15"/>
            </w:pPr>
            <w:r>
              <w:t>392.38</w:t>
            </w:r>
          </w:p>
        </w:tc>
        <w:tc>
          <w:tcPr>
            <w:tcW w:w="2551" w:type="dxa"/>
            <w:vAlign w:val="center"/>
          </w:tcPr>
          <w:p>
            <w:pPr>
              <w:pStyle w:val="15"/>
            </w:pPr>
            <w:r>
              <w:t>204.55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596.93</w:t>
            </w:r>
          </w:p>
        </w:tc>
        <w:tc>
          <w:tcPr>
            <w:tcW w:w="2551" w:type="dxa"/>
            <w:vAlign w:val="center"/>
          </w:tcPr>
          <w:p>
            <w:pPr>
              <w:pStyle w:val="11"/>
            </w:pPr>
            <w:r>
              <w:t>392.38</w:t>
            </w:r>
          </w:p>
        </w:tc>
        <w:tc>
          <w:tcPr>
            <w:tcW w:w="2551" w:type="dxa"/>
            <w:vAlign w:val="center"/>
          </w:tcPr>
          <w:p>
            <w:pPr>
              <w:pStyle w:val="11"/>
            </w:pPr>
            <w:r>
              <w:t>204.55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20105</w:t>
            </w:r>
          </w:p>
        </w:tc>
        <w:tc>
          <w:tcPr>
            <w:tcW w:w="4535" w:type="dxa"/>
            <w:vAlign w:val="center"/>
          </w:tcPr>
          <w:p>
            <w:pPr>
              <w:pStyle w:val="12"/>
            </w:pPr>
            <w:r>
              <w:t>统计信息事务</w:t>
            </w:r>
          </w:p>
        </w:tc>
        <w:tc>
          <w:tcPr>
            <w:tcW w:w="2551" w:type="dxa"/>
            <w:vAlign w:val="center"/>
          </w:tcPr>
          <w:p>
            <w:pPr>
              <w:pStyle w:val="11"/>
            </w:pPr>
            <w:r>
              <w:t>596.93</w:t>
            </w:r>
          </w:p>
        </w:tc>
        <w:tc>
          <w:tcPr>
            <w:tcW w:w="2551" w:type="dxa"/>
            <w:vAlign w:val="center"/>
          </w:tcPr>
          <w:p>
            <w:pPr>
              <w:pStyle w:val="11"/>
            </w:pPr>
            <w:r>
              <w:t>392.38</w:t>
            </w:r>
          </w:p>
        </w:tc>
        <w:tc>
          <w:tcPr>
            <w:tcW w:w="2551" w:type="dxa"/>
            <w:vAlign w:val="center"/>
          </w:tcPr>
          <w:p>
            <w:pPr>
              <w:pStyle w:val="11"/>
            </w:pPr>
            <w:r>
              <w:t>204.55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2010501</w:t>
            </w:r>
          </w:p>
        </w:tc>
        <w:tc>
          <w:tcPr>
            <w:tcW w:w="4535" w:type="dxa"/>
            <w:vAlign w:val="center"/>
          </w:tcPr>
          <w:p>
            <w:pPr>
              <w:pStyle w:val="12"/>
            </w:pPr>
            <w:r>
              <w:t>行政运行</w:t>
            </w:r>
          </w:p>
        </w:tc>
        <w:tc>
          <w:tcPr>
            <w:tcW w:w="2551" w:type="dxa"/>
            <w:vAlign w:val="center"/>
          </w:tcPr>
          <w:p>
            <w:pPr>
              <w:pStyle w:val="11"/>
            </w:pPr>
            <w:r>
              <w:t>392.38</w:t>
            </w:r>
          </w:p>
        </w:tc>
        <w:tc>
          <w:tcPr>
            <w:tcW w:w="2551" w:type="dxa"/>
            <w:vAlign w:val="center"/>
          </w:tcPr>
          <w:p>
            <w:pPr>
              <w:pStyle w:val="11"/>
            </w:pPr>
            <w:r>
              <w:t>392.38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2010502</w:t>
            </w:r>
          </w:p>
        </w:tc>
        <w:tc>
          <w:tcPr>
            <w:tcW w:w="4535" w:type="dxa"/>
            <w:vAlign w:val="center"/>
          </w:tcPr>
          <w:p>
            <w:pPr>
              <w:pStyle w:val="12"/>
            </w:pPr>
            <w:r>
              <w:t>一般行政管理事务</w:t>
            </w:r>
          </w:p>
        </w:tc>
        <w:tc>
          <w:tcPr>
            <w:tcW w:w="2551" w:type="dxa"/>
            <w:vAlign w:val="center"/>
          </w:tcPr>
          <w:p>
            <w:pPr>
              <w:pStyle w:val="11"/>
            </w:pPr>
            <w:r>
              <w:t>0.70</w:t>
            </w:r>
          </w:p>
        </w:tc>
        <w:tc>
          <w:tcPr>
            <w:tcW w:w="2551" w:type="dxa"/>
            <w:vAlign w:val="center"/>
          </w:tcPr>
          <w:p>
            <w:pPr>
              <w:pStyle w:val="11"/>
            </w:pPr>
          </w:p>
        </w:tc>
        <w:tc>
          <w:tcPr>
            <w:tcW w:w="2551" w:type="dxa"/>
            <w:vAlign w:val="center"/>
          </w:tcPr>
          <w:p>
            <w:pPr>
              <w:pStyle w:val="11"/>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2010504</w:t>
            </w:r>
          </w:p>
        </w:tc>
        <w:tc>
          <w:tcPr>
            <w:tcW w:w="4535" w:type="dxa"/>
            <w:vAlign w:val="center"/>
          </w:tcPr>
          <w:p>
            <w:pPr>
              <w:pStyle w:val="12"/>
            </w:pPr>
            <w:r>
              <w:t>信息事务</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2010505</w:t>
            </w:r>
          </w:p>
        </w:tc>
        <w:tc>
          <w:tcPr>
            <w:tcW w:w="4535" w:type="dxa"/>
            <w:vAlign w:val="center"/>
          </w:tcPr>
          <w:p>
            <w:pPr>
              <w:pStyle w:val="12"/>
            </w:pPr>
            <w:r>
              <w:t>专项统计业务</w:t>
            </w:r>
          </w:p>
        </w:tc>
        <w:tc>
          <w:tcPr>
            <w:tcW w:w="2551" w:type="dxa"/>
            <w:vAlign w:val="center"/>
          </w:tcPr>
          <w:p>
            <w:pPr>
              <w:pStyle w:val="11"/>
            </w:pPr>
            <w:r>
              <w:t>137.08</w:t>
            </w:r>
          </w:p>
        </w:tc>
        <w:tc>
          <w:tcPr>
            <w:tcW w:w="2551" w:type="dxa"/>
            <w:vAlign w:val="center"/>
          </w:tcPr>
          <w:p>
            <w:pPr>
              <w:pStyle w:val="11"/>
            </w:pPr>
          </w:p>
        </w:tc>
        <w:tc>
          <w:tcPr>
            <w:tcW w:w="2551" w:type="dxa"/>
            <w:vAlign w:val="center"/>
          </w:tcPr>
          <w:p>
            <w:pPr>
              <w:pStyle w:val="11"/>
            </w:pPr>
            <w:r>
              <w:t>137.08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2010506</w:t>
            </w:r>
          </w:p>
        </w:tc>
        <w:tc>
          <w:tcPr>
            <w:tcW w:w="4535" w:type="dxa"/>
            <w:vAlign w:val="center"/>
          </w:tcPr>
          <w:p>
            <w:pPr>
              <w:pStyle w:val="12"/>
            </w:pPr>
            <w:r>
              <w:t>统计管理</w:t>
            </w:r>
          </w:p>
        </w:tc>
        <w:tc>
          <w:tcPr>
            <w:tcW w:w="2551" w:type="dxa"/>
            <w:vAlign w:val="center"/>
          </w:tcPr>
          <w:p>
            <w:pPr>
              <w:pStyle w:val="11"/>
            </w:pPr>
            <w:r>
              <w:t>58.77</w:t>
            </w:r>
          </w:p>
        </w:tc>
        <w:tc>
          <w:tcPr>
            <w:tcW w:w="2551" w:type="dxa"/>
            <w:vAlign w:val="center"/>
          </w:tcPr>
          <w:p>
            <w:pPr>
              <w:pStyle w:val="11"/>
            </w:pPr>
          </w:p>
        </w:tc>
        <w:tc>
          <w:tcPr>
            <w:tcW w:w="2551" w:type="dxa"/>
            <w:vAlign w:val="center"/>
          </w:tcPr>
          <w:p>
            <w:pPr>
              <w:pStyle w:val="11"/>
            </w:pPr>
            <w:r>
              <w:t>58.77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410001晋州市统计局本级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392.38</w:t>
            </w:r>
          </w:p>
        </w:tc>
        <w:tc>
          <w:tcPr>
            <w:tcW w:w="2551" w:type="dxa"/>
            <w:vAlign w:val="center"/>
          </w:tcPr>
          <w:p>
            <w:pPr>
              <w:pStyle w:val="15"/>
            </w:pPr>
            <w:r>
              <w:t>347.81</w:t>
            </w:r>
          </w:p>
        </w:tc>
        <w:tc>
          <w:tcPr>
            <w:tcW w:w="2551" w:type="dxa"/>
            <w:vAlign w:val="center"/>
          </w:tcPr>
          <w:p>
            <w:pPr>
              <w:pStyle w:val="15"/>
            </w:pPr>
            <w:r>
              <w:t>44.57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286.33</w:t>
            </w:r>
          </w:p>
        </w:tc>
        <w:tc>
          <w:tcPr>
            <w:tcW w:w="2551" w:type="dxa"/>
            <w:vAlign w:val="center"/>
          </w:tcPr>
          <w:p>
            <w:pPr>
              <w:pStyle w:val="11"/>
            </w:pPr>
            <w:r>
              <w:t>286.33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104.05</w:t>
            </w:r>
          </w:p>
        </w:tc>
        <w:tc>
          <w:tcPr>
            <w:tcW w:w="2551" w:type="dxa"/>
            <w:vAlign w:val="center"/>
          </w:tcPr>
          <w:p>
            <w:pPr>
              <w:pStyle w:val="11"/>
            </w:pPr>
            <w:r>
              <w:t>104.05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50.76</w:t>
            </w:r>
          </w:p>
        </w:tc>
        <w:tc>
          <w:tcPr>
            <w:tcW w:w="2551" w:type="dxa"/>
            <w:vAlign w:val="center"/>
          </w:tcPr>
          <w:p>
            <w:pPr>
              <w:pStyle w:val="11"/>
            </w:pPr>
            <w:r>
              <w:t>50.76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46.37</w:t>
            </w:r>
          </w:p>
        </w:tc>
        <w:tc>
          <w:tcPr>
            <w:tcW w:w="2551" w:type="dxa"/>
            <w:vAlign w:val="center"/>
          </w:tcPr>
          <w:p>
            <w:pPr>
              <w:pStyle w:val="11"/>
            </w:pPr>
            <w:r>
              <w:t>46.37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10.82</w:t>
            </w:r>
          </w:p>
        </w:tc>
        <w:tc>
          <w:tcPr>
            <w:tcW w:w="2551" w:type="dxa"/>
            <w:vAlign w:val="center"/>
          </w:tcPr>
          <w:p>
            <w:pPr>
              <w:pStyle w:val="11"/>
            </w:pPr>
            <w:r>
              <w:t>10.82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29.55</w:t>
            </w:r>
          </w:p>
        </w:tc>
        <w:tc>
          <w:tcPr>
            <w:tcW w:w="2551" w:type="dxa"/>
            <w:vAlign w:val="center"/>
          </w:tcPr>
          <w:p>
            <w:pPr>
              <w:pStyle w:val="11"/>
            </w:pPr>
            <w:r>
              <w:t>29.55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12.72</w:t>
            </w:r>
          </w:p>
        </w:tc>
        <w:tc>
          <w:tcPr>
            <w:tcW w:w="2551" w:type="dxa"/>
            <w:vAlign w:val="center"/>
          </w:tcPr>
          <w:p>
            <w:pPr>
              <w:pStyle w:val="11"/>
            </w:pPr>
            <w:r>
              <w:t>12.72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6.47</w:t>
            </w:r>
          </w:p>
        </w:tc>
        <w:tc>
          <w:tcPr>
            <w:tcW w:w="2551" w:type="dxa"/>
            <w:vAlign w:val="center"/>
          </w:tcPr>
          <w:p>
            <w:pPr>
              <w:pStyle w:val="11"/>
            </w:pPr>
            <w:r>
              <w:t>6.47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1.75</w:t>
            </w:r>
          </w:p>
        </w:tc>
        <w:tc>
          <w:tcPr>
            <w:tcW w:w="2551" w:type="dxa"/>
            <w:vAlign w:val="center"/>
          </w:tcPr>
          <w:p>
            <w:pPr>
              <w:pStyle w:val="11"/>
            </w:pPr>
            <w:r>
              <w:t>1.75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23.84</w:t>
            </w:r>
          </w:p>
        </w:tc>
        <w:tc>
          <w:tcPr>
            <w:tcW w:w="2551" w:type="dxa"/>
            <w:vAlign w:val="center"/>
          </w:tcPr>
          <w:p>
            <w:pPr>
              <w:pStyle w:val="11"/>
            </w:pPr>
            <w:r>
              <w:t>23.84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44.57</w:t>
            </w:r>
          </w:p>
        </w:tc>
        <w:tc>
          <w:tcPr>
            <w:tcW w:w="2551" w:type="dxa"/>
            <w:vAlign w:val="center"/>
          </w:tcPr>
          <w:p>
            <w:pPr>
              <w:pStyle w:val="11"/>
            </w:pPr>
          </w:p>
        </w:tc>
        <w:tc>
          <w:tcPr>
            <w:tcW w:w="2551" w:type="dxa"/>
            <w:vAlign w:val="center"/>
          </w:tcPr>
          <w:p>
            <w:pPr>
              <w:pStyle w:val="11"/>
            </w:pPr>
            <w:r>
              <w:t>44.57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5.78</w:t>
            </w:r>
          </w:p>
        </w:tc>
        <w:tc>
          <w:tcPr>
            <w:tcW w:w="2551" w:type="dxa"/>
            <w:vAlign w:val="center"/>
          </w:tcPr>
          <w:p>
            <w:pPr>
              <w:pStyle w:val="11"/>
            </w:pPr>
          </w:p>
        </w:tc>
        <w:tc>
          <w:tcPr>
            <w:tcW w:w="2551" w:type="dxa"/>
            <w:vAlign w:val="center"/>
          </w:tcPr>
          <w:p>
            <w:pPr>
              <w:pStyle w:val="11"/>
            </w:pPr>
            <w:r>
              <w:t>5.78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0.38</w:t>
            </w:r>
          </w:p>
        </w:tc>
        <w:tc>
          <w:tcPr>
            <w:tcW w:w="2551" w:type="dxa"/>
            <w:vAlign w:val="center"/>
          </w:tcPr>
          <w:p>
            <w:pPr>
              <w:pStyle w:val="11"/>
            </w:pPr>
          </w:p>
        </w:tc>
        <w:tc>
          <w:tcPr>
            <w:tcW w:w="2551" w:type="dxa"/>
            <w:vAlign w:val="center"/>
          </w:tcPr>
          <w:p>
            <w:pPr>
              <w:pStyle w:val="11"/>
            </w:pPr>
            <w: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2.50</w:t>
            </w:r>
          </w:p>
        </w:tc>
        <w:tc>
          <w:tcPr>
            <w:tcW w:w="2551" w:type="dxa"/>
            <w:vAlign w:val="center"/>
          </w:tcPr>
          <w:p>
            <w:pPr>
              <w:pStyle w:val="11"/>
            </w:pPr>
          </w:p>
        </w:tc>
        <w:tc>
          <w:tcPr>
            <w:tcW w:w="2551" w:type="dxa"/>
            <w:vAlign w:val="center"/>
          </w:tcPr>
          <w:p>
            <w:pPr>
              <w:pStyle w:val="11"/>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11.40</w:t>
            </w:r>
          </w:p>
        </w:tc>
        <w:tc>
          <w:tcPr>
            <w:tcW w:w="2551" w:type="dxa"/>
            <w:vAlign w:val="center"/>
          </w:tcPr>
          <w:p>
            <w:pPr>
              <w:pStyle w:val="11"/>
            </w:pPr>
          </w:p>
        </w:tc>
        <w:tc>
          <w:tcPr>
            <w:tcW w:w="2551" w:type="dxa"/>
            <w:vAlign w:val="center"/>
          </w:tcPr>
          <w:p>
            <w:pPr>
              <w:pStyle w:val="11"/>
            </w:pPr>
            <w:r>
              <w:t>11.40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2.22</w:t>
            </w:r>
          </w:p>
        </w:tc>
        <w:tc>
          <w:tcPr>
            <w:tcW w:w="2551" w:type="dxa"/>
            <w:vAlign w:val="center"/>
          </w:tcPr>
          <w:p>
            <w:pPr>
              <w:pStyle w:val="11"/>
            </w:pPr>
          </w:p>
        </w:tc>
        <w:tc>
          <w:tcPr>
            <w:tcW w:w="2551" w:type="dxa"/>
            <w:vAlign w:val="center"/>
          </w:tcPr>
          <w:p>
            <w:pPr>
              <w:pStyle w:val="11"/>
            </w:pPr>
            <w:r>
              <w:t>2.22</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2.91</w:t>
            </w:r>
          </w:p>
        </w:tc>
        <w:tc>
          <w:tcPr>
            <w:tcW w:w="2551" w:type="dxa"/>
            <w:vAlign w:val="center"/>
          </w:tcPr>
          <w:p>
            <w:pPr>
              <w:pStyle w:val="11"/>
            </w:pPr>
          </w:p>
        </w:tc>
        <w:tc>
          <w:tcPr>
            <w:tcW w:w="2551" w:type="dxa"/>
            <w:vAlign w:val="center"/>
          </w:tcPr>
          <w:p>
            <w:pPr>
              <w:pStyle w:val="11"/>
            </w:pPr>
            <w:r>
              <w:t>2.91</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12.94</w:t>
            </w:r>
          </w:p>
        </w:tc>
        <w:tc>
          <w:tcPr>
            <w:tcW w:w="2551" w:type="dxa"/>
            <w:vAlign w:val="center"/>
          </w:tcPr>
          <w:p>
            <w:pPr>
              <w:pStyle w:val="11"/>
            </w:pPr>
          </w:p>
        </w:tc>
        <w:tc>
          <w:tcPr>
            <w:tcW w:w="2551" w:type="dxa"/>
            <w:vAlign w:val="center"/>
          </w:tcPr>
          <w:p>
            <w:pPr>
              <w:pStyle w:val="11"/>
            </w:pPr>
            <w:r>
              <w:t>12.94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6.44</w:t>
            </w:r>
          </w:p>
        </w:tc>
        <w:tc>
          <w:tcPr>
            <w:tcW w:w="2551" w:type="dxa"/>
            <w:vAlign w:val="center"/>
          </w:tcPr>
          <w:p>
            <w:pPr>
              <w:pStyle w:val="11"/>
            </w:pPr>
          </w:p>
        </w:tc>
        <w:tc>
          <w:tcPr>
            <w:tcW w:w="2551" w:type="dxa"/>
            <w:vAlign w:val="center"/>
          </w:tcPr>
          <w:p>
            <w:pPr>
              <w:pStyle w:val="11"/>
            </w:pPr>
            <w:r>
              <w:t>6.44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61.48</w:t>
            </w:r>
          </w:p>
        </w:tc>
        <w:tc>
          <w:tcPr>
            <w:tcW w:w="2551" w:type="dxa"/>
            <w:vAlign w:val="center"/>
          </w:tcPr>
          <w:p>
            <w:pPr>
              <w:pStyle w:val="11"/>
            </w:pPr>
            <w:r>
              <w:t>61.48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60.42</w:t>
            </w:r>
          </w:p>
        </w:tc>
        <w:tc>
          <w:tcPr>
            <w:tcW w:w="2551" w:type="dxa"/>
            <w:vAlign w:val="center"/>
          </w:tcPr>
          <w:p>
            <w:pPr>
              <w:pStyle w:val="11"/>
            </w:pPr>
            <w:r>
              <w:t>60.42</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1.06</w:t>
            </w:r>
          </w:p>
        </w:tc>
        <w:tc>
          <w:tcPr>
            <w:tcW w:w="2551" w:type="dxa"/>
            <w:vAlign w:val="center"/>
          </w:tcPr>
          <w:p>
            <w:pPr>
              <w:pStyle w:val="11"/>
            </w:pPr>
            <w:r>
              <w:t>1.06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410001晋州市统计局本级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410001晋州市统计局本级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410001晋州市统计局本级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2.91</w:t>
            </w:r>
          </w:p>
        </w:tc>
        <w:tc>
          <w:tcPr>
            <w:tcW w:w="2381" w:type="dxa"/>
            <w:vAlign w:val="center"/>
          </w:tcPr>
          <w:p>
            <w:pPr>
              <w:pStyle w:val="15"/>
            </w:pPr>
            <w:r>
              <w:t>2.91</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晋州市统计局本级2026年单位预算信息公开情况说明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按照《中华人民共和国预算法》、《地方预决算公开操作规程》和《关于进一步推进预算公开工作的实施意见》规定，现将晋州市统计局本级2026年单位预算公开如下：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1、依照国家法律、法规，制定全市统计工作现代化建设规划和统计调查计划，组织领导和协调全市统计工作，检查监督全市统计法规的实施。</w:t>
      </w:r>
    </w:p>
    <w:p>
      <w:pPr>
        <w:pStyle w:val="17"/>
      </w:pPr>
      <w:r>
        <w:t>2、在市政府领导下，会同有关部门组织重大的市情市力普查。</w:t>
      </w:r>
    </w:p>
    <w:p>
      <w:pPr>
        <w:pStyle w:val="17"/>
      </w:pPr>
      <w:r>
        <w:t>3、搜集、整理、提供基本统计资料，并对国民经济、社会发展和科技进步情况进行统计调查、统计分析、统计预测和统计监督，及时向市委、市政府和其它有关部门提供咨询建议。</w:t>
      </w:r>
    </w:p>
    <w:p>
      <w:pPr>
        <w:pStyle w:val="17"/>
      </w:pPr>
      <w:r>
        <w:t>4、宣传、贯彻统计法律法规，组织统计执法检查，查处统计违法案件。</w:t>
      </w:r>
    </w:p>
    <w:p>
      <w:pPr>
        <w:pStyle w:val="17"/>
      </w:pPr>
      <w:r>
        <w:t>5、为市政府考核提供统计数据。</w:t>
      </w:r>
    </w:p>
    <w:p>
      <w:pPr>
        <w:pStyle w:val="17"/>
      </w:pPr>
      <w:r>
        <w:t>6、建立和管理本市统计信息自动化系统和统计数据库。</w:t>
      </w:r>
    </w:p>
    <w:p>
      <w:pPr>
        <w:pStyle w:val="17"/>
      </w:pPr>
      <w:r>
        <w:t>7、承办市政府交办的其它事项。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晋州市统计局本级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596.93万元，其中：一般公共预算收入596.93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统计局本级年度单位预算中支出预算的总体情况。2026年支出预算596.93万元，其中基本支出392.38万元，包括人员经费347.81万元和日常公用经费44.57万元；项目支出204.55万元，主要为光纤入网经费3万元，国民经济统计资料印刷费1万元，其他劳务派遣人员58.77万元，调查经费136.08万元，县乡统计专网维护费5万元，电梯维保费用0.7万元；预计下年使用的单位资金结余0.00万元。委托业务费共计安排58.77万元，主要用于因技术原因确需对外委托的辅助性工作和确有必要对外委托开展咨询、评审、规划等工作。</w:t>
      </w:r>
    </w:p>
    <w:p>
      <w:pPr>
        <w:pStyle w:val="18"/>
      </w:pPr>
      <w:r>
        <w:t>3、比上年增减情况</w:t>
      </w:r>
    </w:p>
    <w:p>
      <w:pPr>
        <w:pStyle w:val="18"/>
      </w:pPr>
      <w:r>
        <w:t>2026年预算收支安排596.93万元，较2025年预算增加11.83万元，其中：基本支出增加11.54万元，主要为在职人员增加，对应基本支出费用增加。项目支出增加0.29万元，主要为其他劳务派遣人员保险费用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2026年，我单位机关运行经费共计安排44.57万元，主要用于日常维修、办公用房水电费、办公用房取暖费、 办公用房物业管理费等日常运行支出。</w:t>
      </w:r>
      <w:bookmarkStart w:id="1" w:name="_GoBack"/>
      <w:bookmarkEnd w:id="1"/>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2.91万元，其中因公出国（境）费0.00万元；公务用车购置及运维费2.91万元（其中：公务用车购置费为0.00万元，公务用车运维费2.91万元)；公务接待费0.00万元。与2025年相比减少0.39万元，增减变化的主要原因是节约开支，减少经费支出。</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1、电梯维保费用绩效目标表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13018326P000328100905</w:t>
            </w:r>
          </w:p>
        </w:tc>
        <w:tc>
          <w:tcPr>
            <w:tcW w:w="2835" w:type="dxa"/>
            <w:vAlign w:val="center"/>
          </w:tcPr>
          <w:p>
            <w:pPr>
              <w:pStyle w:val="10"/>
            </w:pPr>
            <w:r>
              <w:t>项目名称</w:t>
            </w:r>
          </w:p>
        </w:tc>
        <w:tc>
          <w:tcPr>
            <w:tcW w:w="6095" w:type="dxa"/>
            <w:gridSpan w:val="3"/>
            <w:vAlign w:val="center"/>
          </w:tcPr>
          <w:p>
            <w:pPr>
              <w:pStyle w:val="12"/>
            </w:pPr>
            <w:r>
              <w:t>电梯维保费用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0.70</w:t>
            </w:r>
          </w:p>
        </w:tc>
        <w:tc>
          <w:tcPr>
            <w:tcW w:w="2835" w:type="dxa"/>
            <w:vAlign w:val="center"/>
          </w:tcPr>
          <w:p>
            <w:pPr>
              <w:pStyle w:val="10"/>
            </w:pPr>
            <w:r>
              <w:t>其中：财政    资金</w:t>
            </w:r>
          </w:p>
        </w:tc>
        <w:tc>
          <w:tcPr>
            <w:tcW w:w="2551" w:type="dxa"/>
            <w:vAlign w:val="center"/>
          </w:tcPr>
          <w:p>
            <w:pPr>
              <w:pStyle w:val="12"/>
            </w:pPr>
            <w:r>
              <w:t>0.70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用于支付电梯维保费用，保障电梯运转。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1.进行电梯维保工作，方便职工上下班，提升统计工作效能。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所需维护电梯数量</w:t>
            </w:r>
          </w:p>
        </w:tc>
        <w:tc>
          <w:tcPr>
            <w:tcW w:w="5386" w:type="dxa"/>
            <w:vAlign w:val="center"/>
          </w:tcPr>
          <w:p>
            <w:pPr>
              <w:pStyle w:val="12"/>
            </w:pPr>
            <w:r>
              <w:t>所需维护电梯数量</w:t>
            </w:r>
          </w:p>
        </w:tc>
        <w:tc>
          <w:tcPr>
            <w:tcW w:w="2268" w:type="dxa"/>
            <w:vAlign w:val="center"/>
          </w:tcPr>
          <w:p>
            <w:pPr>
              <w:pStyle w:val="12"/>
            </w:pPr>
            <w:r>
              <w:t>1部</w:t>
            </w:r>
          </w:p>
        </w:tc>
        <w:tc>
          <w:tcPr>
            <w:tcW w:w="1276" w:type="dxa"/>
            <w:vAlign w:val="center"/>
          </w:tcPr>
          <w:p>
            <w:pPr>
              <w:pStyle w:val="12"/>
            </w:pPr>
            <w:r>
              <w:t>电梯维保费用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安全运行率</w:t>
            </w:r>
          </w:p>
        </w:tc>
        <w:tc>
          <w:tcPr>
            <w:tcW w:w="5386" w:type="dxa"/>
            <w:vAlign w:val="center"/>
          </w:tcPr>
          <w:p>
            <w:pPr>
              <w:pStyle w:val="12"/>
            </w:pPr>
            <w:r>
              <w:t>安全运行率</w:t>
            </w:r>
          </w:p>
        </w:tc>
        <w:tc>
          <w:tcPr>
            <w:tcW w:w="2268" w:type="dxa"/>
            <w:vAlign w:val="center"/>
          </w:tcPr>
          <w:p>
            <w:pPr>
              <w:pStyle w:val="12"/>
            </w:pPr>
            <w:r>
              <w:t>≥90%</w:t>
            </w:r>
          </w:p>
        </w:tc>
        <w:tc>
          <w:tcPr>
            <w:tcW w:w="1276" w:type="dxa"/>
            <w:vAlign w:val="center"/>
          </w:tcPr>
          <w:p>
            <w:pPr>
              <w:pStyle w:val="12"/>
            </w:pPr>
            <w:r>
              <w:t>电梯维保费用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维保工作任务完成及时率</w:t>
            </w:r>
          </w:p>
        </w:tc>
        <w:tc>
          <w:tcPr>
            <w:tcW w:w="5386" w:type="dxa"/>
            <w:vAlign w:val="center"/>
          </w:tcPr>
          <w:p>
            <w:pPr>
              <w:pStyle w:val="12"/>
            </w:pPr>
            <w:r>
              <w:t>维保工作任务完成及时率</w:t>
            </w:r>
          </w:p>
        </w:tc>
        <w:tc>
          <w:tcPr>
            <w:tcW w:w="2268" w:type="dxa"/>
            <w:vAlign w:val="center"/>
          </w:tcPr>
          <w:p>
            <w:pPr>
              <w:pStyle w:val="12"/>
            </w:pPr>
            <w:r>
              <w:t>≥90%</w:t>
            </w:r>
          </w:p>
        </w:tc>
        <w:tc>
          <w:tcPr>
            <w:tcW w:w="1276" w:type="dxa"/>
            <w:vAlign w:val="center"/>
          </w:tcPr>
          <w:p>
            <w:pPr>
              <w:pStyle w:val="12"/>
            </w:pPr>
            <w:r>
              <w:t>电梯维保费用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设备维保所需费用</w:t>
            </w:r>
          </w:p>
        </w:tc>
        <w:tc>
          <w:tcPr>
            <w:tcW w:w="5386" w:type="dxa"/>
            <w:vAlign w:val="center"/>
          </w:tcPr>
          <w:p>
            <w:pPr>
              <w:pStyle w:val="12"/>
            </w:pPr>
            <w:r>
              <w:t>设备维保所需费用</w:t>
            </w:r>
          </w:p>
        </w:tc>
        <w:tc>
          <w:tcPr>
            <w:tcW w:w="2268" w:type="dxa"/>
            <w:vAlign w:val="center"/>
          </w:tcPr>
          <w:p>
            <w:pPr>
              <w:pStyle w:val="12"/>
            </w:pPr>
            <w:r>
              <w:t>0.7万元</w:t>
            </w:r>
          </w:p>
        </w:tc>
        <w:tc>
          <w:tcPr>
            <w:tcW w:w="1276" w:type="dxa"/>
            <w:vAlign w:val="center"/>
          </w:tcPr>
          <w:p>
            <w:pPr>
              <w:pStyle w:val="12"/>
            </w:pPr>
            <w:r>
              <w:t>电梯维保费用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持续提升统计效能</w:t>
            </w:r>
          </w:p>
        </w:tc>
        <w:tc>
          <w:tcPr>
            <w:tcW w:w="5386" w:type="dxa"/>
            <w:vAlign w:val="center"/>
          </w:tcPr>
          <w:p>
            <w:pPr>
              <w:pStyle w:val="12"/>
            </w:pPr>
            <w:r>
              <w:t>持续提升统计效能</w:t>
            </w:r>
          </w:p>
        </w:tc>
        <w:tc>
          <w:tcPr>
            <w:tcW w:w="2268" w:type="dxa"/>
            <w:vAlign w:val="center"/>
          </w:tcPr>
          <w:p>
            <w:pPr>
              <w:pStyle w:val="12"/>
            </w:pPr>
            <w:r>
              <w:t>可持续</w:t>
            </w:r>
          </w:p>
        </w:tc>
        <w:tc>
          <w:tcPr>
            <w:tcW w:w="1276" w:type="dxa"/>
            <w:vAlign w:val="center"/>
          </w:tcPr>
          <w:p>
            <w:pPr>
              <w:pStyle w:val="12"/>
            </w:pPr>
            <w:r>
              <w:t>电梯维保费用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职工满意度</w:t>
            </w:r>
          </w:p>
        </w:tc>
        <w:tc>
          <w:tcPr>
            <w:tcW w:w="5386" w:type="dxa"/>
            <w:vAlign w:val="center"/>
          </w:tcPr>
          <w:p>
            <w:pPr>
              <w:pStyle w:val="12"/>
            </w:pPr>
            <w:r>
              <w:t>职工满意度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2、调查经费绩效目标表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13018326P000328100930</w:t>
            </w:r>
          </w:p>
        </w:tc>
        <w:tc>
          <w:tcPr>
            <w:tcW w:w="2835" w:type="dxa"/>
            <w:vAlign w:val="center"/>
          </w:tcPr>
          <w:p>
            <w:pPr>
              <w:pStyle w:val="10"/>
            </w:pPr>
            <w:r>
              <w:t>项目名称</w:t>
            </w:r>
          </w:p>
        </w:tc>
        <w:tc>
          <w:tcPr>
            <w:tcW w:w="6095" w:type="dxa"/>
            <w:gridSpan w:val="3"/>
            <w:vAlign w:val="center"/>
          </w:tcPr>
          <w:p>
            <w:pPr>
              <w:pStyle w:val="12"/>
            </w:pPr>
            <w:r>
              <w:t>调查经费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136.08</w:t>
            </w:r>
          </w:p>
        </w:tc>
        <w:tc>
          <w:tcPr>
            <w:tcW w:w="2835" w:type="dxa"/>
            <w:vAlign w:val="center"/>
          </w:tcPr>
          <w:p>
            <w:pPr>
              <w:pStyle w:val="10"/>
            </w:pPr>
            <w:r>
              <w:t>其中：财政    资金</w:t>
            </w:r>
          </w:p>
        </w:tc>
        <w:tc>
          <w:tcPr>
            <w:tcW w:w="2551" w:type="dxa"/>
            <w:vAlign w:val="center"/>
          </w:tcPr>
          <w:p>
            <w:pPr>
              <w:pStyle w:val="12"/>
            </w:pPr>
            <w:r>
              <w:t>136.08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进行人员培训、资料印刷等，完成统计调查工作，提升统计人员业务素养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1.完成上级交办各类统计调查任务，服务政府决策。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培训人员数量</w:t>
            </w:r>
          </w:p>
        </w:tc>
        <w:tc>
          <w:tcPr>
            <w:tcW w:w="5386" w:type="dxa"/>
            <w:vAlign w:val="center"/>
          </w:tcPr>
          <w:p>
            <w:pPr>
              <w:pStyle w:val="12"/>
            </w:pPr>
            <w:r>
              <w:t>培训人员数量</w:t>
            </w:r>
          </w:p>
        </w:tc>
        <w:tc>
          <w:tcPr>
            <w:tcW w:w="2268" w:type="dxa"/>
            <w:vAlign w:val="center"/>
          </w:tcPr>
          <w:p>
            <w:pPr>
              <w:pStyle w:val="12"/>
            </w:pPr>
            <w:r>
              <w:t>≥90人</w:t>
            </w:r>
          </w:p>
        </w:tc>
        <w:tc>
          <w:tcPr>
            <w:tcW w:w="1276" w:type="dxa"/>
            <w:vAlign w:val="center"/>
          </w:tcPr>
          <w:p>
            <w:pPr>
              <w:pStyle w:val="12"/>
            </w:pPr>
            <w:r>
              <w:t>调查经费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调查数据合格率</w:t>
            </w:r>
          </w:p>
        </w:tc>
        <w:tc>
          <w:tcPr>
            <w:tcW w:w="5386" w:type="dxa"/>
            <w:vAlign w:val="center"/>
          </w:tcPr>
          <w:p>
            <w:pPr>
              <w:pStyle w:val="12"/>
            </w:pPr>
            <w:r>
              <w:t>调查数据合格率</w:t>
            </w:r>
          </w:p>
        </w:tc>
        <w:tc>
          <w:tcPr>
            <w:tcW w:w="2268" w:type="dxa"/>
            <w:vAlign w:val="center"/>
          </w:tcPr>
          <w:p>
            <w:pPr>
              <w:pStyle w:val="12"/>
            </w:pPr>
            <w:r>
              <w:t>≥90%</w:t>
            </w:r>
          </w:p>
        </w:tc>
        <w:tc>
          <w:tcPr>
            <w:tcW w:w="1276" w:type="dxa"/>
            <w:vAlign w:val="center"/>
          </w:tcPr>
          <w:p>
            <w:pPr>
              <w:pStyle w:val="12"/>
            </w:pPr>
            <w:r>
              <w:t>调查经费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完成调查工作及时率</w:t>
            </w:r>
          </w:p>
        </w:tc>
        <w:tc>
          <w:tcPr>
            <w:tcW w:w="5386" w:type="dxa"/>
            <w:vAlign w:val="center"/>
          </w:tcPr>
          <w:p>
            <w:pPr>
              <w:pStyle w:val="12"/>
            </w:pPr>
            <w:r>
              <w:t>完成调查工作及时率</w:t>
            </w:r>
          </w:p>
        </w:tc>
        <w:tc>
          <w:tcPr>
            <w:tcW w:w="2268" w:type="dxa"/>
            <w:vAlign w:val="center"/>
          </w:tcPr>
          <w:p>
            <w:pPr>
              <w:pStyle w:val="12"/>
            </w:pPr>
            <w:r>
              <w:t>≥90%</w:t>
            </w:r>
          </w:p>
        </w:tc>
        <w:tc>
          <w:tcPr>
            <w:tcW w:w="1276" w:type="dxa"/>
            <w:vAlign w:val="center"/>
          </w:tcPr>
          <w:p>
            <w:pPr>
              <w:pStyle w:val="12"/>
            </w:pPr>
            <w:r>
              <w:t>调查经费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完成工作需要资金</w:t>
            </w:r>
          </w:p>
        </w:tc>
        <w:tc>
          <w:tcPr>
            <w:tcW w:w="5386" w:type="dxa"/>
            <w:vAlign w:val="center"/>
          </w:tcPr>
          <w:p>
            <w:pPr>
              <w:pStyle w:val="12"/>
            </w:pPr>
            <w:r>
              <w:t>完成工作需要资金</w:t>
            </w:r>
          </w:p>
        </w:tc>
        <w:tc>
          <w:tcPr>
            <w:tcW w:w="2268" w:type="dxa"/>
            <w:vAlign w:val="center"/>
          </w:tcPr>
          <w:p>
            <w:pPr>
              <w:pStyle w:val="12"/>
            </w:pPr>
            <w:r>
              <w:t>136.08万元</w:t>
            </w:r>
          </w:p>
        </w:tc>
        <w:tc>
          <w:tcPr>
            <w:tcW w:w="1276" w:type="dxa"/>
            <w:vAlign w:val="center"/>
          </w:tcPr>
          <w:p>
            <w:pPr>
              <w:pStyle w:val="12"/>
            </w:pPr>
            <w:r>
              <w:t>调查经费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持续提升统计人员业务素质</w:t>
            </w:r>
          </w:p>
        </w:tc>
        <w:tc>
          <w:tcPr>
            <w:tcW w:w="5386" w:type="dxa"/>
            <w:vAlign w:val="center"/>
          </w:tcPr>
          <w:p>
            <w:pPr>
              <w:pStyle w:val="12"/>
            </w:pPr>
            <w:r>
              <w:t>持续提升统计人员业务素质</w:t>
            </w:r>
          </w:p>
        </w:tc>
        <w:tc>
          <w:tcPr>
            <w:tcW w:w="2268" w:type="dxa"/>
            <w:vAlign w:val="center"/>
          </w:tcPr>
          <w:p>
            <w:pPr>
              <w:pStyle w:val="12"/>
            </w:pPr>
            <w:r>
              <w:t>可持续</w:t>
            </w:r>
          </w:p>
        </w:tc>
        <w:tc>
          <w:tcPr>
            <w:tcW w:w="1276" w:type="dxa"/>
            <w:vAlign w:val="center"/>
          </w:tcPr>
          <w:p>
            <w:pPr>
              <w:pStyle w:val="12"/>
            </w:pPr>
            <w:r>
              <w:t>调查经费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3、光纤入网经费绩效目标表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13018326P00032810094K</w:t>
            </w:r>
          </w:p>
        </w:tc>
        <w:tc>
          <w:tcPr>
            <w:tcW w:w="2835" w:type="dxa"/>
            <w:vAlign w:val="center"/>
          </w:tcPr>
          <w:p>
            <w:pPr>
              <w:pStyle w:val="10"/>
            </w:pPr>
            <w:r>
              <w:t>项目名称</w:t>
            </w:r>
          </w:p>
        </w:tc>
        <w:tc>
          <w:tcPr>
            <w:tcW w:w="6095" w:type="dxa"/>
            <w:gridSpan w:val="3"/>
            <w:vAlign w:val="center"/>
          </w:tcPr>
          <w:p>
            <w:pPr>
              <w:pStyle w:val="12"/>
            </w:pPr>
            <w:r>
              <w:t>光纤入网经费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用于支付政务内网、政务外网、财务内网等网费。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1.保障统计局网络正常运转。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保障网络和线路数量</w:t>
            </w:r>
          </w:p>
        </w:tc>
        <w:tc>
          <w:tcPr>
            <w:tcW w:w="5386" w:type="dxa"/>
            <w:vAlign w:val="center"/>
          </w:tcPr>
          <w:p>
            <w:pPr>
              <w:pStyle w:val="12"/>
            </w:pPr>
            <w:r>
              <w:t>保障统计局内网、财务内网、外网、电子政务内网等使用</w:t>
            </w:r>
          </w:p>
        </w:tc>
        <w:tc>
          <w:tcPr>
            <w:tcW w:w="2268" w:type="dxa"/>
            <w:vAlign w:val="center"/>
          </w:tcPr>
          <w:p>
            <w:pPr>
              <w:pStyle w:val="12"/>
            </w:pPr>
            <w:r>
              <w:t>≥4个</w:t>
            </w:r>
          </w:p>
        </w:tc>
        <w:tc>
          <w:tcPr>
            <w:tcW w:w="1276" w:type="dxa"/>
            <w:vAlign w:val="center"/>
          </w:tcPr>
          <w:p>
            <w:pPr>
              <w:pStyle w:val="12"/>
            </w:pPr>
            <w:r>
              <w:t>光纤入网经费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网络正常运转率</w:t>
            </w:r>
          </w:p>
        </w:tc>
        <w:tc>
          <w:tcPr>
            <w:tcW w:w="5386" w:type="dxa"/>
            <w:vAlign w:val="center"/>
          </w:tcPr>
          <w:p>
            <w:pPr>
              <w:pStyle w:val="12"/>
            </w:pPr>
            <w:r>
              <w:t>网络正常运转率</w:t>
            </w:r>
          </w:p>
        </w:tc>
        <w:tc>
          <w:tcPr>
            <w:tcW w:w="2268" w:type="dxa"/>
            <w:vAlign w:val="center"/>
          </w:tcPr>
          <w:p>
            <w:pPr>
              <w:pStyle w:val="12"/>
            </w:pPr>
            <w:r>
              <w:t>≥90%</w:t>
            </w:r>
          </w:p>
        </w:tc>
        <w:tc>
          <w:tcPr>
            <w:tcW w:w="1276" w:type="dxa"/>
            <w:vAlign w:val="center"/>
          </w:tcPr>
          <w:p>
            <w:pPr>
              <w:pStyle w:val="12"/>
            </w:pPr>
            <w:r>
              <w:t>光纤入网经费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网络运行统计工作完成及时率</w:t>
            </w:r>
          </w:p>
        </w:tc>
        <w:tc>
          <w:tcPr>
            <w:tcW w:w="5386" w:type="dxa"/>
            <w:vAlign w:val="center"/>
          </w:tcPr>
          <w:p>
            <w:pPr>
              <w:pStyle w:val="12"/>
            </w:pPr>
            <w:r>
              <w:t>网络运行统计工作完成及时率</w:t>
            </w:r>
          </w:p>
        </w:tc>
        <w:tc>
          <w:tcPr>
            <w:tcW w:w="2268" w:type="dxa"/>
            <w:vAlign w:val="center"/>
          </w:tcPr>
          <w:p>
            <w:pPr>
              <w:pStyle w:val="12"/>
            </w:pPr>
            <w:r>
              <w:t>≥90%</w:t>
            </w:r>
          </w:p>
        </w:tc>
        <w:tc>
          <w:tcPr>
            <w:tcW w:w="1276" w:type="dxa"/>
            <w:vAlign w:val="center"/>
          </w:tcPr>
          <w:p>
            <w:pPr>
              <w:pStyle w:val="12"/>
            </w:pPr>
            <w:r>
              <w:t>光纤入网经费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运转成本</w:t>
            </w:r>
          </w:p>
        </w:tc>
        <w:tc>
          <w:tcPr>
            <w:tcW w:w="5386" w:type="dxa"/>
            <w:vAlign w:val="center"/>
          </w:tcPr>
          <w:p>
            <w:pPr>
              <w:pStyle w:val="12"/>
            </w:pPr>
            <w:r>
              <w:t>运转成本</w:t>
            </w:r>
          </w:p>
        </w:tc>
        <w:tc>
          <w:tcPr>
            <w:tcW w:w="2268" w:type="dxa"/>
            <w:vAlign w:val="center"/>
          </w:tcPr>
          <w:p>
            <w:pPr>
              <w:pStyle w:val="12"/>
            </w:pPr>
            <w:r>
              <w:t>3万元</w:t>
            </w:r>
          </w:p>
        </w:tc>
        <w:tc>
          <w:tcPr>
            <w:tcW w:w="1276" w:type="dxa"/>
            <w:vAlign w:val="center"/>
          </w:tcPr>
          <w:p>
            <w:pPr>
              <w:pStyle w:val="12"/>
            </w:pPr>
            <w:r>
              <w:t>光纤入网经费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持续发展作用力</w:t>
            </w:r>
          </w:p>
        </w:tc>
        <w:tc>
          <w:tcPr>
            <w:tcW w:w="5386" w:type="dxa"/>
            <w:vAlign w:val="center"/>
          </w:tcPr>
          <w:p>
            <w:pPr>
              <w:pStyle w:val="12"/>
            </w:pPr>
            <w:r>
              <w:t>持续发展作用力</w:t>
            </w:r>
          </w:p>
        </w:tc>
        <w:tc>
          <w:tcPr>
            <w:tcW w:w="2268" w:type="dxa"/>
            <w:vAlign w:val="center"/>
          </w:tcPr>
          <w:p>
            <w:pPr>
              <w:pStyle w:val="12"/>
            </w:pPr>
            <w:r>
              <w:t>可持续</w:t>
            </w:r>
          </w:p>
        </w:tc>
        <w:tc>
          <w:tcPr>
            <w:tcW w:w="1276" w:type="dxa"/>
            <w:vAlign w:val="center"/>
          </w:tcPr>
          <w:p>
            <w:pPr>
              <w:pStyle w:val="12"/>
            </w:pPr>
            <w:r>
              <w:t>光纤入网经费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4、国民经济统计资料印刷费绩效目标表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13018326P00032810097E</w:t>
            </w:r>
          </w:p>
        </w:tc>
        <w:tc>
          <w:tcPr>
            <w:tcW w:w="2835" w:type="dxa"/>
            <w:vAlign w:val="center"/>
          </w:tcPr>
          <w:p>
            <w:pPr>
              <w:pStyle w:val="10"/>
            </w:pPr>
            <w:r>
              <w:t>项目名称</w:t>
            </w:r>
          </w:p>
        </w:tc>
        <w:tc>
          <w:tcPr>
            <w:tcW w:w="6095" w:type="dxa"/>
            <w:gridSpan w:val="3"/>
            <w:vAlign w:val="center"/>
          </w:tcPr>
          <w:p>
            <w:pPr>
              <w:pStyle w:val="12"/>
            </w:pPr>
            <w:r>
              <w:t>国民经济统计资料印刷费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印刷《统计年鉴》，为政府决策提供数据支撑。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1.完成各类统计资料印刷工作，保证统计工作正常开展。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印刷册数</w:t>
            </w:r>
          </w:p>
        </w:tc>
        <w:tc>
          <w:tcPr>
            <w:tcW w:w="5386" w:type="dxa"/>
            <w:vAlign w:val="center"/>
          </w:tcPr>
          <w:p>
            <w:pPr>
              <w:pStyle w:val="12"/>
            </w:pPr>
            <w:r>
              <w:t>印刷册数</w:t>
            </w:r>
          </w:p>
        </w:tc>
        <w:tc>
          <w:tcPr>
            <w:tcW w:w="2268" w:type="dxa"/>
            <w:vAlign w:val="center"/>
          </w:tcPr>
          <w:p>
            <w:pPr>
              <w:pStyle w:val="12"/>
            </w:pPr>
            <w:r>
              <w:t>≥100本</w:t>
            </w:r>
          </w:p>
        </w:tc>
        <w:tc>
          <w:tcPr>
            <w:tcW w:w="1276" w:type="dxa"/>
            <w:vAlign w:val="center"/>
          </w:tcPr>
          <w:p>
            <w:pPr>
              <w:pStyle w:val="12"/>
            </w:pPr>
            <w:r>
              <w:t>国民经济统计资料印刷费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工作正常运转率</w:t>
            </w:r>
          </w:p>
        </w:tc>
        <w:tc>
          <w:tcPr>
            <w:tcW w:w="5386" w:type="dxa"/>
            <w:vAlign w:val="center"/>
          </w:tcPr>
          <w:p>
            <w:pPr>
              <w:pStyle w:val="12"/>
            </w:pPr>
            <w:r>
              <w:t>工作正常运转率</w:t>
            </w:r>
          </w:p>
        </w:tc>
        <w:tc>
          <w:tcPr>
            <w:tcW w:w="2268" w:type="dxa"/>
            <w:vAlign w:val="center"/>
          </w:tcPr>
          <w:p>
            <w:pPr>
              <w:pStyle w:val="12"/>
            </w:pPr>
            <w:r>
              <w:t>≥90%</w:t>
            </w:r>
          </w:p>
        </w:tc>
        <w:tc>
          <w:tcPr>
            <w:tcW w:w="1276" w:type="dxa"/>
            <w:vAlign w:val="center"/>
          </w:tcPr>
          <w:p>
            <w:pPr>
              <w:pStyle w:val="12"/>
            </w:pPr>
            <w:r>
              <w:t>国民经济统计资料印刷费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费用支付正常，保证运转</w:t>
            </w:r>
          </w:p>
        </w:tc>
        <w:tc>
          <w:tcPr>
            <w:tcW w:w="5386" w:type="dxa"/>
            <w:vAlign w:val="center"/>
          </w:tcPr>
          <w:p>
            <w:pPr>
              <w:pStyle w:val="12"/>
            </w:pPr>
            <w:r>
              <w:t>费用支付正常，保证运转</w:t>
            </w:r>
          </w:p>
        </w:tc>
        <w:tc>
          <w:tcPr>
            <w:tcW w:w="2268" w:type="dxa"/>
            <w:vAlign w:val="center"/>
          </w:tcPr>
          <w:p>
            <w:pPr>
              <w:pStyle w:val="12"/>
            </w:pPr>
            <w:r>
              <w:t>≥90%</w:t>
            </w:r>
          </w:p>
        </w:tc>
        <w:tc>
          <w:tcPr>
            <w:tcW w:w="1276" w:type="dxa"/>
            <w:vAlign w:val="center"/>
          </w:tcPr>
          <w:p>
            <w:pPr>
              <w:pStyle w:val="12"/>
            </w:pPr>
            <w:r>
              <w:t>国民经济统计资料印刷费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印刷费用标准</w:t>
            </w:r>
          </w:p>
        </w:tc>
        <w:tc>
          <w:tcPr>
            <w:tcW w:w="5386" w:type="dxa"/>
            <w:vAlign w:val="center"/>
          </w:tcPr>
          <w:p>
            <w:pPr>
              <w:pStyle w:val="12"/>
            </w:pPr>
            <w:r>
              <w:t>印刷费用标准</w:t>
            </w:r>
          </w:p>
        </w:tc>
        <w:tc>
          <w:tcPr>
            <w:tcW w:w="2268" w:type="dxa"/>
            <w:vAlign w:val="center"/>
          </w:tcPr>
          <w:p>
            <w:pPr>
              <w:pStyle w:val="12"/>
            </w:pPr>
            <w:r>
              <w:t>1万元</w:t>
            </w:r>
          </w:p>
        </w:tc>
        <w:tc>
          <w:tcPr>
            <w:tcW w:w="1276" w:type="dxa"/>
            <w:vAlign w:val="center"/>
          </w:tcPr>
          <w:p>
            <w:pPr>
              <w:pStyle w:val="12"/>
            </w:pPr>
            <w:r>
              <w:t>国民经济统计资料印刷费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持续提升统计人员业务能力</w:t>
            </w:r>
          </w:p>
        </w:tc>
        <w:tc>
          <w:tcPr>
            <w:tcW w:w="5386" w:type="dxa"/>
            <w:vAlign w:val="center"/>
          </w:tcPr>
          <w:p>
            <w:pPr>
              <w:pStyle w:val="12"/>
            </w:pPr>
            <w:r>
              <w:t>持续提升统计人员业务能力</w:t>
            </w:r>
          </w:p>
        </w:tc>
        <w:tc>
          <w:tcPr>
            <w:tcW w:w="2268" w:type="dxa"/>
            <w:vAlign w:val="center"/>
          </w:tcPr>
          <w:p>
            <w:pPr>
              <w:pStyle w:val="12"/>
            </w:pPr>
            <w:r>
              <w:t>可持续</w:t>
            </w:r>
          </w:p>
        </w:tc>
        <w:tc>
          <w:tcPr>
            <w:tcW w:w="1276" w:type="dxa"/>
            <w:vAlign w:val="center"/>
          </w:tcPr>
          <w:p>
            <w:pPr>
              <w:pStyle w:val="12"/>
            </w:pPr>
            <w:r>
              <w:t>国民经济统计资料印刷费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5、其他劳务派遣人员绩效目标表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13018326P00032810100K</w:t>
            </w:r>
          </w:p>
        </w:tc>
        <w:tc>
          <w:tcPr>
            <w:tcW w:w="2835" w:type="dxa"/>
            <w:vAlign w:val="center"/>
          </w:tcPr>
          <w:p>
            <w:pPr>
              <w:pStyle w:val="10"/>
            </w:pPr>
            <w:r>
              <w:t>项目名称</w:t>
            </w:r>
          </w:p>
        </w:tc>
        <w:tc>
          <w:tcPr>
            <w:tcW w:w="6095" w:type="dxa"/>
            <w:gridSpan w:val="3"/>
            <w:vAlign w:val="center"/>
          </w:tcPr>
          <w:p>
            <w:pPr>
              <w:pStyle w:val="12"/>
            </w:pPr>
            <w:r>
              <w:t>其他劳务派遣人员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58.77</w:t>
            </w:r>
          </w:p>
        </w:tc>
        <w:tc>
          <w:tcPr>
            <w:tcW w:w="2835" w:type="dxa"/>
            <w:vAlign w:val="center"/>
          </w:tcPr>
          <w:p>
            <w:pPr>
              <w:pStyle w:val="10"/>
            </w:pPr>
            <w:r>
              <w:t>其中：财政    资金</w:t>
            </w:r>
          </w:p>
        </w:tc>
        <w:tc>
          <w:tcPr>
            <w:tcW w:w="2551" w:type="dxa"/>
            <w:vAlign w:val="center"/>
          </w:tcPr>
          <w:p>
            <w:pPr>
              <w:pStyle w:val="12"/>
            </w:pPr>
            <w:r>
              <w:t>58.77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发放劳务派遣人员工资，保障统计工作正常运转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w:t>
            </w:r>
          </w:p>
        </w:tc>
        <w:tc>
          <w:tcPr>
            <w:tcW w:w="2835" w:type="dxa"/>
            <w:vAlign w:val="center"/>
          </w:tcPr>
          <w:p>
            <w:pPr>
              <w:pStyle w:val="13"/>
            </w:pPr>
            <w:r>
              <w:t>50%</w:t>
            </w:r>
          </w:p>
        </w:tc>
        <w:tc>
          <w:tcPr>
            <w:tcW w:w="2551" w:type="dxa"/>
            <w:vAlign w:val="center"/>
          </w:tcPr>
          <w:p>
            <w:pPr>
              <w:pStyle w:val="13"/>
            </w:pPr>
            <w:r>
              <w:t>80%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1.及时发放人员工资，履行合同职责。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劳务派遣人数</w:t>
            </w:r>
          </w:p>
        </w:tc>
        <w:tc>
          <w:tcPr>
            <w:tcW w:w="5386" w:type="dxa"/>
            <w:vAlign w:val="center"/>
          </w:tcPr>
          <w:p>
            <w:pPr>
              <w:pStyle w:val="12"/>
            </w:pPr>
            <w:r>
              <w:t>劳务派遣人数</w:t>
            </w:r>
          </w:p>
        </w:tc>
        <w:tc>
          <w:tcPr>
            <w:tcW w:w="2268" w:type="dxa"/>
            <w:vAlign w:val="center"/>
          </w:tcPr>
          <w:p>
            <w:pPr>
              <w:pStyle w:val="12"/>
            </w:pPr>
            <w:r>
              <w:t>15人</w:t>
            </w:r>
          </w:p>
        </w:tc>
        <w:tc>
          <w:tcPr>
            <w:tcW w:w="1276" w:type="dxa"/>
            <w:vAlign w:val="center"/>
          </w:tcPr>
          <w:p>
            <w:pPr>
              <w:pStyle w:val="12"/>
            </w:pPr>
            <w:r>
              <w:t>劳务派遣服务费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工作量完成率</w:t>
            </w:r>
          </w:p>
        </w:tc>
        <w:tc>
          <w:tcPr>
            <w:tcW w:w="5386" w:type="dxa"/>
            <w:vAlign w:val="center"/>
          </w:tcPr>
          <w:p>
            <w:pPr>
              <w:pStyle w:val="12"/>
            </w:pPr>
            <w:r>
              <w:t>工作量完成率</w:t>
            </w:r>
          </w:p>
        </w:tc>
        <w:tc>
          <w:tcPr>
            <w:tcW w:w="2268" w:type="dxa"/>
            <w:vAlign w:val="center"/>
          </w:tcPr>
          <w:p>
            <w:pPr>
              <w:pStyle w:val="12"/>
            </w:pPr>
            <w:r>
              <w:t>≥90%</w:t>
            </w:r>
          </w:p>
        </w:tc>
        <w:tc>
          <w:tcPr>
            <w:tcW w:w="1276" w:type="dxa"/>
            <w:vAlign w:val="center"/>
          </w:tcPr>
          <w:p>
            <w:pPr>
              <w:pStyle w:val="12"/>
            </w:pPr>
            <w:r>
              <w:t>劳务派遣服务费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统计工作按时完成率</w:t>
            </w:r>
          </w:p>
        </w:tc>
        <w:tc>
          <w:tcPr>
            <w:tcW w:w="5386" w:type="dxa"/>
            <w:vAlign w:val="center"/>
          </w:tcPr>
          <w:p>
            <w:pPr>
              <w:pStyle w:val="12"/>
            </w:pPr>
            <w:r>
              <w:t>统计工作按时完成率</w:t>
            </w:r>
          </w:p>
        </w:tc>
        <w:tc>
          <w:tcPr>
            <w:tcW w:w="2268" w:type="dxa"/>
            <w:vAlign w:val="center"/>
          </w:tcPr>
          <w:p>
            <w:pPr>
              <w:pStyle w:val="12"/>
            </w:pPr>
            <w:r>
              <w:t>≥90%</w:t>
            </w:r>
          </w:p>
        </w:tc>
        <w:tc>
          <w:tcPr>
            <w:tcW w:w="1276" w:type="dxa"/>
            <w:vAlign w:val="center"/>
          </w:tcPr>
          <w:p>
            <w:pPr>
              <w:pStyle w:val="12"/>
            </w:pPr>
            <w:r>
              <w:t>劳务派遣服务费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工资成本</w:t>
            </w:r>
          </w:p>
        </w:tc>
        <w:tc>
          <w:tcPr>
            <w:tcW w:w="5386" w:type="dxa"/>
            <w:vAlign w:val="center"/>
          </w:tcPr>
          <w:p>
            <w:pPr>
              <w:pStyle w:val="12"/>
            </w:pPr>
            <w:r>
              <w:t>工资成本</w:t>
            </w:r>
          </w:p>
        </w:tc>
        <w:tc>
          <w:tcPr>
            <w:tcW w:w="2268" w:type="dxa"/>
            <w:vAlign w:val="center"/>
          </w:tcPr>
          <w:p>
            <w:pPr>
              <w:pStyle w:val="12"/>
            </w:pPr>
            <w:r>
              <w:t>58.77万元</w:t>
            </w:r>
          </w:p>
        </w:tc>
        <w:tc>
          <w:tcPr>
            <w:tcW w:w="1276" w:type="dxa"/>
            <w:vAlign w:val="center"/>
          </w:tcPr>
          <w:p>
            <w:pPr>
              <w:pStyle w:val="12"/>
            </w:pPr>
            <w:r>
              <w:t>劳务派遣服务费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提升统计工作能力</w:t>
            </w:r>
          </w:p>
        </w:tc>
        <w:tc>
          <w:tcPr>
            <w:tcW w:w="5386" w:type="dxa"/>
            <w:vAlign w:val="center"/>
          </w:tcPr>
          <w:p>
            <w:pPr>
              <w:pStyle w:val="12"/>
            </w:pPr>
            <w:r>
              <w:t>持续提升人员积极性，保障统计工作正常运转</w:t>
            </w:r>
          </w:p>
        </w:tc>
        <w:tc>
          <w:tcPr>
            <w:tcW w:w="2268" w:type="dxa"/>
            <w:vAlign w:val="center"/>
          </w:tcPr>
          <w:p>
            <w:pPr>
              <w:pStyle w:val="12"/>
            </w:pPr>
            <w:r>
              <w:t>可持续</w:t>
            </w:r>
          </w:p>
        </w:tc>
        <w:tc>
          <w:tcPr>
            <w:tcW w:w="1276" w:type="dxa"/>
            <w:vAlign w:val="center"/>
          </w:tcPr>
          <w:p>
            <w:pPr>
              <w:pStyle w:val="12"/>
            </w:pPr>
            <w:r>
              <w:t>劳务派遣服务费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6、县乡统计专网维护费绩效目标表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13018326P00032810103E</w:t>
            </w:r>
          </w:p>
        </w:tc>
        <w:tc>
          <w:tcPr>
            <w:tcW w:w="2835" w:type="dxa"/>
            <w:vAlign w:val="center"/>
          </w:tcPr>
          <w:p>
            <w:pPr>
              <w:pStyle w:val="10"/>
            </w:pPr>
            <w:r>
              <w:t>项目名称</w:t>
            </w:r>
          </w:p>
        </w:tc>
        <w:tc>
          <w:tcPr>
            <w:tcW w:w="6095" w:type="dxa"/>
            <w:gridSpan w:val="3"/>
            <w:vAlign w:val="center"/>
          </w:tcPr>
          <w:p>
            <w:pPr>
              <w:pStyle w:val="12"/>
            </w:pPr>
            <w:r>
              <w:t>县乡统计专网维护费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用于支付联通公司网络运行维护费。</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1.建设乡镇统计专用传输网络和横向网络机房，保障统计工作开展</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建设专线数量</w:t>
            </w:r>
          </w:p>
        </w:tc>
        <w:tc>
          <w:tcPr>
            <w:tcW w:w="5386" w:type="dxa"/>
            <w:vAlign w:val="center"/>
          </w:tcPr>
          <w:p>
            <w:pPr>
              <w:pStyle w:val="12"/>
            </w:pPr>
            <w:r>
              <w:t>建设专线数量</w:t>
            </w:r>
          </w:p>
        </w:tc>
        <w:tc>
          <w:tcPr>
            <w:tcW w:w="2268" w:type="dxa"/>
            <w:vAlign w:val="center"/>
          </w:tcPr>
          <w:p>
            <w:pPr>
              <w:pStyle w:val="12"/>
            </w:pPr>
            <w:r>
              <w:t>≥10条</w:t>
            </w:r>
          </w:p>
        </w:tc>
        <w:tc>
          <w:tcPr>
            <w:tcW w:w="1276" w:type="dxa"/>
            <w:vAlign w:val="center"/>
          </w:tcPr>
          <w:p>
            <w:pPr>
              <w:pStyle w:val="12"/>
            </w:pPr>
            <w:r>
              <w:t>县乡统计专网维护费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网络正常运转率</w:t>
            </w:r>
          </w:p>
        </w:tc>
        <w:tc>
          <w:tcPr>
            <w:tcW w:w="5386" w:type="dxa"/>
            <w:vAlign w:val="center"/>
          </w:tcPr>
          <w:p>
            <w:pPr>
              <w:pStyle w:val="12"/>
            </w:pPr>
            <w:r>
              <w:t>网络正常运转率</w:t>
            </w:r>
          </w:p>
        </w:tc>
        <w:tc>
          <w:tcPr>
            <w:tcW w:w="2268" w:type="dxa"/>
            <w:vAlign w:val="center"/>
          </w:tcPr>
          <w:p>
            <w:pPr>
              <w:pStyle w:val="12"/>
            </w:pPr>
            <w:r>
              <w:t>≥90%</w:t>
            </w:r>
          </w:p>
        </w:tc>
        <w:tc>
          <w:tcPr>
            <w:tcW w:w="1276" w:type="dxa"/>
            <w:vAlign w:val="center"/>
          </w:tcPr>
          <w:p>
            <w:pPr>
              <w:pStyle w:val="12"/>
            </w:pPr>
            <w:r>
              <w:t>县乡统计专网维护费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乡镇网络运行统计工作完成及时率</w:t>
            </w:r>
          </w:p>
        </w:tc>
        <w:tc>
          <w:tcPr>
            <w:tcW w:w="5386" w:type="dxa"/>
            <w:vAlign w:val="center"/>
          </w:tcPr>
          <w:p>
            <w:pPr>
              <w:pStyle w:val="12"/>
            </w:pPr>
            <w:r>
              <w:t>乡镇网络运行统计工作完成及时率</w:t>
            </w:r>
          </w:p>
        </w:tc>
        <w:tc>
          <w:tcPr>
            <w:tcW w:w="2268" w:type="dxa"/>
            <w:vAlign w:val="center"/>
          </w:tcPr>
          <w:p>
            <w:pPr>
              <w:pStyle w:val="12"/>
            </w:pPr>
            <w:r>
              <w:t>≥90%</w:t>
            </w:r>
          </w:p>
        </w:tc>
        <w:tc>
          <w:tcPr>
            <w:tcW w:w="1276" w:type="dxa"/>
            <w:vAlign w:val="center"/>
          </w:tcPr>
          <w:p>
            <w:pPr>
              <w:pStyle w:val="12"/>
            </w:pPr>
            <w:r>
              <w:t>县乡统计专网维护费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运转成本</w:t>
            </w:r>
          </w:p>
        </w:tc>
        <w:tc>
          <w:tcPr>
            <w:tcW w:w="5386" w:type="dxa"/>
            <w:vAlign w:val="center"/>
          </w:tcPr>
          <w:p>
            <w:pPr>
              <w:pStyle w:val="12"/>
            </w:pPr>
            <w:r>
              <w:t>运转成本</w:t>
            </w:r>
          </w:p>
        </w:tc>
        <w:tc>
          <w:tcPr>
            <w:tcW w:w="2268" w:type="dxa"/>
            <w:vAlign w:val="center"/>
          </w:tcPr>
          <w:p>
            <w:pPr>
              <w:pStyle w:val="12"/>
            </w:pPr>
            <w:r>
              <w:t>5万元</w:t>
            </w:r>
          </w:p>
        </w:tc>
        <w:tc>
          <w:tcPr>
            <w:tcW w:w="1276" w:type="dxa"/>
            <w:vAlign w:val="center"/>
          </w:tcPr>
          <w:p>
            <w:pPr>
              <w:pStyle w:val="12"/>
            </w:pPr>
            <w:r>
              <w:t>县乡统计专网维护费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持续发展作用力</w:t>
            </w:r>
          </w:p>
        </w:tc>
        <w:tc>
          <w:tcPr>
            <w:tcW w:w="5386" w:type="dxa"/>
            <w:vAlign w:val="center"/>
          </w:tcPr>
          <w:p>
            <w:pPr>
              <w:pStyle w:val="12"/>
            </w:pPr>
            <w:r>
              <w:t>持续发展作用力</w:t>
            </w:r>
          </w:p>
        </w:tc>
        <w:tc>
          <w:tcPr>
            <w:tcW w:w="2268" w:type="dxa"/>
            <w:vAlign w:val="center"/>
          </w:tcPr>
          <w:p>
            <w:pPr>
              <w:pStyle w:val="12"/>
            </w:pPr>
            <w:r>
              <w:t>可持续</w:t>
            </w:r>
          </w:p>
        </w:tc>
        <w:tc>
          <w:tcPr>
            <w:tcW w:w="1276" w:type="dxa"/>
            <w:vAlign w:val="center"/>
          </w:tcPr>
          <w:p>
            <w:pPr>
              <w:pStyle w:val="12"/>
            </w:pPr>
            <w:r>
              <w:t>县乡统计专网维护费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410001晋州市统计局本级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1.50</w:t>
            </w:r>
          </w:p>
        </w:tc>
        <w:tc>
          <w:tcPr>
            <w:tcW w:w="964" w:type="dxa"/>
            <w:vAlign w:val="center"/>
          </w:tcPr>
          <w:p>
            <w:pPr>
              <w:pStyle w:val="15"/>
            </w:pPr>
            <w:r>
              <w:t>1.50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晋州市统计局本级小计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1.50</w:t>
            </w:r>
          </w:p>
        </w:tc>
        <w:tc>
          <w:tcPr>
            <w:tcW w:w="964" w:type="dxa"/>
            <w:vAlign w:val="center"/>
          </w:tcPr>
          <w:p>
            <w:pPr>
              <w:pStyle w:val="15"/>
            </w:pPr>
            <w:r>
              <w:t>1.50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9.79</w:t>
            </w:r>
          </w:p>
        </w:tc>
        <w:tc>
          <w:tcPr>
            <w:tcW w:w="1134" w:type="dxa"/>
            <w:vAlign w:val="center"/>
          </w:tcPr>
          <w:p>
            <w:pPr>
              <w:pStyle w:val="12"/>
            </w:pPr>
            <w:r>
              <w:t>其他办公用品</w:t>
            </w:r>
          </w:p>
        </w:tc>
        <w:tc>
          <w:tcPr>
            <w:tcW w:w="1134" w:type="dxa"/>
            <w:vAlign w:val="center"/>
          </w:tcPr>
          <w:p>
            <w:pPr>
              <w:pStyle w:val="12"/>
            </w:pPr>
            <w:r>
              <w:t>A05049900</w:t>
            </w:r>
          </w:p>
        </w:tc>
        <w:tc>
          <w:tcPr>
            <w:tcW w:w="709" w:type="dxa"/>
            <w:vAlign w:val="center"/>
          </w:tcPr>
          <w:p>
            <w:pPr>
              <w:pStyle w:val="13"/>
            </w:pPr>
            <w:r>
              <w:t>次</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CellMar>
            <w:top w:w="0" w:type="dxa"/>
            <w:left w:w="108" w:type="dxa"/>
            <w:bottom w:w="0" w:type="dxa"/>
            <w:right w:w="108" w:type="dxa"/>
          </w:tblCellMar>
        </w:tblPrEx>
        <w:trPr>
          <w:jc w:val="center"/>
        </w:trPr>
        <w:tc>
          <w:tcPr>
            <w:tcW w:w="1701" w:type="dxa"/>
            <w:vAlign w:val="center"/>
          </w:tcPr>
          <w:p>
            <w:pPr>
              <w:pStyle w:val="12"/>
            </w:pPr>
            <w:r>
              <w:t>调查经费</w:t>
            </w:r>
          </w:p>
        </w:tc>
        <w:tc>
          <w:tcPr>
            <w:tcW w:w="964" w:type="dxa"/>
            <w:vAlign w:val="center"/>
          </w:tcPr>
          <w:p>
            <w:pPr>
              <w:pStyle w:val="11"/>
            </w:pPr>
            <w:r>
              <w:t>136.08</w:t>
            </w:r>
          </w:p>
        </w:tc>
        <w:tc>
          <w:tcPr>
            <w:tcW w:w="1134" w:type="dxa"/>
            <w:vAlign w:val="center"/>
          </w:tcPr>
          <w:p>
            <w:pPr>
              <w:pStyle w:val="12"/>
            </w:pPr>
            <w:r>
              <w:t>其他办公设备</w:t>
            </w:r>
          </w:p>
        </w:tc>
        <w:tc>
          <w:tcPr>
            <w:tcW w:w="1134" w:type="dxa"/>
            <w:vAlign w:val="center"/>
          </w:tcPr>
          <w:p>
            <w:pPr>
              <w:pStyle w:val="12"/>
            </w:pPr>
            <w:r>
              <w:t>A02029900</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1.00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晋州市统计局本级上年末固定资产金额为205.05万元（详见下表）。本年度拟购置固定资产总额为0.00万元，已按要求列入政府采购预算，详见政府采购预算表。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410001晋州市统计局本级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205.05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837</w:t>
            </w:r>
          </w:p>
        </w:tc>
        <w:tc>
          <w:tcPr>
            <w:tcW w:w="2835" w:type="dxa"/>
            <w:vAlign w:val="center"/>
          </w:tcPr>
          <w:p>
            <w:pPr>
              <w:pStyle w:val="11"/>
            </w:pPr>
            <w:r>
              <w:t>194.45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675A17C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27</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2026-03-02T15:04:00Z</dcterms:created>
  <dc:creator>Administrator</dc:creator>
  <cp:lastModifiedBy>Administrator</cp:lastModifiedBy>
  <dcterms:modified xsi:type="dcterms:W3CDTF">2026-03-04T01:58:19Z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