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410晋州市统计局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596.93</w:t>
            </w:r>
          </w:p>
        </w:tc>
        <w:tc>
          <w:tcPr>
            <w:tcW w:w="4535" w:type="dxa"/>
            <w:vAlign w:val="center"/>
          </w:tcPr>
          <w:p>
            <w:pPr>
              <w:pStyle w:val="13"/>
            </w:pPr>
            <w:r>
              <w:t>一、一般公共服务支出</w:t>
            </w:r>
          </w:p>
        </w:tc>
        <w:tc>
          <w:tcPr>
            <w:tcW w:w="2126" w:type="dxa"/>
            <w:vAlign w:val="center"/>
          </w:tcPr>
          <w:p>
            <w:pPr>
              <w:pStyle w:val="12"/>
            </w:pPr>
            <w:r>
              <w:t>596.93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596.93</w:t>
            </w:r>
          </w:p>
        </w:tc>
        <w:tc>
          <w:tcPr>
            <w:tcW w:w="4535" w:type="dxa"/>
            <w:vAlign w:val="center"/>
          </w:tcPr>
          <w:p>
            <w:pPr>
              <w:pStyle w:val="15"/>
            </w:pPr>
            <w:r>
              <w:t>本年支出合计</w:t>
            </w:r>
          </w:p>
        </w:tc>
        <w:tc>
          <w:tcPr>
            <w:tcW w:w="2126" w:type="dxa"/>
            <w:vAlign w:val="center"/>
          </w:tcPr>
          <w:p>
            <w:pPr>
              <w:pStyle w:val="16"/>
            </w:pPr>
            <w:r>
              <w:t>596.93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596.93</w:t>
            </w:r>
          </w:p>
        </w:tc>
        <w:tc>
          <w:tcPr>
            <w:tcW w:w="4535" w:type="dxa"/>
            <w:vAlign w:val="center"/>
          </w:tcPr>
          <w:p>
            <w:pPr>
              <w:pStyle w:val="15"/>
            </w:pPr>
            <w:r>
              <w:t>支出总计</w:t>
            </w:r>
          </w:p>
        </w:tc>
        <w:tc>
          <w:tcPr>
            <w:tcW w:w="2126" w:type="dxa"/>
            <w:vAlign w:val="center"/>
          </w:tcPr>
          <w:p>
            <w:pPr>
              <w:pStyle w:val="16"/>
            </w:pPr>
            <w:r>
              <w:t>596.93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410晋州市统计局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596.93</w:t>
            </w:r>
          </w:p>
        </w:tc>
        <w:tc>
          <w:tcPr>
            <w:tcW w:w="1134" w:type="dxa"/>
            <w:vAlign w:val="center"/>
          </w:tcPr>
          <w:p>
            <w:pPr>
              <w:pStyle w:val="16"/>
            </w:pPr>
            <w:r>
              <w:t>596.93</w:t>
            </w:r>
          </w:p>
        </w:tc>
        <w:tc>
          <w:tcPr>
            <w:tcW w:w="1134" w:type="dxa"/>
            <w:vAlign w:val="center"/>
          </w:tcPr>
          <w:p>
            <w:pPr>
              <w:pStyle w:val="16"/>
            </w:pPr>
            <w:r>
              <w:t>596.93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596.93</w:t>
            </w:r>
          </w:p>
        </w:tc>
        <w:tc>
          <w:tcPr>
            <w:tcW w:w="1134" w:type="dxa"/>
            <w:vAlign w:val="center"/>
          </w:tcPr>
          <w:p>
            <w:pPr>
              <w:pStyle w:val="12"/>
            </w:pPr>
            <w:r>
              <w:t>596.93</w:t>
            </w:r>
          </w:p>
        </w:tc>
        <w:tc>
          <w:tcPr>
            <w:tcW w:w="1134" w:type="dxa"/>
            <w:vAlign w:val="center"/>
          </w:tcPr>
          <w:p>
            <w:pPr>
              <w:pStyle w:val="12"/>
            </w:pPr>
            <w:r>
              <w:t>596.93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596.93</w:t>
            </w:r>
          </w:p>
        </w:tc>
        <w:tc>
          <w:tcPr>
            <w:tcW w:w="1134" w:type="dxa"/>
            <w:vAlign w:val="center"/>
          </w:tcPr>
          <w:p>
            <w:pPr>
              <w:pStyle w:val="12"/>
            </w:pPr>
            <w:r>
              <w:t>596.93</w:t>
            </w:r>
          </w:p>
        </w:tc>
        <w:tc>
          <w:tcPr>
            <w:tcW w:w="1134" w:type="dxa"/>
            <w:vAlign w:val="center"/>
          </w:tcPr>
          <w:p>
            <w:pPr>
              <w:pStyle w:val="12"/>
            </w:pPr>
            <w:r>
              <w:t>596.93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392.38</w:t>
            </w:r>
          </w:p>
        </w:tc>
        <w:tc>
          <w:tcPr>
            <w:tcW w:w="1134" w:type="dxa"/>
            <w:vAlign w:val="center"/>
          </w:tcPr>
          <w:p>
            <w:pPr>
              <w:pStyle w:val="12"/>
            </w:pPr>
            <w:r>
              <w:t>392.38</w:t>
            </w:r>
          </w:p>
        </w:tc>
        <w:tc>
          <w:tcPr>
            <w:tcW w:w="1134" w:type="dxa"/>
            <w:vAlign w:val="center"/>
          </w:tcPr>
          <w:p>
            <w:pPr>
              <w:pStyle w:val="12"/>
            </w:pPr>
            <w:r>
              <w:t>392.38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2010502</w:t>
            </w:r>
          </w:p>
        </w:tc>
        <w:tc>
          <w:tcPr>
            <w:tcW w:w="1559" w:type="dxa"/>
            <w:vAlign w:val="center"/>
          </w:tcPr>
          <w:p>
            <w:pPr>
              <w:pStyle w:val="13"/>
            </w:pPr>
            <w:r>
              <w:t>一般行政管理事务</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2010504</w:t>
            </w:r>
          </w:p>
        </w:tc>
        <w:tc>
          <w:tcPr>
            <w:tcW w:w="1559" w:type="dxa"/>
            <w:vAlign w:val="center"/>
          </w:tcPr>
          <w:p>
            <w:pPr>
              <w:pStyle w:val="13"/>
            </w:pPr>
            <w:r>
              <w:t>信息事务</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137.08</w:t>
            </w:r>
          </w:p>
        </w:tc>
        <w:tc>
          <w:tcPr>
            <w:tcW w:w="1134" w:type="dxa"/>
            <w:vAlign w:val="center"/>
          </w:tcPr>
          <w:p>
            <w:pPr>
              <w:pStyle w:val="12"/>
            </w:pPr>
            <w:r>
              <w:t>137.08</w:t>
            </w:r>
          </w:p>
        </w:tc>
        <w:tc>
          <w:tcPr>
            <w:tcW w:w="1134" w:type="dxa"/>
            <w:vAlign w:val="center"/>
          </w:tcPr>
          <w:p>
            <w:pPr>
              <w:pStyle w:val="12"/>
            </w:pPr>
            <w:r>
              <w:t>137.08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2010506</w:t>
            </w:r>
          </w:p>
        </w:tc>
        <w:tc>
          <w:tcPr>
            <w:tcW w:w="1559" w:type="dxa"/>
            <w:vAlign w:val="center"/>
          </w:tcPr>
          <w:p>
            <w:pPr>
              <w:pStyle w:val="13"/>
            </w:pPr>
            <w:r>
              <w:t>统计管理</w:t>
            </w:r>
          </w:p>
        </w:tc>
        <w:tc>
          <w:tcPr>
            <w:tcW w:w="1134" w:type="dxa"/>
            <w:vAlign w:val="center"/>
          </w:tcPr>
          <w:p>
            <w:pPr>
              <w:pStyle w:val="12"/>
            </w:pPr>
            <w:r>
              <w:t>58.77</w:t>
            </w:r>
          </w:p>
        </w:tc>
        <w:tc>
          <w:tcPr>
            <w:tcW w:w="1134" w:type="dxa"/>
            <w:vAlign w:val="center"/>
          </w:tcPr>
          <w:p>
            <w:pPr>
              <w:pStyle w:val="12"/>
            </w:pPr>
            <w:r>
              <w:t>58.77</w:t>
            </w:r>
          </w:p>
        </w:tc>
        <w:tc>
          <w:tcPr>
            <w:tcW w:w="1134" w:type="dxa"/>
            <w:vAlign w:val="center"/>
          </w:tcPr>
          <w:p>
            <w:pPr>
              <w:pStyle w:val="12"/>
            </w:pPr>
            <w:r>
              <w:t>58.77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410晋州市统计局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596.93</w:t>
            </w:r>
          </w:p>
        </w:tc>
        <w:tc>
          <w:tcPr>
            <w:tcW w:w="1361" w:type="dxa"/>
            <w:vAlign w:val="center"/>
          </w:tcPr>
          <w:p>
            <w:pPr>
              <w:pStyle w:val="16"/>
            </w:pPr>
            <w:r>
              <w:t>392.38</w:t>
            </w:r>
          </w:p>
        </w:tc>
        <w:tc>
          <w:tcPr>
            <w:tcW w:w="1361" w:type="dxa"/>
            <w:vAlign w:val="center"/>
          </w:tcPr>
          <w:p>
            <w:pPr>
              <w:pStyle w:val="16"/>
            </w:pPr>
            <w:r>
              <w:t>204.55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596.93</w:t>
            </w:r>
          </w:p>
        </w:tc>
        <w:tc>
          <w:tcPr>
            <w:tcW w:w="1361" w:type="dxa"/>
            <w:vAlign w:val="center"/>
          </w:tcPr>
          <w:p>
            <w:pPr>
              <w:pStyle w:val="12"/>
            </w:pPr>
            <w:r>
              <w:t>392.38</w:t>
            </w:r>
          </w:p>
        </w:tc>
        <w:tc>
          <w:tcPr>
            <w:tcW w:w="1361" w:type="dxa"/>
            <w:vAlign w:val="center"/>
          </w:tcPr>
          <w:p>
            <w:pPr>
              <w:pStyle w:val="12"/>
            </w:pPr>
            <w:r>
              <w:t>204.55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596.93</w:t>
            </w:r>
          </w:p>
        </w:tc>
        <w:tc>
          <w:tcPr>
            <w:tcW w:w="1361" w:type="dxa"/>
            <w:vAlign w:val="center"/>
          </w:tcPr>
          <w:p>
            <w:pPr>
              <w:pStyle w:val="12"/>
            </w:pPr>
            <w:r>
              <w:t>392.38</w:t>
            </w:r>
          </w:p>
        </w:tc>
        <w:tc>
          <w:tcPr>
            <w:tcW w:w="1361" w:type="dxa"/>
            <w:vAlign w:val="center"/>
          </w:tcPr>
          <w:p>
            <w:pPr>
              <w:pStyle w:val="12"/>
            </w:pPr>
            <w:r>
              <w:t>204.55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392.38</w:t>
            </w:r>
          </w:p>
        </w:tc>
        <w:tc>
          <w:tcPr>
            <w:tcW w:w="1361" w:type="dxa"/>
            <w:vAlign w:val="center"/>
          </w:tcPr>
          <w:p>
            <w:pPr>
              <w:pStyle w:val="12"/>
            </w:pPr>
            <w:r>
              <w:t>392.38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2010502</w:t>
            </w:r>
          </w:p>
        </w:tc>
        <w:tc>
          <w:tcPr>
            <w:tcW w:w="4535" w:type="dxa"/>
            <w:vAlign w:val="center"/>
          </w:tcPr>
          <w:p>
            <w:pPr>
              <w:pStyle w:val="13"/>
            </w:pPr>
            <w:r>
              <w:t>一般行政管理事务</w:t>
            </w:r>
          </w:p>
        </w:tc>
        <w:tc>
          <w:tcPr>
            <w:tcW w:w="1361" w:type="dxa"/>
            <w:vAlign w:val="center"/>
          </w:tcPr>
          <w:p>
            <w:pPr>
              <w:pStyle w:val="12"/>
            </w:pPr>
            <w:r>
              <w:t>0.70</w:t>
            </w:r>
          </w:p>
        </w:tc>
        <w:tc>
          <w:tcPr>
            <w:tcW w:w="1361" w:type="dxa"/>
            <w:vAlign w:val="center"/>
          </w:tcPr>
          <w:p>
            <w:pPr>
              <w:pStyle w:val="12"/>
            </w:pPr>
          </w:p>
        </w:tc>
        <w:tc>
          <w:tcPr>
            <w:tcW w:w="1361" w:type="dxa"/>
            <w:vAlign w:val="center"/>
          </w:tcPr>
          <w:p>
            <w:pPr>
              <w:pStyle w:val="12"/>
            </w:pPr>
            <w:r>
              <w:t>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2010504</w:t>
            </w:r>
          </w:p>
        </w:tc>
        <w:tc>
          <w:tcPr>
            <w:tcW w:w="4535" w:type="dxa"/>
            <w:vAlign w:val="center"/>
          </w:tcPr>
          <w:p>
            <w:pPr>
              <w:pStyle w:val="13"/>
            </w:pPr>
            <w:r>
              <w:t>信息事务</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2010505</w:t>
            </w:r>
          </w:p>
        </w:tc>
        <w:tc>
          <w:tcPr>
            <w:tcW w:w="4535" w:type="dxa"/>
            <w:vAlign w:val="center"/>
          </w:tcPr>
          <w:p>
            <w:pPr>
              <w:pStyle w:val="13"/>
            </w:pPr>
            <w:r>
              <w:t>专项统计业务</w:t>
            </w:r>
          </w:p>
        </w:tc>
        <w:tc>
          <w:tcPr>
            <w:tcW w:w="1361" w:type="dxa"/>
            <w:vAlign w:val="center"/>
          </w:tcPr>
          <w:p>
            <w:pPr>
              <w:pStyle w:val="12"/>
            </w:pPr>
            <w:r>
              <w:t>137.08</w:t>
            </w:r>
          </w:p>
        </w:tc>
        <w:tc>
          <w:tcPr>
            <w:tcW w:w="1361" w:type="dxa"/>
            <w:vAlign w:val="center"/>
          </w:tcPr>
          <w:p>
            <w:pPr>
              <w:pStyle w:val="12"/>
            </w:pPr>
          </w:p>
        </w:tc>
        <w:tc>
          <w:tcPr>
            <w:tcW w:w="1361" w:type="dxa"/>
            <w:vAlign w:val="center"/>
          </w:tcPr>
          <w:p>
            <w:pPr>
              <w:pStyle w:val="12"/>
            </w:pPr>
            <w:r>
              <w:t>137.08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2010506</w:t>
            </w:r>
          </w:p>
        </w:tc>
        <w:tc>
          <w:tcPr>
            <w:tcW w:w="4535" w:type="dxa"/>
            <w:vAlign w:val="center"/>
          </w:tcPr>
          <w:p>
            <w:pPr>
              <w:pStyle w:val="13"/>
            </w:pPr>
            <w:r>
              <w:t>统计管理</w:t>
            </w:r>
          </w:p>
        </w:tc>
        <w:tc>
          <w:tcPr>
            <w:tcW w:w="1361" w:type="dxa"/>
            <w:vAlign w:val="center"/>
          </w:tcPr>
          <w:p>
            <w:pPr>
              <w:pStyle w:val="12"/>
            </w:pPr>
            <w:r>
              <w:t>58.77</w:t>
            </w:r>
          </w:p>
        </w:tc>
        <w:tc>
          <w:tcPr>
            <w:tcW w:w="1361" w:type="dxa"/>
            <w:vAlign w:val="center"/>
          </w:tcPr>
          <w:p>
            <w:pPr>
              <w:pStyle w:val="12"/>
            </w:pPr>
          </w:p>
        </w:tc>
        <w:tc>
          <w:tcPr>
            <w:tcW w:w="1361" w:type="dxa"/>
            <w:vAlign w:val="center"/>
          </w:tcPr>
          <w:p>
            <w:pPr>
              <w:pStyle w:val="12"/>
            </w:pPr>
            <w:r>
              <w:t>58.77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410晋州市统计局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596.93</w:t>
            </w:r>
          </w:p>
        </w:tc>
        <w:tc>
          <w:tcPr>
            <w:tcW w:w="3402" w:type="dxa"/>
            <w:vAlign w:val="center"/>
          </w:tcPr>
          <w:p>
            <w:pPr>
              <w:pStyle w:val="13"/>
            </w:pPr>
            <w:r>
              <w:t>一、一般公共服务支出</w:t>
            </w:r>
          </w:p>
        </w:tc>
        <w:tc>
          <w:tcPr>
            <w:tcW w:w="1474" w:type="dxa"/>
            <w:vAlign w:val="center"/>
          </w:tcPr>
          <w:p>
            <w:pPr>
              <w:pStyle w:val="12"/>
            </w:pPr>
            <w:r>
              <w:t>596.93</w:t>
            </w:r>
          </w:p>
        </w:tc>
        <w:tc>
          <w:tcPr>
            <w:tcW w:w="1474" w:type="dxa"/>
            <w:vAlign w:val="center"/>
          </w:tcPr>
          <w:p>
            <w:pPr>
              <w:pStyle w:val="12"/>
            </w:pPr>
            <w:r>
              <w:t>596.93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596.93</w:t>
            </w:r>
          </w:p>
        </w:tc>
        <w:tc>
          <w:tcPr>
            <w:tcW w:w="3402" w:type="dxa"/>
            <w:vAlign w:val="center"/>
          </w:tcPr>
          <w:p>
            <w:pPr>
              <w:pStyle w:val="15"/>
            </w:pPr>
            <w:r>
              <w:t>本年支出合计</w:t>
            </w:r>
          </w:p>
        </w:tc>
        <w:tc>
          <w:tcPr>
            <w:tcW w:w="1474" w:type="dxa"/>
            <w:vAlign w:val="center"/>
          </w:tcPr>
          <w:p>
            <w:pPr>
              <w:pStyle w:val="16"/>
            </w:pPr>
            <w:r>
              <w:t>596.93</w:t>
            </w:r>
          </w:p>
        </w:tc>
        <w:tc>
          <w:tcPr>
            <w:tcW w:w="1474" w:type="dxa"/>
            <w:vAlign w:val="center"/>
          </w:tcPr>
          <w:p>
            <w:pPr>
              <w:pStyle w:val="16"/>
            </w:pPr>
            <w:r>
              <w:t>596.93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596.93</w:t>
            </w:r>
          </w:p>
        </w:tc>
        <w:tc>
          <w:tcPr>
            <w:tcW w:w="3402" w:type="dxa"/>
            <w:vAlign w:val="center"/>
          </w:tcPr>
          <w:p>
            <w:pPr>
              <w:pStyle w:val="15"/>
            </w:pPr>
            <w:r>
              <w:t>支出总计</w:t>
            </w:r>
          </w:p>
        </w:tc>
        <w:tc>
          <w:tcPr>
            <w:tcW w:w="1474" w:type="dxa"/>
            <w:vAlign w:val="center"/>
          </w:tcPr>
          <w:p>
            <w:pPr>
              <w:pStyle w:val="16"/>
            </w:pPr>
            <w:r>
              <w:t>596.93</w:t>
            </w:r>
          </w:p>
        </w:tc>
        <w:tc>
          <w:tcPr>
            <w:tcW w:w="1474" w:type="dxa"/>
            <w:vAlign w:val="center"/>
          </w:tcPr>
          <w:p>
            <w:pPr>
              <w:pStyle w:val="16"/>
            </w:pPr>
            <w:r>
              <w:t>596.93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410晋州市统计局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596.93</w:t>
            </w:r>
          </w:p>
        </w:tc>
        <w:tc>
          <w:tcPr>
            <w:tcW w:w="2551" w:type="dxa"/>
            <w:vAlign w:val="center"/>
          </w:tcPr>
          <w:p>
            <w:pPr>
              <w:pStyle w:val="16"/>
            </w:pPr>
            <w:r>
              <w:t>392.38</w:t>
            </w:r>
          </w:p>
        </w:tc>
        <w:tc>
          <w:tcPr>
            <w:tcW w:w="2551" w:type="dxa"/>
            <w:vAlign w:val="center"/>
          </w:tcPr>
          <w:p>
            <w:pPr>
              <w:pStyle w:val="16"/>
            </w:pPr>
            <w:r>
              <w:t>204.55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596.93</w:t>
            </w:r>
          </w:p>
        </w:tc>
        <w:tc>
          <w:tcPr>
            <w:tcW w:w="2551" w:type="dxa"/>
            <w:vAlign w:val="center"/>
          </w:tcPr>
          <w:p>
            <w:pPr>
              <w:pStyle w:val="12"/>
            </w:pPr>
            <w:r>
              <w:t>392.38</w:t>
            </w:r>
          </w:p>
        </w:tc>
        <w:tc>
          <w:tcPr>
            <w:tcW w:w="2551" w:type="dxa"/>
            <w:vAlign w:val="center"/>
          </w:tcPr>
          <w:p>
            <w:pPr>
              <w:pStyle w:val="12"/>
            </w:pPr>
            <w:r>
              <w:t>204.55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596.93</w:t>
            </w:r>
          </w:p>
        </w:tc>
        <w:tc>
          <w:tcPr>
            <w:tcW w:w="2551" w:type="dxa"/>
            <w:vAlign w:val="center"/>
          </w:tcPr>
          <w:p>
            <w:pPr>
              <w:pStyle w:val="12"/>
            </w:pPr>
            <w:r>
              <w:t>392.38</w:t>
            </w:r>
          </w:p>
        </w:tc>
        <w:tc>
          <w:tcPr>
            <w:tcW w:w="2551" w:type="dxa"/>
            <w:vAlign w:val="center"/>
          </w:tcPr>
          <w:p>
            <w:pPr>
              <w:pStyle w:val="12"/>
            </w:pPr>
            <w:r>
              <w:t>204.55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392.38</w:t>
            </w:r>
          </w:p>
        </w:tc>
        <w:tc>
          <w:tcPr>
            <w:tcW w:w="2551" w:type="dxa"/>
            <w:vAlign w:val="center"/>
          </w:tcPr>
          <w:p>
            <w:pPr>
              <w:pStyle w:val="12"/>
            </w:pPr>
            <w:r>
              <w:t>392.38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2010502</w:t>
            </w:r>
          </w:p>
        </w:tc>
        <w:tc>
          <w:tcPr>
            <w:tcW w:w="4535" w:type="dxa"/>
            <w:vAlign w:val="center"/>
          </w:tcPr>
          <w:p>
            <w:pPr>
              <w:pStyle w:val="13"/>
            </w:pPr>
            <w:r>
              <w:t>一般行政管理事务</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2010504</w:t>
            </w:r>
          </w:p>
        </w:tc>
        <w:tc>
          <w:tcPr>
            <w:tcW w:w="4535" w:type="dxa"/>
            <w:vAlign w:val="center"/>
          </w:tcPr>
          <w:p>
            <w:pPr>
              <w:pStyle w:val="13"/>
            </w:pPr>
            <w:r>
              <w:t>信息事务</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137.08</w:t>
            </w:r>
          </w:p>
        </w:tc>
        <w:tc>
          <w:tcPr>
            <w:tcW w:w="2551" w:type="dxa"/>
            <w:vAlign w:val="center"/>
          </w:tcPr>
          <w:p>
            <w:pPr>
              <w:pStyle w:val="12"/>
            </w:pPr>
          </w:p>
        </w:tc>
        <w:tc>
          <w:tcPr>
            <w:tcW w:w="2551" w:type="dxa"/>
            <w:vAlign w:val="center"/>
          </w:tcPr>
          <w:p>
            <w:pPr>
              <w:pStyle w:val="12"/>
            </w:pPr>
            <w:r>
              <w:t>137.08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2010506</w:t>
            </w:r>
          </w:p>
        </w:tc>
        <w:tc>
          <w:tcPr>
            <w:tcW w:w="4535" w:type="dxa"/>
            <w:vAlign w:val="center"/>
          </w:tcPr>
          <w:p>
            <w:pPr>
              <w:pStyle w:val="13"/>
            </w:pPr>
            <w:r>
              <w:t>统计管理</w:t>
            </w:r>
          </w:p>
        </w:tc>
        <w:tc>
          <w:tcPr>
            <w:tcW w:w="2551" w:type="dxa"/>
            <w:vAlign w:val="center"/>
          </w:tcPr>
          <w:p>
            <w:pPr>
              <w:pStyle w:val="12"/>
            </w:pPr>
            <w:r>
              <w:t>58.77</w:t>
            </w:r>
          </w:p>
        </w:tc>
        <w:tc>
          <w:tcPr>
            <w:tcW w:w="2551" w:type="dxa"/>
            <w:vAlign w:val="center"/>
          </w:tcPr>
          <w:p>
            <w:pPr>
              <w:pStyle w:val="12"/>
            </w:pPr>
          </w:p>
        </w:tc>
        <w:tc>
          <w:tcPr>
            <w:tcW w:w="2551" w:type="dxa"/>
            <w:vAlign w:val="center"/>
          </w:tcPr>
          <w:p>
            <w:pPr>
              <w:pStyle w:val="12"/>
            </w:pPr>
            <w:r>
              <w:t>58.77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410晋州市统计局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392.38</w:t>
            </w:r>
          </w:p>
        </w:tc>
        <w:tc>
          <w:tcPr>
            <w:tcW w:w="2551" w:type="dxa"/>
            <w:vAlign w:val="center"/>
          </w:tcPr>
          <w:p>
            <w:pPr>
              <w:pStyle w:val="16"/>
            </w:pPr>
            <w:r>
              <w:t>347.81</w:t>
            </w:r>
          </w:p>
        </w:tc>
        <w:tc>
          <w:tcPr>
            <w:tcW w:w="2551" w:type="dxa"/>
            <w:vAlign w:val="center"/>
          </w:tcPr>
          <w:p>
            <w:pPr>
              <w:pStyle w:val="16"/>
            </w:pPr>
            <w:r>
              <w:t>44.57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286.33</w:t>
            </w:r>
          </w:p>
        </w:tc>
        <w:tc>
          <w:tcPr>
            <w:tcW w:w="2551" w:type="dxa"/>
            <w:vAlign w:val="center"/>
          </w:tcPr>
          <w:p>
            <w:pPr>
              <w:pStyle w:val="12"/>
            </w:pPr>
            <w:r>
              <w:t>286.33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104.05</w:t>
            </w:r>
          </w:p>
        </w:tc>
        <w:tc>
          <w:tcPr>
            <w:tcW w:w="2551" w:type="dxa"/>
            <w:vAlign w:val="center"/>
          </w:tcPr>
          <w:p>
            <w:pPr>
              <w:pStyle w:val="12"/>
            </w:pPr>
            <w:r>
              <w:t>104.05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50.76</w:t>
            </w:r>
          </w:p>
        </w:tc>
        <w:tc>
          <w:tcPr>
            <w:tcW w:w="2551" w:type="dxa"/>
            <w:vAlign w:val="center"/>
          </w:tcPr>
          <w:p>
            <w:pPr>
              <w:pStyle w:val="12"/>
            </w:pPr>
            <w:r>
              <w:t>50.76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46.37</w:t>
            </w:r>
          </w:p>
        </w:tc>
        <w:tc>
          <w:tcPr>
            <w:tcW w:w="2551" w:type="dxa"/>
            <w:vAlign w:val="center"/>
          </w:tcPr>
          <w:p>
            <w:pPr>
              <w:pStyle w:val="12"/>
            </w:pPr>
            <w:r>
              <w:t>46.37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10.82</w:t>
            </w:r>
          </w:p>
        </w:tc>
        <w:tc>
          <w:tcPr>
            <w:tcW w:w="2551" w:type="dxa"/>
            <w:vAlign w:val="center"/>
          </w:tcPr>
          <w:p>
            <w:pPr>
              <w:pStyle w:val="12"/>
            </w:pPr>
            <w:r>
              <w:t>10.82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29.55</w:t>
            </w:r>
          </w:p>
        </w:tc>
        <w:tc>
          <w:tcPr>
            <w:tcW w:w="2551" w:type="dxa"/>
            <w:vAlign w:val="center"/>
          </w:tcPr>
          <w:p>
            <w:pPr>
              <w:pStyle w:val="12"/>
            </w:pPr>
            <w:r>
              <w:t>29.55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12.72</w:t>
            </w:r>
          </w:p>
        </w:tc>
        <w:tc>
          <w:tcPr>
            <w:tcW w:w="2551" w:type="dxa"/>
            <w:vAlign w:val="center"/>
          </w:tcPr>
          <w:p>
            <w:pPr>
              <w:pStyle w:val="12"/>
            </w:pPr>
            <w:r>
              <w:t>12.72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6.47</w:t>
            </w:r>
          </w:p>
        </w:tc>
        <w:tc>
          <w:tcPr>
            <w:tcW w:w="2551" w:type="dxa"/>
            <w:vAlign w:val="center"/>
          </w:tcPr>
          <w:p>
            <w:pPr>
              <w:pStyle w:val="12"/>
            </w:pPr>
            <w:r>
              <w:t>6.47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1.75</w:t>
            </w:r>
          </w:p>
        </w:tc>
        <w:tc>
          <w:tcPr>
            <w:tcW w:w="2551" w:type="dxa"/>
            <w:vAlign w:val="center"/>
          </w:tcPr>
          <w:p>
            <w:pPr>
              <w:pStyle w:val="12"/>
            </w:pPr>
            <w:r>
              <w:t>1.75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23.84</w:t>
            </w:r>
          </w:p>
        </w:tc>
        <w:tc>
          <w:tcPr>
            <w:tcW w:w="2551" w:type="dxa"/>
            <w:vAlign w:val="center"/>
          </w:tcPr>
          <w:p>
            <w:pPr>
              <w:pStyle w:val="12"/>
            </w:pPr>
            <w:r>
              <w:t>23.84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44.57</w:t>
            </w:r>
          </w:p>
        </w:tc>
        <w:tc>
          <w:tcPr>
            <w:tcW w:w="2551" w:type="dxa"/>
            <w:vAlign w:val="center"/>
          </w:tcPr>
          <w:p>
            <w:pPr>
              <w:pStyle w:val="12"/>
            </w:pPr>
          </w:p>
        </w:tc>
        <w:tc>
          <w:tcPr>
            <w:tcW w:w="2551" w:type="dxa"/>
            <w:vAlign w:val="center"/>
          </w:tcPr>
          <w:p>
            <w:pPr>
              <w:pStyle w:val="12"/>
            </w:pPr>
            <w:r>
              <w:t>44.57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5.78</w:t>
            </w:r>
          </w:p>
        </w:tc>
        <w:tc>
          <w:tcPr>
            <w:tcW w:w="2551" w:type="dxa"/>
            <w:vAlign w:val="center"/>
          </w:tcPr>
          <w:p>
            <w:pPr>
              <w:pStyle w:val="12"/>
            </w:pPr>
          </w:p>
        </w:tc>
        <w:tc>
          <w:tcPr>
            <w:tcW w:w="2551" w:type="dxa"/>
            <w:vAlign w:val="center"/>
          </w:tcPr>
          <w:p>
            <w:pPr>
              <w:pStyle w:val="12"/>
            </w:pPr>
            <w:r>
              <w:t>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0.38</w:t>
            </w:r>
          </w:p>
        </w:tc>
        <w:tc>
          <w:tcPr>
            <w:tcW w:w="2551" w:type="dxa"/>
            <w:vAlign w:val="center"/>
          </w:tcPr>
          <w:p>
            <w:pPr>
              <w:pStyle w:val="12"/>
            </w:pPr>
          </w:p>
        </w:tc>
        <w:tc>
          <w:tcPr>
            <w:tcW w:w="2551" w:type="dxa"/>
            <w:vAlign w:val="center"/>
          </w:tcPr>
          <w:p>
            <w:pPr>
              <w:pStyle w:val="12"/>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11.40</w:t>
            </w:r>
          </w:p>
        </w:tc>
        <w:tc>
          <w:tcPr>
            <w:tcW w:w="2551" w:type="dxa"/>
            <w:vAlign w:val="center"/>
          </w:tcPr>
          <w:p>
            <w:pPr>
              <w:pStyle w:val="12"/>
            </w:pPr>
          </w:p>
        </w:tc>
        <w:tc>
          <w:tcPr>
            <w:tcW w:w="2551" w:type="dxa"/>
            <w:vAlign w:val="center"/>
          </w:tcPr>
          <w:p>
            <w:pPr>
              <w:pStyle w:val="12"/>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2.22</w:t>
            </w:r>
          </w:p>
        </w:tc>
        <w:tc>
          <w:tcPr>
            <w:tcW w:w="2551" w:type="dxa"/>
            <w:vAlign w:val="center"/>
          </w:tcPr>
          <w:p>
            <w:pPr>
              <w:pStyle w:val="12"/>
            </w:pPr>
          </w:p>
        </w:tc>
        <w:tc>
          <w:tcPr>
            <w:tcW w:w="2551"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12.94</w:t>
            </w:r>
          </w:p>
        </w:tc>
        <w:tc>
          <w:tcPr>
            <w:tcW w:w="2551" w:type="dxa"/>
            <w:vAlign w:val="center"/>
          </w:tcPr>
          <w:p>
            <w:pPr>
              <w:pStyle w:val="12"/>
            </w:pPr>
          </w:p>
        </w:tc>
        <w:tc>
          <w:tcPr>
            <w:tcW w:w="2551" w:type="dxa"/>
            <w:vAlign w:val="center"/>
          </w:tcPr>
          <w:p>
            <w:pPr>
              <w:pStyle w:val="12"/>
            </w:pPr>
            <w:r>
              <w:t>12.94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6.44</w:t>
            </w:r>
          </w:p>
        </w:tc>
        <w:tc>
          <w:tcPr>
            <w:tcW w:w="2551" w:type="dxa"/>
            <w:vAlign w:val="center"/>
          </w:tcPr>
          <w:p>
            <w:pPr>
              <w:pStyle w:val="12"/>
            </w:pPr>
          </w:p>
        </w:tc>
        <w:tc>
          <w:tcPr>
            <w:tcW w:w="2551" w:type="dxa"/>
            <w:vAlign w:val="center"/>
          </w:tcPr>
          <w:p>
            <w:pPr>
              <w:pStyle w:val="12"/>
            </w:pPr>
            <w: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61.48</w:t>
            </w:r>
          </w:p>
        </w:tc>
        <w:tc>
          <w:tcPr>
            <w:tcW w:w="2551" w:type="dxa"/>
            <w:vAlign w:val="center"/>
          </w:tcPr>
          <w:p>
            <w:pPr>
              <w:pStyle w:val="12"/>
            </w:pPr>
            <w:r>
              <w:t>61.48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60.42</w:t>
            </w:r>
          </w:p>
        </w:tc>
        <w:tc>
          <w:tcPr>
            <w:tcW w:w="2551" w:type="dxa"/>
            <w:vAlign w:val="center"/>
          </w:tcPr>
          <w:p>
            <w:pPr>
              <w:pStyle w:val="12"/>
            </w:pPr>
            <w:r>
              <w:t>60.42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1.06</w:t>
            </w:r>
          </w:p>
        </w:tc>
        <w:tc>
          <w:tcPr>
            <w:tcW w:w="2551" w:type="dxa"/>
            <w:vAlign w:val="center"/>
          </w:tcPr>
          <w:p>
            <w:pPr>
              <w:pStyle w:val="12"/>
            </w:pPr>
            <w:r>
              <w:t>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410晋州市统计局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410晋州市统计局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410晋州市统计局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晋州市统计局2026年部门预算信息公开情况说明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晋州市统计局2026年部门预算信息公开情况说明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按照《中华人民共和国预算法》、《地方预决算公开操作规程》和《关于进一步推进预算公开工作的实施意见》规定，现将晋州市统计局2026年部门预算公开如下：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（一）组织领导和协调管理全市统计工作，确保统计调查数据真实、准确、完整、及时。</w:t>
      </w:r>
    </w:p>
    <w:p>
      <w:pPr>
        <w:pStyle w:val="18"/>
      </w:pPr>
      <w:r>
        <w:t>（二）负责统计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8"/>
      </w:pPr>
      <w:r>
        <w:t>（三）贯彻执行河北省国民经济核算制度，组织实施全市国民经济核算制度和民营经济统计工作；组织实施投入产出调查工作；整理、测算和提供国民经济材料，监督管理全市国民经济核算工作。</w:t>
      </w:r>
    </w:p>
    <w:p>
      <w:pPr>
        <w:pStyle w:val="18"/>
      </w:pPr>
      <w:r>
        <w:t>（四）拟定重大市情市力普查调查计划、方案，组织实施全市人口、经济、农业等重大普查调查，汇总、整理和提供有关市情市力方面的统计数据。</w:t>
      </w:r>
    </w:p>
    <w:p>
      <w:pPr>
        <w:pStyle w:val="18"/>
      </w:pPr>
      <w:r>
        <w:t>（五）组织实施全市农林牧渔业、农业、工业、建筑业、批发和零售业、住宿和餐饮业、房地产业、服务业及能源、投资、消费、人口和城镇化率、劳动工资、就业、社会、科技、文化产业、市乡村三级社会经济基本情况、资源环境、战略性新兴产业、高新技术产业、民营经济等统计调查，收集、汇总、整理和提供统计数据。</w:t>
      </w:r>
    </w:p>
    <w:p>
      <w:pPr>
        <w:pStyle w:val="18"/>
      </w:pPr>
      <w:r>
        <w:t>（六）组织实施市域经济发展、农业产业化、特色小镇、节能降耗、绿色发展、城镇化发展、妇女儿童监测、新产业新业态新商业模式（以下简称新经济）等统计监测，收集、整理和提供统计数据。</w:t>
      </w:r>
    </w:p>
    <w:p>
      <w:pPr>
        <w:pStyle w:val="18"/>
      </w:pPr>
      <w:r>
        <w:t>（七）综合整理和提供财政、金融、旅游、交通运输、邮政、文化、教育、体育、卫生、社会保障、公用事业、对外经济、收入、价格等基本统计数据。</w:t>
      </w:r>
    </w:p>
    <w:p>
      <w:pPr>
        <w:pStyle w:val="18"/>
      </w:pPr>
      <w:r>
        <w:t>（八）组织各乡镇（园区）和各部门的经济、社会、科技、服务业统计调查，统一核定、管理、公布全市性基本统计资料，定期发布全市国民经济和社会发展情况的统计信息，组织建立统计信息共享制度和发布制度。</w:t>
      </w:r>
    </w:p>
    <w:p>
      <w:pPr>
        <w:pStyle w:val="18"/>
      </w:pPr>
      <w:r>
        <w:t>（九）对国民经济、社会发展、科技进步和资源环境等情况进行统计分析、统计预测和统计监督，向市委、市政府及有关部门提供统计信息和咨询建议。</w:t>
      </w:r>
    </w:p>
    <w:p>
      <w:pPr>
        <w:pStyle w:val="18"/>
      </w:pPr>
      <w:r>
        <w:t>（十）组织指导专业统计基础工作、统计基层业务和规范化建设；组织建立统计信息管理制度，建立健全统计数据质量审核、监控和评估制度，开展对统计数据的检查和评估。</w:t>
      </w:r>
    </w:p>
    <w:p>
      <w:pPr>
        <w:pStyle w:val="18"/>
      </w:pPr>
      <w:r>
        <w:t>（十一）负责组织全市统计信息化系统和统计数据库体系建设工作，管理全市统计数据库网络。</w:t>
      </w:r>
    </w:p>
    <w:p>
      <w:pPr>
        <w:pStyle w:val="18"/>
      </w:pPr>
      <w:r>
        <w:t>（十二）协助管理乡镇统计工作；组织上级调查队业务工作；实施基本单位名录库规范化建设工作；完成全面小康社会统计监测工作；监督管理全市统计经费的使用工作。</w:t>
      </w:r>
    </w:p>
    <w:p>
      <w:pPr>
        <w:pStyle w:val="18"/>
      </w:pPr>
      <w:r>
        <w:t>（十三）负责规模以下工业抽样调查，规模以下工业企业成本费用调查、建筑业小微企业抽样调查、小微企业固定资产投资情况调查，规模以下企业创新调查、限额以下批发零售住宿餐饮行业抽样与问卷调查，并开展调查情况分析研究。</w:t>
      </w:r>
    </w:p>
    <w:p>
      <w:pPr>
        <w:pStyle w:val="18"/>
      </w:pPr>
      <w:r>
        <w:t>（十四）完成市委、市政府和石家庄市统计局、国家统计局石家庄调查队交办的其他任务。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按照预算管理有关规定，目前部门预算的编制实行综合预算管理，即全部收入和支出都反映在预算中。晋州市统计局机关及所属事业单位的收支包含在部门预算中。</w:t>
      </w:r>
    </w:p>
    <w:p>
      <w:pPr>
        <w:pStyle w:val="19"/>
      </w:pPr>
      <w:r>
        <w:t>1、收入说明</w:t>
      </w:r>
    </w:p>
    <w:p>
      <w:pPr>
        <w:pStyle w:val="19"/>
      </w:pPr>
      <w:r>
        <w:t>反映本部门当年全部收入。2026年预算收入596.93万元，其中：一般公共预算收入596.93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统计局年度部门预算中支出预算的总体情况。2026年支出预算596.93万元，其中基本支出392.38万元，包括人员经费347.81万元和日常公用经费44.57万元；项目支出204.55万元，主要为光纤入网经费3万元，国民经济统计资料印刷费1万元，其他劳务派遣人员58.77万元，调查经费136.08万元，县乡统计专网维护费5万元，电梯维保费用0.7万元；预计下年使用的单位资金结余0.00万元。委托业务费共计安排58.77万元，主要用于因技术原因确需对外委托的辅助性工作和确有必要对外委托开展咨询、评审、规划等工作。</w:t>
      </w:r>
    </w:p>
    <w:p>
      <w:pPr>
        <w:pStyle w:val="19"/>
      </w:pPr>
      <w:r>
        <w:t>3、比上年增减情况</w:t>
      </w:r>
    </w:p>
    <w:p>
      <w:pPr>
        <w:pStyle w:val="19"/>
      </w:pPr>
      <w:r>
        <w:t>2026年预算收支安排596.93万元，较2025年预算增加11.83万元，其中：基本支出增加11.54万元，主要为在职人员增加，对应基本支出费用增加。项目支出增加0.29万元，主要为其他劳务派遣人员保险费用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2026年，我部门机关运行经费共计安排44.57万元，主要用于日常维修、办公用房水电费、办公用房取暖费、办公用房物业管理费等日常运行支出。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0.39万元，增减变化的主要原因是节约开支，压减公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依据上级部门重要工作部署、部门战略发展规划、年度工作计划与工作要点等，确定本部门总体绩效目标。第五次全国经济普查是一项重大的国情国力调查，普查的主要内容包括普查对象的基本情况、组织结构、人员工资、生产能力、财务状况、生产经营、能源生产和消费、研发活动、信息化建设和电子商务交易情况，以及投入结构、产品使用去向和固定资产投资构成情况等，此次普查将统筹开展投入产出调查，对全市第二产业和第三产业进行全面调查，为完善经济发展战略和政策体系，促进经济长期均衡发展，科学制定国民经济和社会发展规划，推动经济高质量发展，提供科学准确的统计信息支持。名录库建设更好反映企业变动情况；调查经费包括全面小康满意度调查经费和城镇居民农村居民住户调查补贴等，全面小康满意度调查准确反映群众对小康建设的满意度，投入产出调查如实反映企业的经济效益状况，劳动力调查清楚反映劳动力的流入流出与收入状况，工业品价格调查准确反映工业品价格变动情况，城镇居民农村居民住户调查补贴如实反映居民收支状况，生猪大县调查准确反映我市生猪存出栏状况，产量大县调查准确反映我市粮食生产情况等。光纤入网经费用于支付光纤入网费用，保障各项统计工作顺利开展。劳务派遣人员劳务费用于发放劳务派遣人员工资，缴纳保险，缓解正式人员不足压力，更好满足统计工作需要。电梯维保费用确保电梯正常运行，保证单位工作正常开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 调查经费用于开展各项调查，保障决策需要。</w:t>
      </w:r>
    </w:p>
    <w:p>
      <w:pPr>
        <w:pStyle w:val="23"/>
      </w:pPr>
      <w:r>
        <w:t>绩效目标：印制宣传条幅、购买办公用品、发放记账户调查员补贴等，顺利完成调研工作。</w:t>
      </w:r>
    </w:p>
    <w:p>
      <w:pPr>
        <w:pStyle w:val="23"/>
      </w:pPr>
      <w:r>
        <w:t>绩效指标：培训人员数量≥90人；统计工作正常运转率≥90%。</w:t>
      </w:r>
    </w:p>
    <w:p>
      <w:pPr>
        <w:pStyle w:val="23"/>
      </w:pPr>
      <w:r>
        <w:t>2. 光纤入网，保障统计工作开展。</w:t>
      </w:r>
    </w:p>
    <w:p>
      <w:pPr>
        <w:pStyle w:val="23"/>
      </w:pPr>
      <w:r>
        <w:t>绩效目标：确保网络畅通，保障统计工作正常运转。</w:t>
      </w:r>
    </w:p>
    <w:p>
      <w:pPr>
        <w:pStyle w:val="23"/>
      </w:pPr>
      <w:r>
        <w:t>绩效指标：网络维护次数≥3次；网络正常运转率≥90%。</w:t>
      </w:r>
    </w:p>
    <w:p>
      <w:pPr>
        <w:pStyle w:val="23"/>
      </w:pPr>
      <w:r>
        <w:t>3. 发放劳务派遣人员工资及保险，维护其合法权益。</w:t>
      </w:r>
    </w:p>
    <w:p>
      <w:pPr>
        <w:pStyle w:val="23"/>
      </w:pPr>
      <w:r>
        <w:t>绩效目标：保障劳务派遣人员待遇。</w:t>
      </w:r>
    </w:p>
    <w:p>
      <w:pPr>
        <w:pStyle w:val="23"/>
      </w:pPr>
      <w:r>
        <w:t>绩效指标：劳务派遣人数≥15人；统计工作正常运转率≥90%。</w:t>
      </w:r>
    </w:p>
    <w:p>
      <w:pPr>
        <w:pStyle w:val="23"/>
      </w:pPr>
      <w:r>
        <w:t>4. 电梯维保经费，保障统计工作开展。</w:t>
      </w:r>
    </w:p>
    <w:p>
      <w:pPr>
        <w:pStyle w:val="23"/>
      </w:pPr>
      <w:r>
        <w:t>绩效目标：保障电梯正常运行。</w:t>
      </w:r>
    </w:p>
    <w:p>
      <w:pPr>
        <w:pStyle w:val="23"/>
      </w:pPr>
      <w:r>
        <w:t>绩效指标：电梯维保次数≥2次；统计工作正常运转率≥90%。</w:t>
      </w:r>
    </w:p>
    <w:p>
      <w:pPr>
        <w:pStyle w:val="23"/>
      </w:pPr>
      <w:r>
        <w:t>5. 乡镇统计专线入网，保障统计工作开展。</w:t>
      </w:r>
    </w:p>
    <w:p>
      <w:pPr>
        <w:pStyle w:val="23"/>
      </w:pPr>
      <w:r>
        <w:t>绩效目标：确保网络畅通，保障统计工作正常运转。</w:t>
      </w:r>
    </w:p>
    <w:p>
      <w:pPr>
        <w:pStyle w:val="23"/>
      </w:pPr>
      <w:r>
        <w:t>绩效指标：网络维护次数≥3次；网络正常运转率≥90%。</w:t>
      </w:r>
    </w:p>
    <w:p>
      <w:pPr>
        <w:pStyle w:val="23"/>
      </w:pPr>
      <w:r>
        <w:t>6. 国民经济统计资料印刷经费，保障统计工作开展。</w:t>
      </w:r>
    </w:p>
    <w:p>
      <w:pPr>
        <w:pStyle w:val="23"/>
      </w:pPr>
      <w:r>
        <w:t>绩效目标：确保资料印刷，保障统计工作正常运行。</w:t>
      </w:r>
    </w:p>
    <w:p>
      <w:pPr>
        <w:pStyle w:val="23"/>
      </w:pPr>
      <w:r>
        <w:t>绩效指标：资料印刷次数≥2次；统计工作正常运转率≥90%。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1、电梯维保费用绩效目标表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13018326P000328100905</w:t>
            </w:r>
          </w:p>
        </w:tc>
        <w:tc>
          <w:tcPr>
            <w:tcW w:w="2835" w:type="dxa"/>
            <w:vAlign w:val="center"/>
          </w:tcPr>
          <w:p>
            <w:pPr>
              <w:pStyle w:val="11"/>
            </w:pPr>
            <w:r>
              <w:t>项目名称</w:t>
            </w:r>
          </w:p>
        </w:tc>
        <w:tc>
          <w:tcPr>
            <w:tcW w:w="6095" w:type="dxa"/>
            <w:gridSpan w:val="3"/>
            <w:vAlign w:val="center"/>
          </w:tcPr>
          <w:p>
            <w:pPr>
              <w:pStyle w:val="13"/>
            </w:pPr>
            <w:r>
              <w:t>电梯维保费用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用于支付电梯维保费用，保障电梯运转。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1.进行电梯维保工作，方便职工上下班，提升统计工作效能。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所需维护电梯数量</w:t>
            </w:r>
          </w:p>
        </w:tc>
        <w:tc>
          <w:tcPr>
            <w:tcW w:w="5386" w:type="dxa"/>
            <w:vAlign w:val="center"/>
          </w:tcPr>
          <w:p>
            <w:pPr>
              <w:pStyle w:val="13"/>
            </w:pPr>
            <w:r>
              <w:t>所需维护电梯数量</w:t>
            </w:r>
          </w:p>
        </w:tc>
        <w:tc>
          <w:tcPr>
            <w:tcW w:w="2268" w:type="dxa"/>
            <w:vAlign w:val="center"/>
          </w:tcPr>
          <w:p>
            <w:pPr>
              <w:pStyle w:val="13"/>
            </w:pPr>
            <w:r>
              <w:t>1部</w:t>
            </w:r>
          </w:p>
        </w:tc>
        <w:tc>
          <w:tcPr>
            <w:tcW w:w="1276" w:type="dxa"/>
            <w:vAlign w:val="center"/>
          </w:tcPr>
          <w:p>
            <w:pPr>
              <w:pStyle w:val="13"/>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安全运行率</w:t>
            </w:r>
          </w:p>
        </w:tc>
        <w:tc>
          <w:tcPr>
            <w:tcW w:w="5386" w:type="dxa"/>
            <w:vAlign w:val="center"/>
          </w:tcPr>
          <w:p>
            <w:pPr>
              <w:pStyle w:val="13"/>
            </w:pPr>
            <w:r>
              <w:t>安全运行率</w:t>
            </w:r>
          </w:p>
        </w:tc>
        <w:tc>
          <w:tcPr>
            <w:tcW w:w="2268" w:type="dxa"/>
            <w:vAlign w:val="center"/>
          </w:tcPr>
          <w:p>
            <w:pPr>
              <w:pStyle w:val="13"/>
            </w:pPr>
            <w:r>
              <w:t>≥90%</w:t>
            </w:r>
          </w:p>
        </w:tc>
        <w:tc>
          <w:tcPr>
            <w:tcW w:w="1276" w:type="dxa"/>
            <w:vAlign w:val="center"/>
          </w:tcPr>
          <w:p>
            <w:pPr>
              <w:pStyle w:val="13"/>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维保工作任务完成及时率</w:t>
            </w:r>
          </w:p>
        </w:tc>
        <w:tc>
          <w:tcPr>
            <w:tcW w:w="5386" w:type="dxa"/>
            <w:vAlign w:val="center"/>
          </w:tcPr>
          <w:p>
            <w:pPr>
              <w:pStyle w:val="13"/>
            </w:pPr>
            <w:r>
              <w:t>维保工作任务完成及时率</w:t>
            </w:r>
          </w:p>
        </w:tc>
        <w:tc>
          <w:tcPr>
            <w:tcW w:w="2268" w:type="dxa"/>
            <w:vAlign w:val="center"/>
          </w:tcPr>
          <w:p>
            <w:pPr>
              <w:pStyle w:val="13"/>
            </w:pPr>
            <w:r>
              <w:t>≥90%</w:t>
            </w:r>
          </w:p>
        </w:tc>
        <w:tc>
          <w:tcPr>
            <w:tcW w:w="1276" w:type="dxa"/>
            <w:vAlign w:val="center"/>
          </w:tcPr>
          <w:p>
            <w:pPr>
              <w:pStyle w:val="13"/>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设备维保所需费用</w:t>
            </w:r>
          </w:p>
        </w:tc>
        <w:tc>
          <w:tcPr>
            <w:tcW w:w="5386" w:type="dxa"/>
            <w:vAlign w:val="center"/>
          </w:tcPr>
          <w:p>
            <w:pPr>
              <w:pStyle w:val="13"/>
            </w:pPr>
            <w:r>
              <w:t>设备维保所需费用</w:t>
            </w:r>
          </w:p>
        </w:tc>
        <w:tc>
          <w:tcPr>
            <w:tcW w:w="2268" w:type="dxa"/>
            <w:vAlign w:val="center"/>
          </w:tcPr>
          <w:p>
            <w:pPr>
              <w:pStyle w:val="13"/>
            </w:pPr>
            <w:r>
              <w:t>0.7万元</w:t>
            </w:r>
          </w:p>
        </w:tc>
        <w:tc>
          <w:tcPr>
            <w:tcW w:w="1276" w:type="dxa"/>
            <w:vAlign w:val="center"/>
          </w:tcPr>
          <w:p>
            <w:pPr>
              <w:pStyle w:val="13"/>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持续提升统计效能</w:t>
            </w:r>
          </w:p>
        </w:tc>
        <w:tc>
          <w:tcPr>
            <w:tcW w:w="5386" w:type="dxa"/>
            <w:vAlign w:val="center"/>
          </w:tcPr>
          <w:p>
            <w:pPr>
              <w:pStyle w:val="13"/>
            </w:pPr>
            <w:r>
              <w:t>持续提升统计效能</w:t>
            </w:r>
          </w:p>
        </w:tc>
        <w:tc>
          <w:tcPr>
            <w:tcW w:w="2268" w:type="dxa"/>
            <w:vAlign w:val="center"/>
          </w:tcPr>
          <w:p>
            <w:pPr>
              <w:pStyle w:val="13"/>
            </w:pPr>
            <w:r>
              <w:t>可持续</w:t>
            </w:r>
          </w:p>
        </w:tc>
        <w:tc>
          <w:tcPr>
            <w:tcW w:w="1276" w:type="dxa"/>
            <w:vAlign w:val="center"/>
          </w:tcPr>
          <w:p>
            <w:pPr>
              <w:pStyle w:val="13"/>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2、调查经费绩效目标表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13018326P000328100930</w:t>
            </w:r>
          </w:p>
        </w:tc>
        <w:tc>
          <w:tcPr>
            <w:tcW w:w="2835" w:type="dxa"/>
            <w:vAlign w:val="center"/>
          </w:tcPr>
          <w:p>
            <w:pPr>
              <w:pStyle w:val="11"/>
            </w:pPr>
            <w:r>
              <w:t>项目名称</w:t>
            </w:r>
          </w:p>
        </w:tc>
        <w:tc>
          <w:tcPr>
            <w:tcW w:w="6095" w:type="dxa"/>
            <w:gridSpan w:val="3"/>
            <w:vAlign w:val="center"/>
          </w:tcPr>
          <w:p>
            <w:pPr>
              <w:pStyle w:val="13"/>
            </w:pPr>
            <w:r>
              <w:t>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136.08</w:t>
            </w:r>
          </w:p>
        </w:tc>
        <w:tc>
          <w:tcPr>
            <w:tcW w:w="2835" w:type="dxa"/>
            <w:vAlign w:val="center"/>
          </w:tcPr>
          <w:p>
            <w:pPr>
              <w:pStyle w:val="11"/>
            </w:pPr>
            <w:r>
              <w:t>其中：财政    资金</w:t>
            </w:r>
          </w:p>
        </w:tc>
        <w:tc>
          <w:tcPr>
            <w:tcW w:w="2551" w:type="dxa"/>
            <w:vAlign w:val="center"/>
          </w:tcPr>
          <w:p>
            <w:pPr>
              <w:pStyle w:val="13"/>
            </w:pPr>
            <w:r>
              <w:t>136.08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进行人员培训、资料印刷等，完成统计调查工作，提升统计人员业务素养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1.完成上级交办各类统计调查任务，服务政府决策。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培训人员数量</w:t>
            </w:r>
          </w:p>
        </w:tc>
        <w:tc>
          <w:tcPr>
            <w:tcW w:w="5386" w:type="dxa"/>
            <w:vAlign w:val="center"/>
          </w:tcPr>
          <w:p>
            <w:pPr>
              <w:pStyle w:val="13"/>
            </w:pPr>
            <w:r>
              <w:t>培训人员数量</w:t>
            </w:r>
          </w:p>
        </w:tc>
        <w:tc>
          <w:tcPr>
            <w:tcW w:w="2268" w:type="dxa"/>
            <w:vAlign w:val="center"/>
          </w:tcPr>
          <w:p>
            <w:pPr>
              <w:pStyle w:val="13"/>
            </w:pPr>
            <w:r>
              <w:t>≥90人</w:t>
            </w:r>
          </w:p>
        </w:tc>
        <w:tc>
          <w:tcPr>
            <w:tcW w:w="1276" w:type="dxa"/>
            <w:vAlign w:val="center"/>
          </w:tcPr>
          <w:p>
            <w:pPr>
              <w:pStyle w:val="13"/>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调查数据合格率</w:t>
            </w:r>
          </w:p>
        </w:tc>
        <w:tc>
          <w:tcPr>
            <w:tcW w:w="5386" w:type="dxa"/>
            <w:vAlign w:val="center"/>
          </w:tcPr>
          <w:p>
            <w:pPr>
              <w:pStyle w:val="13"/>
            </w:pPr>
            <w:r>
              <w:t>调查数据合格率</w:t>
            </w:r>
          </w:p>
        </w:tc>
        <w:tc>
          <w:tcPr>
            <w:tcW w:w="2268" w:type="dxa"/>
            <w:vAlign w:val="center"/>
          </w:tcPr>
          <w:p>
            <w:pPr>
              <w:pStyle w:val="13"/>
            </w:pPr>
            <w:r>
              <w:t>≥90%</w:t>
            </w:r>
          </w:p>
        </w:tc>
        <w:tc>
          <w:tcPr>
            <w:tcW w:w="1276" w:type="dxa"/>
            <w:vAlign w:val="center"/>
          </w:tcPr>
          <w:p>
            <w:pPr>
              <w:pStyle w:val="13"/>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完成调查工作及时率</w:t>
            </w:r>
          </w:p>
        </w:tc>
        <w:tc>
          <w:tcPr>
            <w:tcW w:w="5386" w:type="dxa"/>
            <w:vAlign w:val="center"/>
          </w:tcPr>
          <w:p>
            <w:pPr>
              <w:pStyle w:val="13"/>
            </w:pPr>
            <w:r>
              <w:t>完成调查工作及时率</w:t>
            </w:r>
          </w:p>
        </w:tc>
        <w:tc>
          <w:tcPr>
            <w:tcW w:w="2268" w:type="dxa"/>
            <w:vAlign w:val="center"/>
          </w:tcPr>
          <w:p>
            <w:pPr>
              <w:pStyle w:val="13"/>
            </w:pPr>
            <w:r>
              <w:t>≥90%</w:t>
            </w:r>
          </w:p>
        </w:tc>
        <w:tc>
          <w:tcPr>
            <w:tcW w:w="1276" w:type="dxa"/>
            <w:vAlign w:val="center"/>
          </w:tcPr>
          <w:p>
            <w:pPr>
              <w:pStyle w:val="13"/>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完成工作需要资金</w:t>
            </w:r>
          </w:p>
        </w:tc>
        <w:tc>
          <w:tcPr>
            <w:tcW w:w="5386" w:type="dxa"/>
            <w:vAlign w:val="center"/>
          </w:tcPr>
          <w:p>
            <w:pPr>
              <w:pStyle w:val="13"/>
            </w:pPr>
            <w:r>
              <w:t>完成工作需要资金</w:t>
            </w:r>
          </w:p>
        </w:tc>
        <w:tc>
          <w:tcPr>
            <w:tcW w:w="2268" w:type="dxa"/>
            <w:vAlign w:val="center"/>
          </w:tcPr>
          <w:p>
            <w:pPr>
              <w:pStyle w:val="13"/>
            </w:pPr>
            <w:r>
              <w:t>136.08万元</w:t>
            </w:r>
          </w:p>
        </w:tc>
        <w:tc>
          <w:tcPr>
            <w:tcW w:w="1276" w:type="dxa"/>
            <w:vAlign w:val="center"/>
          </w:tcPr>
          <w:p>
            <w:pPr>
              <w:pStyle w:val="13"/>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持续提升统计人员业务素质</w:t>
            </w:r>
          </w:p>
        </w:tc>
        <w:tc>
          <w:tcPr>
            <w:tcW w:w="5386" w:type="dxa"/>
            <w:vAlign w:val="center"/>
          </w:tcPr>
          <w:p>
            <w:pPr>
              <w:pStyle w:val="13"/>
            </w:pPr>
            <w:r>
              <w:t>持续提升统计人员业务素质</w:t>
            </w:r>
          </w:p>
        </w:tc>
        <w:tc>
          <w:tcPr>
            <w:tcW w:w="2268" w:type="dxa"/>
            <w:vAlign w:val="center"/>
          </w:tcPr>
          <w:p>
            <w:pPr>
              <w:pStyle w:val="13"/>
            </w:pPr>
            <w:r>
              <w:t>可持续</w:t>
            </w:r>
          </w:p>
        </w:tc>
        <w:tc>
          <w:tcPr>
            <w:tcW w:w="1276" w:type="dxa"/>
            <w:vAlign w:val="center"/>
          </w:tcPr>
          <w:p>
            <w:pPr>
              <w:pStyle w:val="13"/>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3、光纤入网经费绩效目标表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13018326P00032810094K</w:t>
            </w:r>
          </w:p>
        </w:tc>
        <w:tc>
          <w:tcPr>
            <w:tcW w:w="2835" w:type="dxa"/>
            <w:vAlign w:val="center"/>
          </w:tcPr>
          <w:p>
            <w:pPr>
              <w:pStyle w:val="11"/>
            </w:pPr>
            <w:r>
              <w:t>项目名称</w:t>
            </w:r>
          </w:p>
        </w:tc>
        <w:tc>
          <w:tcPr>
            <w:tcW w:w="6095" w:type="dxa"/>
            <w:gridSpan w:val="3"/>
            <w:vAlign w:val="center"/>
          </w:tcPr>
          <w:p>
            <w:pPr>
              <w:pStyle w:val="13"/>
            </w:pPr>
            <w:r>
              <w:t>光纤入网经费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用于支付政务内网、政务外网、财务内网等网费。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1.保障统计局网络正常运转。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保障网络和线路数量</w:t>
            </w:r>
          </w:p>
        </w:tc>
        <w:tc>
          <w:tcPr>
            <w:tcW w:w="5386" w:type="dxa"/>
            <w:vAlign w:val="center"/>
          </w:tcPr>
          <w:p>
            <w:pPr>
              <w:pStyle w:val="13"/>
            </w:pPr>
            <w:r>
              <w:t>保障统计局内网、财务内网、外网、电子政务内网等使用</w:t>
            </w:r>
          </w:p>
        </w:tc>
        <w:tc>
          <w:tcPr>
            <w:tcW w:w="2268" w:type="dxa"/>
            <w:vAlign w:val="center"/>
          </w:tcPr>
          <w:p>
            <w:pPr>
              <w:pStyle w:val="13"/>
            </w:pPr>
            <w:r>
              <w:t>≥4个</w:t>
            </w:r>
          </w:p>
        </w:tc>
        <w:tc>
          <w:tcPr>
            <w:tcW w:w="1276" w:type="dxa"/>
            <w:vAlign w:val="center"/>
          </w:tcPr>
          <w:p>
            <w:pPr>
              <w:pStyle w:val="13"/>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网络正常运转率</w:t>
            </w:r>
          </w:p>
        </w:tc>
        <w:tc>
          <w:tcPr>
            <w:tcW w:w="5386" w:type="dxa"/>
            <w:vAlign w:val="center"/>
          </w:tcPr>
          <w:p>
            <w:pPr>
              <w:pStyle w:val="13"/>
            </w:pPr>
            <w:r>
              <w:t>网络正常运转率</w:t>
            </w:r>
          </w:p>
        </w:tc>
        <w:tc>
          <w:tcPr>
            <w:tcW w:w="2268" w:type="dxa"/>
            <w:vAlign w:val="center"/>
          </w:tcPr>
          <w:p>
            <w:pPr>
              <w:pStyle w:val="13"/>
            </w:pPr>
            <w:r>
              <w:t>≥90%</w:t>
            </w:r>
          </w:p>
        </w:tc>
        <w:tc>
          <w:tcPr>
            <w:tcW w:w="1276" w:type="dxa"/>
            <w:vAlign w:val="center"/>
          </w:tcPr>
          <w:p>
            <w:pPr>
              <w:pStyle w:val="13"/>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网络运行统计工作完成及时率</w:t>
            </w:r>
          </w:p>
        </w:tc>
        <w:tc>
          <w:tcPr>
            <w:tcW w:w="5386" w:type="dxa"/>
            <w:vAlign w:val="center"/>
          </w:tcPr>
          <w:p>
            <w:pPr>
              <w:pStyle w:val="13"/>
            </w:pPr>
            <w:r>
              <w:t>网络运行统计工作完成及时率</w:t>
            </w:r>
          </w:p>
        </w:tc>
        <w:tc>
          <w:tcPr>
            <w:tcW w:w="2268" w:type="dxa"/>
            <w:vAlign w:val="center"/>
          </w:tcPr>
          <w:p>
            <w:pPr>
              <w:pStyle w:val="13"/>
            </w:pPr>
            <w:r>
              <w:t>≥90%</w:t>
            </w:r>
          </w:p>
        </w:tc>
        <w:tc>
          <w:tcPr>
            <w:tcW w:w="1276" w:type="dxa"/>
            <w:vAlign w:val="center"/>
          </w:tcPr>
          <w:p>
            <w:pPr>
              <w:pStyle w:val="13"/>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运转成本</w:t>
            </w:r>
          </w:p>
        </w:tc>
        <w:tc>
          <w:tcPr>
            <w:tcW w:w="5386" w:type="dxa"/>
            <w:vAlign w:val="center"/>
          </w:tcPr>
          <w:p>
            <w:pPr>
              <w:pStyle w:val="13"/>
            </w:pPr>
            <w:r>
              <w:t>运转成本</w:t>
            </w:r>
          </w:p>
        </w:tc>
        <w:tc>
          <w:tcPr>
            <w:tcW w:w="2268" w:type="dxa"/>
            <w:vAlign w:val="center"/>
          </w:tcPr>
          <w:p>
            <w:pPr>
              <w:pStyle w:val="13"/>
            </w:pPr>
            <w:r>
              <w:t>3万元</w:t>
            </w:r>
          </w:p>
        </w:tc>
        <w:tc>
          <w:tcPr>
            <w:tcW w:w="1276" w:type="dxa"/>
            <w:vAlign w:val="center"/>
          </w:tcPr>
          <w:p>
            <w:pPr>
              <w:pStyle w:val="13"/>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5386" w:type="dxa"/>
            <w:vAlign w:val="center"/>
          </w:tcPr>
          <w:p>
            <w:pPr>
              <w:pStyle w:val="13"/>
            </w:pPr>
            <w:r>
              <w:t>持续发展作用力</w:t>
            </w:r>
          </w:p>
        </w:tc>
        <w:tc>
          <w:tcPr>
            <w:tcW w:w="2268" w:type="dxa"/>
            <w:vAlign w:val="center"/>
          </w:tcPr>
          <w:p>
            <w:pPr>
              <w:pStyle w:val="13"/>
            </w:pPr>
            <w:r>
              <w:t>可持续</w:t>
            </w:r>
          </w:p>
        </w:tc>
        <w:tc>
          <w:tcPr>
            <w:tcW w:w="1276" w:type="dxa"/>
            <w:vAlign w:val="center"/>
          </w:tcPr>
          <w:p>
            <w:pPr>
              <w:pStyle w:val="13"/>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4、国民经济统计资料印刷费绩效目标表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13018326P00032810097E</w:t>
            </w:r>
          </w:p>
        </w:tc>
        <w:tc>
          <w:tcPr>
            <w:tcW w:w="2835" w:type="dxa"/>
            <w:vAlign w:val="center"/>
          </w:tcPr>
          <w:p>
            <w:pPr>
              <w:pStyle w:val="11"/>
            </w:pPr>
            <w:r>
              <w:t>项目名称</w:t>
            </w:r>
          </w:p>
        </w:tc>
        <w:tc>
          <w:tcPr>
            <w:tcW w:w="6095" w:type="dxa"/>
            <w:gridSpan w:val="3"/>
            <w:vAlign w:val="center"/>
          </w:tcPr>
          <w:p>
            <w:pPr>
              <w:pStyle w:val="13"/>
            </w:pPr>
            <w:r>
              <w:t>国民经济统计资料印刷费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印刷《统计年鉴》，为政府决策提供数据支撑。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1.完成各类统计资料印刷工作，保证统计工作正常开展。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印刷册数</w:t>
            </w:r>
          </w:p>
        </w:tc>
        <w:tc>
          <w:tcPr>
            <w:tcW w:w="5386" w:type="dxa"/>
            <w:vAlign w:val="center"/>
          </w:tcPr>
          <w:p>
            <w:pPr>
              <w:pStyle w:val="13"/>
            </w:pPr>
            <w:r>
              <w:t>印刷册数</w:t>
            </w:r>
          </w:p>
        </w:tc>
        <w:tc>
          <w:tcPr>
            <w:tcW w:w="2268" w:type="dxa"/>
            <w:vAlign w:val="center"/>
          </w:tcPr>
          <w:p>
            <w:pPr>
              <w:pStyle w:val="13"/>
            </w:pPr>
            <w:r>
              <w:t>≥100本</w:t>
            </w:r>
          </w:p>
        </w:tc>
        <w:tc>
          <w:tcPr>
            <w:tcW w:w="1276" w:type="dxa"/>
            <w:vAlign w:val="center"/>
          </w:tcPr>
          <w:p>
            <w:pPr>
              <w:pStyle w:val="13"/>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工作正常运转率</w:t>
            </w:r>
          </w:p>
        </w:tc>
        <w:tc>
          <w:tcPr>
            <w:tcW w:w="5386" w:type="dxa"/>
            <w:vAlign w:val="center"/>
          </w:tcPr>
          <w:p>
            <w:pPr>
              <w:pStyle w:val="13"/>
            </w:pPr>
            <w:r>
              <w:t>工作正常运转率</w:t>
            </w:r>
          </w:p>
        </w:tc>
        <w:tc>
          <w:tcPr>
            <w:tcW w:w="2268" w:type="dxa"/>
            <w:vAlign w:val="center"/>
          </w:tcPr>
          <w:p>
            <w:pPr>
              <w:pStyle w:val="13"/>
            </w:pPr>
            <w:r>
              <w:t>≥90%</w:t>
            </w:r>
          </w:p>
        </w:tc>
        <w:tc>
          <w:tcPr>
            <w:tcW w:w="1276" w:type="dxa"/>
            <w:vAlign w:val="center"/>
          </w:tcPr>
          <w:p>
            <w:pPr>
              <w:pStyle w:val="13"/>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费用支付正常，保证运转</w:t>
            </w:r>
          </w:p>
        </w:tc>
        <w:tc>
          <w:tcPr>
            <w:tcW w:w="5386" w:type="dxa"/>
            <w:vAlign w:val="center"/>
          </w:tcPr>
          <w:p>
            <w:pPr>
              <w:pStyle w:val="13"/>
            </w:pPr>
            <w:r>
              <w:t>费用支付正常，保证运转</w:t>
            </w:r>
          </w:p>
        </w:tc>
        <w:tc>
          <w:tcPr>
            <w:tcW w:w="2268" w:type="dxa"/>
            <w:vAlign w:val="center"/>
          </w:tcPr>
          <w:p>
            <w:pPr>
              <w:pStyle w:val="13"/>
            </w:pPr>
            <w:r>
              <w:t>≥90%</w:t>
            </w:r>
          </w:p>
        </w:tc>
        <w:tc>
          <w:tcPr>
            <w:tcW w:w="1276" w:type="dxa"/>
            <w:vAlign w:val="center"/>
          </w:tcPr>
          <w:p>
            <w:pPr>
              <w:pStyle w:val="13"/>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印刷费用标准</w:t>
            </w:r>
          </w:p>
        </w:tc>
        <w:tc>
          <w:tcPr>
            <w:tcW w:w="5386" w:type="dxa"/>
            <w:vAlign w:val="center"/>
          </w:tcPr>
          <w:p>
            <w:pPr>
              <w:pStyle w:val="13"/>
            </w:pPr>
            <w:r>
              <w:t>印刷费用标准</w:t>
            </w:r>
          </w:p>
        </w:tc>
        <w:tc>
          <w:tcPr>
            <w:tcW w:w="2268" w:type="dxa"/>
            <w:vAlign w:val="center"/>
          </w:tcPr>
          <w:p>
            <w:pPr>
              <w:pStyle w:val="13"/>
            </w:pPr>
            <w:r>
              <w:t>1万元</w:t>
            </w:r>
          </w:p>
        </w:tc>
        <w:tc>
          <w:tcPr>
            <w:tcW w:w="1276" w:type="dxa"/>
            <w:vAlign w:val="center"/>
          </w:tcPr>
          <w:p>
            <w:pPr>
              <w:pStyle w:val="13"/>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持续提升统计人员业务能力</w:t>
            </w:r>
          </w:p>
        </w:tc>
        <w:tc>
          <w:tcPr>
            <w:tcW w:w="5386" w:type="dxa"/>
            <w:vAlign w:val="center"/>
          </w:tcPr>
          <w:p>
            <w:pPr>
              <w:pStyle w:val="13"/>
            </w:pPr>
            <w:r>
              <w:t>持续提升统计人员业务能力</w:t>
            </w:r>
          </w:p>
        </w:tc>
        <w:tc>
          <w:tcPr>
            <w:tcW w:w="2268" w:type="dxa"/>
            <w:vAlign w:val="center"/>
          </w:tcPr>
          <w:p>
            <w:pPr>
              <w:pStyle w:val="13"/>
            </w:pPr>
            <w:r>
              <w:t>可持续</w:t>
            </w:r>
          </w:p>
        </w:tc>
        <w:tc>
          <w:tcPr>
            <w:tcW w:w="1276" w:type="dxa"/>
            <w:vAlign w:val="center"/>
          </w:tcPr>
          <w:p>
            <w:pPr>
              <w:pStyle w:val="13"/>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13018326P00032810100K</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58.77</w:t>
            </w:r>
          </w:p>
        </w:tc>
        <w:tc>
          <w:tcPr>
            <w:tcW w:w="2835" w:type="dxa"/>
            <w:vAlign w:val="center"/>
          </w:tcPr>
          <w:p>
            <w:pPr>
              <w:pStyle w:val="11"/>
            </w:pPr>
            <w:r>
              <w:t>其中：财政    资金</w:t>
            </w:r>
          </w:p>
        </w:tc>
        <w:tc>
          <w:tcPr>
            <w:tcW w:w="2551" w:type="dxa"/>
            <w:vAlign w:val="center"/>
          </w:tcPr>
          <w:p>
            <w:pPr>
              <w:pStyle w:val="13"/>
            </w:pPr>
            <w:r>
              <w:t>58.77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发放劳务派遣人员工资，保障统计工作正常运转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1.及时发放人员工资，履行合同职责。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劳务派遣人数</w:t>
            </w:r>
          </w:p>
        </w:tc>
        <w:tc>
          <w:tcPr>
            <w:tcW w:w="5386" w:type="dxa"/>
            <w:vAlign w:val="center"/>
          </w:tcPr>
          <w:p>
            <w:pPr>
              <w:pStyle w:val="13"/>
            </w:pPr>
            <w:r>
              <w:t>劳务派遣人数</w:t>
            </w:r>
          </w:p>
        </w:tc>
        <w:tc>
          <w:tcPr>
            <w:tcW w:w="2268" w:type="dxa"/>
            <w:vAlign w:val="center"/>
          </w:tcPr>
          <w:p>
            <w:pPr>
              <w:pStyle w:val="13"/>
            </w:pPr>
            <w:r>
              <w:t>15人</w:t>
            </w:r>
          </w:p>
        </w:tc>
        <w:tc>
          <w:tcPr>
            <w:tcW w:w="1276" w:type="dxa"/>
            <w:vAlign w:val="center"/>
          </w:tcPr>
          <w:p>
            <w:pPr>
              <w:pStyle w:val="13"/>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≥90%</w:t>
            </w:r>
          </w:p>
        </w:tc>
        <w:tc>
          <w:tcPr>
            <w:tcW w:w="1276" w:type="dxa"/>
            <w:vAlign w:val="center"/>
          </w:tcPr>
          <w:p>
            <w:pPr>
              <w:pStyle w:val="13"/>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统计工作按时完成率</w:t>
            </w:r>
          </w:p>
        </w:tc>
        <w:tc>
          <w:tcPr>
            <w:tcW w:w="5386" w:type="dxa"/>
            <w:vAlign w:val="center"/>
          </w:tcPr>
          <w:p>
            <w:pPr>
              <w:pStyle w:val="13"/>
            </w:pPr>
            <w:r>
              <w:t>统计工作按时完成率</w:t>
            </w:r>
          </w:p>
        </w:tc>
        <w:tc>
          <w:tcPr>
            <w:tcW w:w="2268" w:type="dxa"/>
            <w:vAlign w:val="center"/>
          </w:tcPr>
          <w:p>
            <w:pPr>
              <w:pStyle w:val="13"/>
            </w:pPr>
            <w:r>
              <w:t>≥90%</w:t>
            </w:r>
          </w:p>
        </w:tc>
        <w:tc>
          <w:tcPr>
            <w:tcW w:w="1276" w:type="dxa"/>
            <w:vAlign w:val="center"/>
          </w:tcPr>
          <w:p>
            <w:pPr>
              <w:pStyle w:val="13"/>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工资成本</w:t>
            </w:r>
          </w:p>
        </w:tc>
        <w:tc>
          <w:tcPr>
            <w:tcW w:w="5386" w:type="dxa"/>
            <w:vAlign w:val="center"/>
          </w:tcPr>
          <w:p>
            <w:pPr>
              <w:pStyle w:val="13"/>
            </w:pPr>
            <w:r>
              <w:t>工资成本</w:t>
            </w:r>
          </w:p>
        </w:tc>
        <w:tc>
          <w:tcPr>
            <w:tcW w:w="2268" w:type="dxa"/>
            <w:vAlign w:val="center"/>
          </w:tcPr>
          <w:p>
            <w:pPr>
              <w:pStyle w:val="13"/>
            </w:pPr>
            <w:r>
              <w:t>58.77万元</w:t>
            </w:r>
          </w:p>
        </w:tc>
        <w:tc>
          <w:tcPr>
            <w:tcW w:w="1276" w:type="dxa"/>
            <w:vAlign w:val="center"/>
          </w:tcPr>
          <w:p>
            <w:pPr>
              <w:pStyle w:val="13"/>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提升统计工作能力</w:t>
            </w:r>
          </w:p>
        </w:tc>
        <w:tc>
          <w:tcPr>
            <w:tcW w:w="5386" w:type="dxa"/>
            <w:vAlign w:val="center"/>
          </w:tcPr>
          <w:p>
            <w:pPr>
              <w:pStyle w:val="13"/>
            </w:pPr>
            <w:r>
              <w:t>持续提升人员积极性，保障统计工作正常运转</w:t>
            </w:r>
          </w:p>
        </w:tc>
        <w:tc>
          <w:tcPr>
            <w:tcW w:w="2268" w:type="dxa"/>
            <w:vAlign w:val="center"/>
          </w:tcPr>
          <w:p>
            <w:pPr>
              <w:pStyle w:val="13"/>
            </w:pPr>
            <w:r>
              <w:t>可持续</w:t>
            </w:r>
          </w:p>
        </w:tc>
        <w:tc>
          <w:tcPr>
            <w:tcW w:w="1276" w:type="dxa"/>
            <w:vAlign w:val="center"/>
          </w:tcPr>
          <w:p>
            <w:pPr>
              <w:pStyle w:val="13"/>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6、县乡统计专网维护费绩效目标表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13018326P00032810103E</w:t>
            </w:r>
          </w:p>
        </w:tc>
        <w:tc>
          <w:tcPr>
            <w:tcW w:w="2835" w:type="dxa"/>
            <w:vAlign w:val="center"/>
          </w:tcPr>
          <w:p>
            <w:pPr>
              <w:pStyle w:val="11"/>
            </w:pPr>
            <w:r>
              <w:t>项目名称</w:t>
            </w:r>
          </w:p>
        </w:tc>
        <w:tc>
          <w:tcPr>
            <w:tcW w:w="6095" w:type="dxa"/>
            <w:gridSpan w:val="3"/>
            <w:vAlign w:val="center"/>
          </w:tcPr>
          <w:p>
            <w:pPr>
              <w:pStyle w:val="13"/>
            </w:pPr>
            <w:r>
              <w:t>县乡统计专网维护费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用于支付联通公司网络运行维护费。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1.建设乡镇统计专用传输网络和横向网络机房，保障统计工作开展</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建设专线数量</w:t>
            </w:r>
          </w:p>
        </w:tc>
        <w:tc>
          <w:tcPr>
            <w:tcW w:w="5386" w:type="dxa"/>
            <w:vAlign w:val="center"/>
          </w:tcPr>
          <w:p>
            <w:pPr>
              <w:pStyle w:val="13"/>
            </w:pPr>
            <w:r>
              <w:t>建设专线数量</w:t>
            </w:r>
          </w:p>
        </w:tc>
        <w:tc>
          <w:tcPr>
            <w:tcW w:w="2268" w:type="dxa"/>
            <w:vAlign w:val="center"/>
          </w:tcPr>
          <w:p>
            <w:pPr>
              <w:pStyle w:val="13"/>
            </w:pPr>
            <w:r>
              <w:t>≥10条</w:t>
            </w:r>
          </w:p>
        </w:tc>
        <w:tc>
          <w:tcPr>
            <w:tcW w:w="1276" w:type="dxa"/>
            <w:vAlign w:val="center"/>
          </w:tcPr>
          <w:p>
            <w:pPr>
              <w:pStyle w:val="13"/>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网络正常运转率</w:t>
            </w:r>
          </w:p>
        </w:tc>
        <w:tc>
          <w:tcPr>
            <w:tcW w:w="5386" w:type="dxa"/>
            <w:vAlign w:val="center"/>
          </w:tcPr>
          <w:p>
            <w:pPr>
              <w:pStyle w:val="13"/>
            </w:pPr>
            <w:r>
              <w:t>网络正常运转率</w:t>
            </w:r>
          </w:p>
        </w:tc>
        <w:tc>
          <w:tcPr>
            <w:tcW w:w="2268" w:type="dxa"/>
            <w:vAlign w:val="center"/>
          </w:tcPr>
          <w:p>
            <w:pPr>
              <w:pStyle w:val="13"/>
            </w:pPr>
            <w:r>
              <w:t>≥90%</w:t>
            </w:r>
          </w:p>
        </w:tc>
        <w:tc>
          <w:tcPr>
            <w:tcW w:w="1276" w:type="dxa"/>
            <w:vAlign w:val="center"/>
          </w:tcPr>
          <w:p>
            <w:pPr>
              <w:pStyle w:val="13"/>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乡镇网络运行统计工作完成及时率</w:t>
            </w:r>
          </w:p>
        </w:tc>
        <w:tc>
          <w:tcPr>
            <w:tcW w:w="5386" w:type="dxa"/>
            <w:vAlign w:val="center"/>
          </w:tcPr>
          <w:p>
            <w:pPr>
              <w:pStyle w:val="13"/>
            </w:pPr>
            <w:r>
              <w:t>乡镇网络运行统计工作完成及时率</w:t>
            </w:r>
          </w:p>
        </w:tc>
        <w:tc>
          <w:tcPr>
            <w:tcW w:w="2268" w:type="dxa"/>
            <w:vAlign w:val="center"/>
          </w:tcPr>
          <w:p>
            <w:pPr>
              <w:pStyle w:val="13"/>
            </w:pPr>
            <w:r>
              <w:t>≥90%</w:t>
            </w:r>
          </w:p>
        </w:tc>
        <w:tc>
          <w:tcPr>
            <w:tcW w:w="1276" w:type="dxa"/>
            <w:vAlign w:val="center"/>
          </w:tcPr>
          <w:p>
            <w:pPr>
              <w:pStyle w:val="13"/>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运转成本</w:t>
            </w:r>
          </w:p>
        </w:tc>
        <w:tc>
          <w:tcPr>
            <w:tcW w:w="5386" w:type="dxa"/>
            <w:vAlign w:val="center"/>
          </w:tcPr>
          <w:p>
            <w:pPr>
              <w:pStyle w:val="13"/>
            </w:pPr>
            <w:r>
              <w:t>运转成本</w:t>
            </w:r>
          </w:p>
        </w:tc>
        <w:tc>
          <w:tcPr>
            <w:tcW w:w="2268" w:type="dxa"/>
            <w:vAlign w:val="center"/>
          </w:tcPr>
          <w:p>
            <w:pPr>
              <w:pStyle w:val="13"/>
            </w:pPr>
            <w:r>
              <w:t>5万元</w:t>
            </w:r>
          </w:p>
        </w:tc>
        <w:tc>
          <w:tcPr>
            <w:tcW w:w="1276" w:type="dxa"/>
            <w:vAlign w:val="center"/>
          </w:tcPr>
          <w:p>
            <w:pPr>
              <w:pStyle w:val="13"/>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5386" w:type="dxa"/>
            <w:vAlign w:val="center"/>
          </w:tcPr>
          <w:p>
            <w:pPr>
              <w:pStyle w:val="13"/>
            </w:pPr>
            <w:r>
              <w:t>持续发展作用力</w:t>
            </w:r>
          </w:p>
        </w:tc>
        <w:tc>
          <w:tcPr>
            <w:tcW w:w="2268" w:type="dxa"/>
            <w:vAlign w:val="center"/>
          </w:tcPr>
          <w:p>
            <w:pPr>
              <w:pStyle w:val="13"/>
            </w:pPr>
            <w:r>
              <w:t>可持续</w:t>
            </w:r>
          </w:p>
        </w:tc>
        <w:tc>
          <w:tcPr>
            <w:tcW w:w="1276" w:type="dxa"/>
            <w:vAlign w:val="center"/>
          </w:tcPr>
          <w:p>
            <w:pPr>
              <w:pStyle w:val="13"/>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410晋州市统计局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w:t>
            </w:r>
          </w:p>
        </w:tc>
        <w:tc>
          <w:tcPr>
            <w:tcW w:w="964" w:type="dxa"/>
            <w:vAlign w:val="center"/>
          </w:tcPr>
          <w:p>
            <w:pPr>
              <w:pStyle w:val="16"/>
            </w:pPr>
            <w:r>
              <w:t>1.50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晋州市统计局本级小计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w:t>
            </w:r>
          </w:p>
        </w:tc>
        <w:tc>
          <w:tcPr>
            <w:tcW w:w="964" w:type="dxa"/>
            <w:vAlign w:val="center"/>
          </w:tcPr>
          <w:p>
            <w:pPr>
              <w:pStyle w:val="16"/>
            </w:pPr>
            <w:r>
              <w:t>1.50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9.79</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调查经费</w:t>
            </w:r>
          </w:p>
        </w:tc>
        <w:tc>
          <w:tcPr>
            <w:tcW w:w="964" w:type="dxa"/>
            <w:vAlign w:val="center"/>
          </w:tcPr>
          <w:p>
            <w:pPr>
              <w:pStyle w:val="12"/>
            </w:pPr>
            <w:r>
              <w:t>136.08</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晋州市统计局（含所属单位）上年末固定资产金额为205.05万元（详见下表）。本年度拟购置固定资产总额为0.00万元，已按要求列入政府采购预算，详见政府采购预算表。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410晋州市统计局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837</w:t>
            </w:r>
          </w:p>
        </w:tc>
        <w:tc>
          <w:tcPr>
            <w:tcW w:w="2835" w:type="dxa"/>
            <w:vAlign w:val="center"/>
          </w:tcPr>
          <w:p>
            <w:pPr>
              <w:pStyle w:val="12"/>
            </w:pPr>
            <w:r>
              <w:t>194.45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7E11D2"/>
    <w:multiLevelType w:val="singleLevel"/>
    <w:tmpl w:val="177E11D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A9437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2026-03-02T09:36:00Z</dcterms:created>
  <dc:creator>Administrator</dc:creator>
  <cp:lastModifiedBy>Administrator</cp:lastModifiedBy>
  <dcterms:modified xsi:type="dcterms:W3CDTF">2026-03-02T03:28:40Z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