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二、晋州市质量技术检验所收支预算</w:t>
      </w:r>
      <w:r>
        <w:tab/>
      </w:r>
      <w:r>
        <w:fldChar w:fldCharType="begin"/>
      </w:r>
      <w:r>
        <w:instrText xml:space="preserve">PAGEREF _Toc_4_4_0000000002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3254.52</w:t>
            </w:r>
          </w:p>
        </w:tc>
        <w:tc>
          <w:tcPr>
            <w:tcW w:w="4535" w:type="dxa"/>
            <w:vAlign w:val="center"/>
          </w:tcPr>
          <w:p>
            <w:pPr>
              <w:pStyle w:val="12"/>
            </w:pPr>
            <w:r>
              <w:t>一、一般公共服务支出</w:t>
            </w:r>
          </w:p>
        </w:tc>
        <w:tc>
          <w:tcPr>
            <w:tcW w:w="2126" w:type="dxa"/>
            <w:vAlign w:val="center"/>
          </w:tcPr>
          <w:p>
            <w:pPr>
              <w:pStyle w:val="11"/>
            </w:pPr>
            <w:r>
              <w:t>3254.52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3254.52</w:t>
            </w:r>
          </w:p>
        </w:tc>
        <w:tc>
          <w:tcPr>
            <w:tcW w:w="4535" w:type="dxa"/>
            <w:vAlign w:val="center"/>
          </w:tcPr>
          <w:p>
            <w:pPr>
              <w:pStyle w:val="14"/>
            </w:pPr>
            <w:r>
              <w:t>本年支出合计</w:t>
            </w:r>
          </w:p>
        </w:tc>
        <w:tc>
          <w:tcPr>
            <w:tcW w:w="2126" w:type="dxa"/>
            <w:vAlign w:val="center"/>
          </w:tcPr>
          <w:p>
            <w:pPr>
              <w:pStyle w:val="15"/>
            </w:pPr>
            <w:r>
              <w:t>3254.52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3254.52</w:t>
            </w:r>
          </w:p>
        </w:tc>
        <w:tc>
          <w:tcPr>
            <w:tcW w:w="4535" w:type="dxa"/>
            <w:vAlign w:val="center"/>
          </w:tcPr>
          <w:p>
            <w:pPr>
              <w:pStyle w:val="14"/>
            </w:pPr>
            <w:r>
              <w:t>支出总计</w:t>
            </w:r>
          </w:p>
        </w:tc>
        <w:tc>
          <w:tcPr>
            <w:tcW w:w="2126" w:type="dxa"/>
            <w:vAlign w:val="center"/>
          </w:tcPr>
          <w:p>
            <w:pPr>
              <w:pStyle w:val="15"/>
            </w:pPr>
            <w:r>
              <w:t>3254.52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3254.52</w:t>
            </w:r>
          </w:p>
        </w:tc>
        <w:tc>
          <w:tcPr>
            <w:tcW w:w="1134" w:type="dxa"/>
            <w:vAlign w:val="center"/>
          </w:tcPr>
          <w:p>
            <w:pPr>
              <w:pStyle w:val="15"/>
            </w:pPr>
            <w:r>
              <w:t>3254.52</w:t>
            </w:r>
          </w:p>
        </w:tc>
        <w:tc>
          <w:tcPr>
            <w:tcW w:w="1134" w:type="dxa"/>
            <w:vAlign w:val="center"/>
          </w:tcPr>
          <w:p>
            <w:pPr>
              <w:pStyle w:val="15"/>
            </w:pPr>
            <w:r>
              <w:t>3254.52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3254.52</w:t>
            </w:r>
          </w:p>
        </w:tc>
        <w:tc>
          <w:tcPr>
            <w:tcW w:w="1134" w:type="dxa"/>
            <w:vAlign w:val="center"/>
          </w:tcPr>
          <w:p>
            <w:pPr>
              <w:pStyle w:val="11"/>
            </w:pPr>
            <w:r>
              <w:t>3254.52</w:t>
            </w:r>
          </w:p>
        </w:tc>
        <w:tc>
          <w:tcPr>
            <w:tcW w:w="1134" w:type="dxa"/>
            <w:vAlign w:val="center"/>
          </w:tcPr>
          <w:p>
            <w:pPr>
              <w:pStyle w:val="11"/>
            </w:pPr>
            <w:r>
              <w:t>3254.52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3254.52</w:t>
            </w:r>
          </w:p>
        </w:tc>
        <w:tc>
          <w:tcPr>
            <w:tcW w:w="1134" w:type="dxa"/>
            <w:vAlign w:val="center"/>
          </w:tcPr>
          <w:p>
            <w:pPr>
              <w:pStyle w:val="11"/>
            </w:pPr>
            <w:r>
              <w:t>3254.52</w:t>
            </w:r>
          </w:p>
        </w:tc>
        <w:tc>
          <w:tcPr>
            <w:tcW w:w="1134" w:type="dxa"/>
            <w:vAlign w:val="center"/>
          </w:tcPr>
          <w:p>
            <w:pPr>
              <w:pStyle w:val="11"/>
            </w:pPr>
            <w:r>
              <w:t>3254.52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2698.31</w:t>
            </w:r>
          </w:p>
        </w:tc>
        <w:tc>
          <w:tcPr>
            <w:tcW w:w="1134" w:type="dxa"/>
            <w:vAlign w:val="center"/>
          </w:tcPr>
          <w:p>
            <w:pPr>
              <w:pStyle w:val="11"/>
            </w:pPr>
            <w:r>
              <w:t>2698.31</w:t>
            </w:r>
          </w:p>
        </w:tc>
        <w:tc>
          <w:tcPr>
            <w:tcW w:w="1134" w:type="dxa"/>
            <w:vAlign w:val="center"/>
          </w:tcPr>
          <w:p>
            <w:pPr>
              <w:pStyle w:val="11"/>
            </w:pPr>
            <w:r>
              <w:t>2698.31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556.21</w:t>
            </w:r>
          </w:p>
        </w:tc>
        <w:tc>
          <w:tcPr>
            <w:tcW w:w="1134" w:type="dxa"/>
            <w:vAlign w:val="center"/>
          </w:tcPr>
          <w:p>
            <w:pPr>
              <w:pStyle w:val="11"/>
            </w:pPr>
            <w:r>
              <w:t>556.21</w:t>
            </w:r>
          </w:p>
        </w:tc>
        <w:tc>
          <w:tcPr>
            <w:tcW w:w="1134" w:type="dxa"/>
            <w:vAlign w:val="center"/>
          </w:tcPr>
          <w:p>
            <w:pPr>
              <w:pStyle w:val="11"/>
            </w:pPr>
            <w:r>
              <w:t>556.21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3254.52</w:t>
            </w:r>
          </w:p>
        </w:tc>
        <w:tc>
          <w:tcPr>
            <w:tcW w:w="1361" w:type="dxa"/>
            <w:vAlign w:val="center"/>
          </w:tcPr>
          <w:p>
            <w:pPr>
              <w:pStyle w:val="15"/>
            </w:pPr>
            <w:r>
              <w:t>2698.31</w:t>
            </w:r>
          </w:p>
        </w:tc>
        <w:tc>
          <w:tcPr>
            <w:tcW w:w="1361" w:type="dxa"/>
            <w:vAlign w:val="center"/>
          </w:tcPr>
          <w:p>
            <w:pPr>
              <w:pStyle w:val="15"/>
            </w:pPr>
            <w:r>
              <w:t>556.21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3254.52</w:t>
            </w:r>
          </w:p>
        </w:tc>
        <w:tc>
          <w:tcPr>
            <w:tcW w:w="1361" w:type="dxa"/>
            <w:vAlign w:val="center"/>
          </w:tcPr>
          <w:p>
            <w:pPr>
              <w:pStyle w:val="11"/>
            </w:pPr>
            <w:r>
              <w:t>2698.31</w:t>
            </w:r>
          </w:p>
        </w:tc>
        <w:tc>
          <w:tcPr>
            <w:tcW w:w="1361" w:type="dxa"/>
            <w:vAlign w:val="center"/>
          </w:tcPr>
          <w:p>
            <w:pPr>
              <w:pStyle w:val="11"/>
            </w:pPr>
            <w:r>
              <w:t>556.21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3254.52</w:t>
            </w:r>
          </w:p>
        </w:tc>
        <w:tc>
          <w:tcPr>
            <w:tcW w:w="1361" w:type="dxa"/>
            <w:vAlign w:val="center"/>
          </w:tcPr>
          <w:p>
            <w:pPr>
              <w:pStyle w:val="11"/>
            </w:pPr>
            <w:r>
              <w:t>2698.31</w:t>
            </w:r>
          </w:p>
        </w:tc>
        <w:tc>
          <w:tcPr>
            <w:tcW w:w="1361" w:type="dxa"/>
            <w:vAlign w:val="center"/>
          </w:tcPr>
          <w:p>
            <w:pPr>
              <w:pStyle w:val="11"/>
            </w:pPr>
            <w:r>
              <w:t>556.21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2698.31</w:t>
            </w:r>
          </w:p>
        </w:tc>
        <w:tc>
          <w:tcPr>
            <w:tcW w:w="1361" w:type="dxa"/>
            <w:vAlign w:val="center"/>
          </w:tcPr>
          <w:p>
            <w:pPr>
              <w:pStyle w:val="11"/>
            </w:pPr>
            <w:r>
              <w:t>2698.31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556.21</w:t>
            </w:r>
          </w:p>
        </w:tc>
        <w:tc>
          <w:tcPr>
            <w:tcW w:w="1361" w:type="dxa"/>
            <w:vAlign w:val="center"/>
          </w:tcPr>
          <w:p>
            <w:pPr>
              <w:pStyle w:val="11"/>
            </w:pPr>
          </w:p>
        </w:tc>
        <w:tc>
          <w:tcPr>
            <w:tcW w:w="1361" w:type="dxa"/>
            <w:vAlign w:val="center"/>
          </w:tcPr>
          <w:p>
            <w:pPr>
              <w:pStyle w:val="11"/>
            </w:pPr>
            <w:r>
              <w:t>556.21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3254.52</w:t>
            </w:r>
          </w:p>
        </w:tc>
        <w:tc>
          <w:tcPr>
            <w:tcW w:w="3402" w:type="dxa"/>
            <w:vAlign w:val="center"/>
          </w:tcPr>
          <w:p>
            <w:pPr>
              <w:pStyle w:val="12"/>
            </w:pPr>
            <w:r>
              <w:t>一、一般公共服务支出</w:t>
            </w:r>
          </w:p>
        </w:tc>
        <w:tc>
          <w:tcPr>
            <w:tcW w:w="1474" w:type="dxa"/>
            <w:vAlign w:val="center"/>
          </w:tcPr>
          <w:p>
            <w:pPr>
              <w:pStyle w:val="11"/>
            </w:pPr>
            <w:r>
              <w:t>3254.52</w:t>
            </w:r>
          </w:p>
        </w:tc>
        <w:tc>
          <w:tcPr>
            <w:tcW w:w="1474" w:type="dxa"/>
            <w:vAlign w:val="center"/>
          </w:tcPr>
          <w:p>
            <w:pPr>
              <w:pStyle w:val="11"/>
            </w:pPr>
            <w:r>
              <w:t>3254.52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3254.52</w:t>
            </w:r>
          </w:p>
        </w:tc>
        <w:tc>
          <w:tcPr>
            <w:tcW w:w="3402" w:type="dxa"/>
            <w:vAlign w:val="center"/>
          </w:tcPr>
          <w:p>
            <w:pPr>
              <w:pStyle w:val="14"/>
            </w:pPr>
            <w:r>
              <w:t>本年支出合计</w:t>
            </w:r>
          </w:p>
        </w:tc>
        <w:tc>
          <w:tcPr>
            <w:tcW w:w="1474" w:type="dxa"/>
            <w:vAlign w:val="center"/>
          </w:tcPr>
          <w:p>
            <w:pPr>
              <w:pStyle w:val="15"/>
            </w:pPr>
            <w:r>
              <w:t>3254.52</w:t>
            </w:r>
          </w:p>
        </w:tc>
        <w:tc>
          <w:tcPr>
            <w:tcW w:w="1474" w:type="dxa"/>
            <w:vAlign w:val="center"/>
          </w:tcPr>
          <w:p>
            <w:pPr>
              <w:pStyle w:val="15"/>
            </w:pPr>
            <w:r>
              <w:t>3254.52</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3254.52</w:t>
            </w:r>
          </w:p>
        </w:tc>
        <w:tc>
          <w:tcPr>
            <w:tcW w:w="3402" w:type="dxa"/>
            <w:vAlign w:val="center"/>
          </w:tcPr>
          <w:p>
            <w:pPr>
              <w:pStyle w:val="14"/>
            </w:pPr>
            <w:r>
              <w:t>支出总计</w:t>
            </w:r>
          </w:p>
        </w:tc>
        <w:tc>
          <w:tcPr>
            <w:tcW w:w="1474" w:type="dxa"/>
            <w:vAlign w:val="center"/>
          </w:tcPr>
          <w:p>
            <w:pPr>
              <w:pStyle w:val="15"/>
            </w:pPr>
            <w:r>
              <w:t>3254.52</w:t>
            </w:r>
          </w:p>
        </w:tc>
        <w:tc>
          <w:tcPr>
            <w:tcW w:w="1474" w:type="dxa"/>
            <w:vAlign w:val="center"/>
          </w:tcPr>
          <w:p>
            <w:pPr>
              <w:pStyle w:val="15"/>
            </w:pPr>
            <w:r>
              <w:t>3254.52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3254.52</w:t>
            </w:r>
          </w:p>
        </w:tc>
        <w:tc>
          <w:tcPr>
            <w:tcW w:w="2551" w:type="dxa"/>
            <w:vAlign w:val="center"/>
          </w:tcPr>
          <w:p>
            <w:pPr>
              <w:pStyle w:val="15"/>
            </w:pPr>
            <w:r>
              <w:t>2698.31</w:t>
            </w:r>
          </w:p>
        </w:tc>
        <w:tc>
          <w:tcPr>
            <w:tcW w:w="2551" w:type="dxa"/>
            <w:vAlign w:val="center"/>
          </w:tcPr>
          <w:p>
            <w:pPr>
              <w:pStyle w:val="15"/>
            </w:pPr>
            <w:r>
              <w:t>556.21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3254.52</w:t>
            </w:r>
          </w:p>
        </w:tc>
        <w:tc>
          <w:tcPr>
            <w:tcW w:w="2551" w:type="dxa"/>
            <w:vAlign w:val="center"/>
          </w:tcPr>
          <w:p>
            <w:pPr>
              <w:pStyle w:val="11"/>
            </w:pPr>
            <w:r>
              <w:t>2698.31</w:t>
            </w:r>
          </w:p>
        </w:tc>
        <w:tc>
          <w:tcPr>
            <w:tcW w:w="2551" w:type="dxa"/>
            <w:vAlign w:val="center"/>
          </w:tcPr>
          <w:p>
            <w:pPr>
              <w:pStyle w:val="11"/>
            </w:pPr>
            <w:r>
              <w:t>556.21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3254.52</w:t>
            </w:r>
          </w:p>
        </w:tc>
        <w:tc>
          <w:tcPr>
            <w:tcW w:w="2551" w:type="dxa"/>
            <w:vAlign w:val="center"/>
          </w:tcPr>
          <w:p>
            <w:pPr>
              <w:pStyle w:val="11"/>
            </w:pPr>
            <w:r>
              <w:t>2698.31</w:t>
            </w:r>
          </w:p>
        </w:tc>
        <w:tc>
          <w:tcPr>
            <w:tcW w:w="2551" w:type="dxa"/>
            <w:vAlign w:val="center"/>
          </w:tcPr>
          <w:p>
            <w:pPr>
              <w:pStyle w:val="11"/>
            </w:pPr>
            <w:r>
              <w:t>556.21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2698.31</w:t>
            </w:r>
          </w:p>
        </w:tc>
        <w:tc>
          <w:tcPr>
            <w:tcW w:w="2551" w:type="dxa"/>
            <w:vAlign w:val="center"/>
          </w:tcPr>
          <w:p>
            <w:pPr>
              <w:pStyle w:val="11"/>
            </w:pPr>
            <w:r>
              <w:t>2698.31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556.21</w:t>
            </w:r>
          </w:p>
        </w:tc>
        <w:tc>
          <w:tcPr>
            <w:tcW w:w="2551" w:type="dxa"/>
            <w:vAlign w:val="center"/>
          </w:tcPr>
          <w:p>
            <w:pPr>
              <w:pStyle w:val="11"/>
            </w:pPr>
          </w:p>
        </w:tc>
        <w:tc>
          <w:tcPr>
            <w:tcW w:w="2551" w:type="dxa"/>
            <w:vAlign w:val="center"/>
          </w:tcPr>
          <w:p>
            <w:pPr>
              <w:pStyle w:val="11"/>
            </w:pPr>
            <w:r>
              <w:t>556.21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2698.31</w:t>
            </w:r>
          </w:p>
        </w:tc>
        <w:tc>
          <w:tcPr>
            <w:tcW w:w="2551" w:type="dxa"/>
            <w:vAlign w:val="center"/>
          </w:tcPr>
          <w:p>
            <w:pPr>
              <w:pStyle w:val="15"/>
            </w:pPr>
            <w:r>
              <w:t>2430.41</w:t>
            </w:r>
          </w:p>
        </w:tc>
        <w:tc>
          <w:tcPr>
            <w:tcW w:w="2551" w:type="dxa"/>
            <w:vAlign w:val="center"/>
          </w:tcPr>
          <w:p>
            <w:pPr>
              <w:pStyle w:val="15"/>
            </w:pPr>
            <w:r>
              <w:t>267.90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2057.56</w:t>
            </w:r>
          </w:p>
        </w:tc>
        <w:tc>
          <w:tcPr>
            <w:tcW w:w="2551" w:type="dxa"/>
            <w:vAlign w:val="center"/>
          </w:tcPr>
          <w:p>
            <w:pPr>
              <w:pStyle w:val="11"/>
            </w:pPr>
            <w:r>
              <w:t>2057.56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758.69</w:t>
            </w:r>
          </w:p>
        </w:tc>
        <w:tc>
          <w:tcPr>
            <w:tcW w:w="2551" w:type="dxa"/>
            <w:vAlign w:val="center"/>
          </w:tcPr>
          <w:p>
            <w:pPr>
              <w:pStyle w:val="11"/>
            </w:pPr>
            <w:r>
              <w:t>758.69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305.62</w:t>
            </w:r>
          </w:p>
        </w:tc>
        <w:tc>
          <w:tcPr>
            <w:tcW w:w="2551" w:type="dxa"/>
            <w:vAlign w:val="center"/>
          </w:tcPr>
          <w:p>
            <w:pPr>
              <w:pStyle w:val="11"/>
            </w:pPr>
            <w:r>
              <w:t>305.62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250.56</w:t>
            </w:r>
          </w:p>
        </w:tc>
        <w:tc>
          <w:tcPr>
            <w:tcW w:w="2551" w:type="dxa"/>
            <w:vAlign w:val="center"/>
          </w:tcPr>
          <w:p>
            <w:pPr>
              <w:pStyle w:val="11"/>
            </w:pPr>
            <w:r>
              <w:t>250.56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195.30</w:t>
            </w:r>
          </w:p>
        </w:tc>
        <w:tc>
          <w:tcPr>
            <w:tcW w:w="2551" w:type="dxa"/>
            <w:vAlign w:val="center"/>
          </w:tcPr>
          <w:p>
            <w:pPr>
              <w:pStyle w:val="11"/>
            </w:pPr>
            <w:r>
              <w:t>195.30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209.56</w:t>
            </w:r>
          </w:p>
        </w:tc>
        <w:tc>
          <w:tcPr>
            <w:tcW w:w="2551" w:type="dxa"/>
            <w:vAlign w:val="center"/>
          </w:tcPr>
          <w:p>
            <w:pPr>
              <w:pStyle w:val="11"/>
            </w:pPr>
            <w:r>
              <w:t>209.56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88.43</w:t>
            </w:r>
          </w:p>
        </w:tc>
        <w:tc>
          <w:tcPr>
            <w:tcW w:w="2551" w:type="dxa"/>
            <w:vAlign w:val="center"/>
          </w:tcPr>
          <w:p>
            <w:pPr>
              <w:pStyle w:val="11"/>
            </w:pPr>
            <w:r>
              <w:t>88.43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44.94</w:t>
            </w:r>
          </w:p>
        </w:tc>
        <w:tc>
          <w:tcPr>
            <w:tcW w:w="2551" w:type="dxa"/>
            <w:vAlign w:val="center"/>
          </w:tcPr>
          <w:p>
            <w:pPr>
              <w:pStyle w:val="11"/>
            </w:pPr>
            <w:r>
              <w:t>44.94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9.27</w:t>
            </w:r>
          </w:p>
        </w:tc>
        <w:tc>
          <w:tcPr>
            <w:tcW w:w="2551" w:type="dxa"/>
            <w:vAlign w:val="center"/>
          </w:tcPr>
          <w:p>
            <w:pPr>
              <w:pStyle w:val="11"/>
            </w:pPr>
            <w:r>
              <w:t>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170.29</w:t>
            </w:r>
          </w:p>
        </w:tc>
        <w:tc>
          <w:tcPr>
            <w:tcW w:w="2551" w:type="dxa"/>
            <w:vAlign w:val="center"/>
          </w:tcPr>
          <w:p>
            <w:pPr>
              <w:pStyle w:val="11"/>
            </w:pPr>
            <w:r>
              <w:t>170.29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24.90</w:t>
            </w:r>
          </w:p>
        </w:tc>
        <w:tc>
          <w:tcPr>
            <w:tcW w:w="2551" w:type="dxa"/>
            <w:vAlign w:val="center"/>
          </w:tcPr>
          <w:p>
            <w:pPr>
              <w:pStyle w:val="11"/>
            </w:pPr>
            <w:r>
              <w:t>24.90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267.90</w:t>
            </w:r>
          </w:p>
        </w:tc>
        <w:tc>
          <w:tcPr>
            <w:tcW w:w="2551" w:type="dxa"/>
            <w:vAlign w:val="center"/>
          </w:tcPr>
          <w:p>
            <w:pPr>
              <w:pStyle w:val="11"/>
            </w:pPr>
          </w:p>
        </w:tc>
        <w:tc>
          <w:tcPr>
            <w:tcW w:w="2551" w:type="dxa"/>
            <w:vAlign w:val="center"/>
          </w:tcPr>
          <w:p>
            <w:pPr>
              <w:pStyle w:val="11"/>
            </w:pPr>
            <w:r>
              <w:t>267.90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14.52</w:t>
            </w:r>
          </w:p>
        </w:tc>
        <w:tc>
          <w:tcPr>
            <w:tcW w:w="2551" w:type="dxa"/>
            <w:vAlign w:val="center"/>
          </w:tcPr>
          <w:p>
            <w:pPr>
              <w:pStyle w:val="11"/>
            </w:pPr>
          </w:p>
        </w:tc>
        <w:tc>
          <w:tcPr>
            <w:tcW w:w="2551" w:type="dxa"/>
            <w:vAlign w:val="center"/>
          </w:tcPr>
          <w:p>
            <w:pPr>
              <w:pStyle w:val="11"/>
            </w:pPr>
            <w:r>
              <w:t>14.52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0.86</w:t>
            </w:r>
          </w:p>
        </w:tc>
        <w:tc>
          <w:tcPr>
            <w:tcW w:w="2551" w:type="dxa"/>
            <w:vAlign w:val="center"/>
          </w:tcPr>
          <w:p>
            <w:pPr>
              <w:pStyle w:val="11"/>
            </w:pPr>
          </w:p>
        </w:tc>
        <w:tc>
          <w:tcPr>
            <w:tcW w:w="2551"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59.57</w:t>
            </w:r>
          </w:p>
        </w:tc>
        <w:tc>
          <w:tcPr>
            <w:tcW w:w="2551" w:type="dxa"/>
            <w:vAlign w:val="center"/>
          </w:tcPr>
          <w:p>
            <w:pPr>
              <w:pStyle w:val="11"/>
            </w:pPr>
          </w:p>
        </w:tc>
        <w:tc>
          <w:tcPr>
            <w:tcW w:w="2551" w:type="dxa"/>
            <w:vAlign w:val="center"/>
          </w:tcPr>
          <w:p>
            <w:pPr>
              <w:pStyle w:val="11"/>
            </w:pPr>
            <w:r>
              <w:t>59.57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33.28</w:t>
            </w:r>
          </w:p>
        </w:tc>
        <w:tc>
          <w:tcPr>
            <w:tcW w:w="2551" w:type="dxa"/>
            <w:vAlign w:val="center"/>
          </w:tcPr>
          <w:p>
            <w:pPr>
              <w:pStyle w:val="11"/>
            </w:pPr>
          </w:p>
        </w:tc>
        <w:tc>
          <w:tcPr>
            <w:tcW w:w="2551" w:type="dxa"/>
            <w:vAlign w:val="center"/>
          </w:tcPr>
          <w:p>
            <w:pPr>
              <w:pStyle w:val="11"/>
            </w:pPr>
            <w:r>
              <w:t>33.28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15.86</w:t>
            </w:r>
          </w:p>
        </w:tc>
        <w:tc>
          <w:tcPr>
            <w:tcW w:w="2551" w:type="dxa"/>
            <w:vAlign w:val="center"/>
          </w:tcPr>
          <w:p>
            <w:pPr>
              <w:pStyle w:val="11"/>
            </w:pPr>
          </w:p>
        </w:tc>
        <w:tc>
          <w:tcPr>
            <w:tcW w:w="2551" w:type="dxa"/>
            <w:vAlign w:val="center"/>
          </w:tcPr>
          <w:p>
            <w:pPr>
              <w:pStyle w:val="11"/>
            </w:pPr>
            <w:r>
              <w:t>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13.58</w:t>
            </w:r>
          </w:p>
        </w:tc>
        <w:tc>
          <w:tcPr>
            <w:tcW w:w="2551" w:type="dxa"/>
            <w:vAlign w:val="center"/>
          </w:tcPr>
          <w:p>
            <w:pPr>
              <w:pStyle w:val="11"/>
            </w:pPr>
          </w:p>
        </w:tc>
        <w:tc>
          <w:tcPr>
            <w:tcW w:w="2551" w:type="dxa"/>
            <w:vAlign w:val="center"/>
          </w:tcPr>
          <w:p>
            <w:pPr>
              <w:pStyle w:val="11"/>
            </w:pPr>
            <w:r>
              <w:t>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71.28</w:t>
            </w:r>
          </w:p>
        </w:tc>
        <w:tc>
          <w:tcPr>
            <w:tcW w:w="2551" w:type="dxa"/>
            <w:vAlign w:val="center"/>
          </w:tcPr>
          <w:p>
            <w:pPr>
              <w:pStyle w:val="11"/>
            </w:pPr>
          </w:p>
        </w:tc>
        <w:tc>
          <w:tcPr>
            <w:tcW w:w="2551" w:type="dxa"/>
            <w:vAlign w:val="center"/>
          </w:tcPr>
          <w:p>
            <w:pPr>
              <w:pStyle w:val="11"/>
            </w:pPr>
            <w:r>
              <w:t>71.28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48.70</w:t>
            </w:r>
          </w:p>
        </w:tc>
        <w:tc>
          <w:tcPr>
            <w:tcW w:w="2551" w:type="dxa"/>
            <w:vAlign w:val="center"/>
          </w:tcPr>
          <w:p>
            <w:pPr>
              <w:pStyle w:val="11"/>
            </w:pPr>
          </w:p>
        </w:tc>
        <w:tc>
          <w:tcPr>
            <w:tcW w:w="2551" w:type="dxa"/>
            <w:vAlign w:val="center"/>
          </w:tcPr>
          <w:p>
            <w:pPr>
              <w:pStyle w:val="11"/>
            </w:pPr>
            <w:r>
              <w:t>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372.85</w:t>
            </w:r>
          </w:p>
        </w:tc>
        <w:tc>
          <w:tcPr>
            <w:tcW w:w="2551" w:type="dxa"/>
            <w:vAlign w:val="center"/>
          </w:tcPr>
          <w:p>
            <w:pPr>
              <w:pStyle w:val="11"/>
            </w:pPr>
            <w:r>
              <w:t>372.85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354.78</w:t>
            </w:r>
          </w:p>
        </w:tc>
        <w:tc>
          <w:tcPr>
            <w:tcW w:w="2551" w:type="dxa"/>
            <w:vAlign w:val="center"/>
          </w:tcPr>
          <w:p>
            <w:pPr>
              <w:pStyle w:val="11"/>
            </w:pPr>
            <w:r>
              <w:t>354.78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18.07</w:t>
            </w:r>
          </w:p>
        </w:tc>
        <w:tc>
          <w:tcPr>
            <w:tcW w:w="2551" w:type="dxa"/>
            <w:vAlign w:val="center"/>
          </w:tcPr>
          <w:p>
            <w:pPr>
              <w:pStyle w:val="11"/>
            </w:pPr>
            <w:r>
              <w:t>18.07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54.08</w:t>
            </w:r>
          </w:p>
        </w:tc>
        <w:tc>
          <w:tcPr>
            <w:tcW w:w="2381" w:type="dxa"/>
            <w:vAlign w:val="center"/>
          </w:tcPr>
          <w:p>
            <w:pPr>
              <w:pStyle w:val="15"/>
            </w:pPr>
            <w:r>
              <w:t>54.08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54.08</w:t>
            </w:r>
          </w:p>
        </w:tc>
        <w:tc>
          <w:tcPr>
            <w:tcW w:w="2381" w:type="dxa"/>
            <w:vAlign w:val="center"/>
          </w:tcPr>
          <w:p>
            <w:pPr>
              <w:pStyle w:val="11"/>
            </w:pPr>
            <w:r>
              <w:t>54.08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54.08</w:t>
            </w:r>
          </w:p>
        </w:tc>
        <w:tc>
          <w:tcPr>
            <w:tcW w:w="2381" w:type="dxa"/>
            <w:vAlign w:val="center"/>
          </w:tcPr>
          <w:p>
            <w:pPr>
              <w:pStyle w:val="11"/>
            </w:pPr>
            <w:r>
              <w:t>54.08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县市场综合监督管理。制定有关规范性文件、措施，组织实施质量强县战略、食品安全战略、标准化战略、知识产权战略，拟订市场监督管理规划并组织实施，规范和维护市场秩序，营造诚实守信、公平竞争的市场环境。</w:t>
      </w:r>
    </w:p>
    <w:p>
      <w:pPr>
        <w:pStyle w:val="17"/>
      </w:pPr>
      <w:r>
        <w:t>（二）负责市场主体信用建设；负责建立市场主体信息公示和共享机制，依法公示和共享有关信息，加强信用监管，推动市场主体信用体系建设。</w:t>
      </w:r>
    </w:p>
    <w:p>
      <w:pPr>
        <w:pStyle w:val="17"/>
      </w:pPr>
      <w:r>
        <w:t>（三）负责全市市场监管综合执法工作，负责市场监管综合执法队伍建设工作，推动实行统一的市场监管；组织查处违法案件；规范市场监管行政执法行为。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7"/>
      </w:pPr>
      <w: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pStyle w:val="17"/>
      </w:pPr>
      <w:r>
        <w:t>（六）负责全市产品质量安全监督管理工作，承担市级产品质量安全风险监控、监督抽查工作；组织实施质量分级制度、质量安全追溯制度；负责纤维质量监督工作。</w:t>
      </w:r>
    </w:p>
    <w:p>
      <w:pPr>
        <w:pStyle w:val="17"/>
      </w:pPr>
      <w:r>
        <w:t>（七）负责全市特种设备安全监督管理工作，负责特种设备安全监察、监督管理工作，监督检查高耗能特种设备节能标准和锅炉环境保护标准的执行情况。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市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（十）负责统一管理全市计量工作，推行法定计量单位和国家计量制度，管理计量器具及量值传递和比对工作；规范、监督商品量和市场计量行为。</w:t>
      </w:r>
    </w:p>
    <w:p>
      <w:pPr>
        <w:pStyle w:val="17"/>
      </w:pPr>
      <w:r>
        <w:t>（十一）负责统一管理全市标准化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（十二）负责统一管理全市检验检测工作，推进检验检测机构改革，规范检验检测市场，完善检验检测体系，指导协调检验检测行业发展。</w:t>
      </w:r>
    </w:p>
    <w:p>
      <w:pPr>
        <w:pStyle w:val="17"/>
      </w:pPr>
      <w:r>
        <w:t>（十三）负责统一管理、监督和协调全市认证认可工作，组织实施国家统一的认证认可和合格评定监督管理制度。</w:t>
      </w:r>
    </w:p>
    <w:p>
      <w:pPr>
        <w:pStyle w:val="17"/>
      </w:pPr>
      <w:r>
        <w:t>（十四）负责推进全市知识产权管理工作，组织实施加强知识产权强市发展规划，贯彻落实强化知识产权创造、保护和运用的政策和制度。</w:t>
      </w:r>
    </w:p>
    <w:p>
      <w:pPr>
        <w:pStyle w:val="17"/>
      </w:pPr>
      <w:r>
        <w:t>（十五）负责保护知识产权工作，按照国家知识产权保护体系建设方案，推动建设知识产权保护体系；负责商标、专利执法工作，负责知识产权争议处理、维权援助和纠纷调处。</w:t>
      </w:r>
    </w:p>
    <w:p>
      <w:pPr>
        <w:pStyle w:val="17"/>
      </w:pPr>
      <w:r>
        <w:t>（十六）负责促进知识产权运用工作，促进知识产权转移转化；规范知识产权无形资产评估工作；负责知识产权中介服务发展的监督管理工作。</w:t>
      </w:r>
    </w:p>
    <w:p>
      <w:pPr>
        <w:pStyle w:val="17"/>
      </w:pPr>
      <w:r>
        <w:t>（十七）负责建立知识产权公共服务体系，建设便企利民、互联互通的全市知识产权信息公共服务平台，推动商标、专利等知识产权信息的传播利用；指导辖区专利信息服务工作。</w:t>
      </w:r>
    </w:p>
    <w:p>
      <w:pPr>
        <w:pStyle w:val="17"/>
      </w:pPr>
      <w:r>
        <w:t>（十八）承担上级授权的知识产权代办工作任务，组织实施原产地地理标志统一认定制度。</w:t>
      </w:r>
    </w:p>
    <w:p>
      <w:pPr>
        <w:pStyle w:val="17"/>
      </w:pPr>
      <w:r>
        <w:t>（十九）负责市场监督管理科技和信息化建设、新闻宣传、对外交流与合作；按规定承担技术性贸易措施有关工作。</w:t>
      </w:r>
    </w:p>
    <w:p>
      <w:pPr>
        <w:pStyle w:val="17"/>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（二十五）负责推动落实药品、医疗器械和化妆品安全企业主体责任。</w:t>
      </w:r>
    </w:p>
    <w:p>
      <w:pPr>
        <w:pStyle w:val="17"/>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（二十七）承接市市场监督管理局委托的管理事项。</w:t>
      </w:r>
    </w:p>
    <w:p>
      <w:pPr>
        <w:pStyle w:val="17"/>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3254.52万元，其中：一般公共预算收入3254.52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市场监督管理局本级年度单位预算中支出预算的总体情况。2026年支出预算3254.52万元，其中基本支出2698.31万元，包括人员经费2430.41万元和日常公用经费267.90万元；项目支出556.21万元，主要为冀财行[2025]94号提前下达2026年省级市场监管补助经费51万元，（办案费）300万元，其他劳务派遣人员经费23.51万元，食品、药品抽检、检测经费150万元，双随机一公开政务网经费1.9万元，食用农产品二维码溯源系统维护费9.8万元，流通领域，生产领域商品质量抽检检验费20万元；预计下年使用的单位资金结余0.00万元。委托业务费共计安排23.51万元，主要用于因技术原因确需对外委托的辅助性工作和确有必要对外委托开展咨询、评审、规划等工作。</w:t>
      </w:r>
    </w:p>
    <w:p>
      <w:pPr>
        <w:pStyle w:val="18"/>
      </w:pPr>
      <w:r>
        <w:t>3、比上年增减情况</w:t>
      </w:r>
    </w:p>
    <w:p>
      <w:pPr>
        <w:pStyle w:val="18"/>
      </w:pPr>
      <w:r>
        <w:t>2026年预算收支安排3254.52万元，较2025年预算增加293.77万元，其中：基本支出增加278.65万元，主要为人员增加，2025年新招多名职员。项目支出增加15.12万元，主要为冀财行[2025]94号提前下达2026年省级市场监管补助经费比上年度增加15.12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2026年，我单位机关运行经费共计安排267.90万元，主要用于日常维修、办公用房水电费、办公用房取暖费、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54.08万元，其中因公出国（境）费0.00万元；公务用车购置及运维费54.08万元（其中：公务用车购置费为0.00万元，公务用车运维费54.08万元)；公务接待费0.00万元。与2025年相比减少0.52万元，增减变化的主要原因是响应厉行节俭政策，减少相对应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13018326P000328104645</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加强市场监管，维护单位工作正常运行。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依据职责，规范、监管市场、检测、检验。保障日常公用开支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市场监管批次</w:t>
            </w:r>
          </w:p>
        </w:tc>
        <w:tc>
          <w:tcPr>
            <w:tcW w:w="5386" w:type="dxa"/>
            <w:vAlign w:val="center"/>
          </w:tcPr>
          <w:p>
            <w:pPr>
              <w:pStyle w:val="12"/>
            </w:pPr>
            <w:r>
              <w:t>市场监管批次</w:t>
            </w:r>
          </w:p>
        </w:tc>
        <w:tc>
          <w:tcPr>
            <w:tcW w:w="2268" w:type="dxa"/>
            <w:vAlign w:val="center"/>
          </w:tcPr>
          <w:p>
            <w:pPr>
              <w:pStyle w:val="12"/>
            </w:pPr>
            <w:r>
              <w:t>≥10批次</w:t>
            </w:r>
          </w:p>
        </w:tc>
        <w:tc>
          <w:tcPr>
            <w:tcW w:w="1276" w:type="dxa"/>
            <w:vAlign w:val="center"/>
          </w:tcPr>
          <w:p>
            <w:pPr>
              <w:pStyle w:val="12"/>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市场监管覆盖率</w:t>
            </w:r>
          </w:p>
        </w:tc>
        <w:tc>
          <w:tcPr>
            <w:tcW w:w="5386" w:type="dxa"/>
            <w:vAlign w:val="center"/>
          </w:tcPr>
          <w:p>
            <w:pPr>
              <w:pStyle w:val="12"/>
            </w:pPr>
            <w:r>
              <w:t>市场监管覆盖率</w:t>
            </w:r>
          </w:p>
        </w:tc>
        <w:tc>
          <w:tcPr>
            <w:tcW w:w="2268" w:type="dxa"/>
            <w:vAlign w:val="center"/>
          </w:tcPr>
          <w:p>
            <w:pPr>
              <w:pStyle w:val="12"/>
            </w:pPr>
            <w:r>
              <w:t>≥85%</w:t>
            </w:r>
          </w:p>
        </w:tc>
        <w:tc>
          <w:tcPr>
            <w:tcW w:w="1276" w:type="dxa"/>
            <w:vAlign w:val="center"/>
          </w:tcPr>
          <w:p>
            <w:pPr>
              <w:pStyle w:val="12"/>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w:t>
            </w:r>
          </w:p>
        </w:tc>
        <w:tc>
          <w:tcPr>
            <w:tcW w:w="5386" w:type="dxa"/>
            <w:vAlign w:val="center"/>
          </w:tcPr>
          <w:p>
            <w:pPr>
              <w:pStyle w:val="12"/>
            </w:pPr>
            <w:r>
              <w:t>工作按时完成</w:t>
            </w:r>
          </w:p>
        </w:tc>
        <w:tc>
          <w:tcPr>
            <w:tcW w:w="2268" w:type="dxa"/>
            <w:vAlign w:val="center"/>
          </w:tcPr>
          <w:p>
            <w:pPr>
              <w:pStyle w:val="12"/>
            </w:pPr>
            <w:r>
              <w:t>2026年12月31日之前完成</w:t>
            </w:r>
          </w:p>
        </w:tc>
        <w:tc>
          <w:tcPr>
            <w:tcW w:w="1276" w:type="dxa"/>
            <w:vAlign w:val="center"/>
          </w:tcPr>
          <w:p>
            <w:pPr>
              <w:pStyle w:val="12"/>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项目所需资金数额</w:t>
            </w:r>
          </w:p>
        </w:tc>
        <w:tc>
          <w:tcPr>
            <w:tcW w:w="2268" w:type="dxa"/>
            <w:vAlign w:val="center"/>
          </w:tcPr>
          <w:p>
            <w:pPr>
              <w:pStyle w:val="12"/>
            </w:pPr>
            <w:r>
              <w:t>300万元</w:t>
            </w:r>
          </w:p>
        </w:tc>
        <w:tc>
          <w:tcPr>
            <w:tcW w:w="1276" w:type="dxa"/>
            <w:vAlign w:val="center"/>
          </w:tcPr>
          <w:p>
            <w:pPr>
              <w:pStyle w:val="12"/>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保障市场秩序正常运行</w:t>
            </w:r>
          </w:p>
        </w:tc>
        <w:tc>
          <w:tcPr>
            <w:tcW w:w="5386" w:type="dxa"/>
            <w:vAlign w:val="center"/>
          </w:tcPr>
          <w:p>
            <w:pPr>
              <w:pStyle w:val="12"/>
            </w:pPr>
            <w:r>
              <w:t>保障市场秩序正常运行</w:t>
            </w:r>
          </w:p>
        </w:tc>
        <w:tc>
          <w:tcPr>
            <w:tcW w:w="2268" w:type="dxa"/>
            <w:vAlign w:val="center"/>
          </w:tcPr>
          <w:p>
            <w:pPr>
              <w:pStyle w:val="12"/>
            </w:pPr>
            <w:r>
              <w:t>≥80%</w:t>
            </w:r>
          </w:p>
        </w:tc>
        <w:tc>
          <w:tcPr>
            <w:tcW w:w="1276" w:type="dxa"/>
            <w:vAlign w:val="center"/>
          </w:tcPr>
          <w:p>
            <w:pPr>
              <w:pStyle w:val="12"/>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2、冀财行[2025]94号提前下达2026年省级市场监管补助经费绩效目标表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13018326P000328103419</w:t>
            </w:r>
          </w:p>
        </w:tc>
        <w:tc>
          <w:tcPr>
            <w:tcW w:w="2835" w:type="dxa"/>
            <w:vAlign w:val="center"/>
          </w:tcPr>
          <w:p>
            <w:pPr>
              <w:pStyle w:val="10"/>
            </w:pPr>
            <w:r>
              <w:t>项目名称</w:t>
            </w:r>
          </w:p>
        </w:tc>
        <w:tc>
          <w:tcPr>
            <w:tcW w:w="6095" w:type="dxa"/>
            <w:gridSpan w:val="3"/>
            <w:vAlign w:val="center"/>
          </w:tcPr>
          <w:p>
            <w:pPr>
              <w:pStyle w:val="12"/>
            </w:pPr>
            <w:r>
              <w:t>冀财行[2025]94号提前下达2026年省级市场监管补助经费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w:t>
            </w:r>
          </w:p>
        </w:tc>
        <w:tc>
          <w:tcPr>
            <w:tcW w:w="2835" w:type="dxa"/>
            <w:vAlign w:val="center"/>
          </w:tcPr>
          <w:p>
            <w:pPr>
              <w:pStyle w:val="10"/>
            </w:pPr>
            <w:r>
              <w:t>其中：财政    资金</w:t>
            </w:r>
          </w:p>
        </w:tc>
        <w:tc>
          <w:tcPr>
            <w:tcW w:w="2551" w:type="dxa"/>
            <w:vAlign w:val="center"/>
          </w:tcPr>
          <w:p>
            <w:pPr>
              <w:pStyle w:val="12"/>
            </w:pPr>
            <w:r>
              <w:t>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市场监管设备维护运行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1.保障市场监管工作平稳运行，维护市场秩序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全年市场专项整治行动次数</w:t>
            </w:r>
          </w:p>
        </w:tc>
        <w:tc>
          <w:tcPr>
            <w:tcW w:w="5386" w:type="dxa"/>
            <w:vAlign w:val="center"/>
          </w:tcPr>
          <w:p>
            <w:pPr>
              <w:pStyle w:val="12"/>
            </w:pPr>
            <w:r>
              <w:t>全年市场专项整治行动次数</w:t>
            </w:r>
          </w:p>
        </w:tc>
        <w:tc>
          <w:tcPr>
            <w:tcW w:w="2268" w:type="dxa"/>
            <w:vAlign w:val="center"/>
          </w:tcPr>
          <w:p>
            <w:pPr>
              <w:pStyle w:val="12"/>
            </w:pPr>
            <w:r>
              <w:t>≥5次</w:t>
            </w:r>
          </w:p>
        </w:tc>
        <w:tc>
          <w:tcPr>
            <w:tcW w:w="1276" w:type="dxa"/>
            <w:vAlign w:val="center"/>
          </w:tcPr>
          <w:p>
            <w:pPr>
              <w:pStyle w:val="12"/>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监管执法计划完成率</w:t>
            </w:r>
          </w:p>
        </w:tc>
        <w:tc>
          <w:tcPr>
            <w:tcW w:w="5386" w:type="dxa"/>
            <w:vAlign w:val="center"/>
          </w:tcPr>
          <w:p>
            <w:pPr>
              <w:pStyle w:val="12"/>
            </w:pPr>
            <w:r>
              <w:t>监管执法计划完成率</w:t>
            </w:r>
          </w:p>
        </w:tc>
        <w:tc>
          <w:tcPr>
            <w:tcW w:w="2268" w:type="dxa"/>
            <w:vAlign w:val="center"/>
          </w:tcPr>
          <w:p>
            <w:pPr>
              <w:pStyle w:val="12"/>
            </w:pPr>
            <w:r>
              <w:t>≥85%</w:t>
            </w:r>
          </w:p>
        </w:tc>
        <w:tc>
          <w:tcPr>
            <w:tcW w:w="1276" w:type="dxa"/>
            <w:vAlign w:val="center"/>
          </w:tcPr>
          <w:p>
            <w:pPr>
              <w:pStyle w:val="12"/>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w:t>
            </w:r>
          </w:p>
        </w:tc>
        <w:tc>
          <w:tcPr>
            <w:tcW w:w="5386" w:type="dxa"/>
            <w:vAlign w:val="center"/>
          </w:tcPr>
          <w:p>
            <w:pPr>
              <w:pStyle w:val="12"/>
            </w:pPr>
            <w:r>
              <w:t>按时间节点完成</w:t>
            </w:r>
          </w:p>
        </w:tc>
        <w:tc>
          <w:tcPr>
            <w:tcW w:w="2268" w:type="dxa"/>
            <w:vAlign w:val="center"/>
          </w:tcPr>
          <w:p>
            <w:pPr>
              <w:pStyle w:val="12"/>
            </w:pPr>
            <w:r>
              <w:t>2026年12月31日前完成</w:t>
            </w:r>
          </w:p>
        </w:tc>
        <w:tc>
          <w:tcPr>
            <w:tcW w:w="1276" w:type="dxa"/>
            <w:vAlign w:val="center"/>
          </w:tcPr>
          <w:p>
            <w:pPr>
              <w:pStyle w:val="12"/>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项目所需资金数额</w:t>
            </w:r>
          </w:p>
        </w:tc>
        <w:tc>
          <w:tcPr>
            <w:tcW w:w="5386" w:type="dxa"/>
            <w:vAlign w:val="center"/>
          </w:tcPr>
          <w:p>
            <w:pPr>
              <w:pStyle w:val="12"/>
            </w:pPr>
            <w:r>
              <w:t>项目所需资金数额</w:t>
            </w:r>
          </w:p>
        </w:tc>
        <w:tc>
          <w:tcPr>
            <w:tcW w:w="2268" w:type="dxa"/>
            <w:vAlign w:val="center"/>
          </w:tcPr>
          <w:p>
            <w:pPr>
              <w:pStyle w:val="12"/>
            </w:pPr>
            <w:r>
              <w:t>51万元</w:t>
            </w:r>
          </w:p>
        </w:tc>
        <w:tc>
          <w:tcPr>
            <w:tcW w:w="1276" w:type="dxa"/>
            <w:vAlign w:val="center"/>
          </w:tcPr>
          <w:p>
            <w:pPr>
              <w:pStyle w:val="12"/>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冀财行[2025]94号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社会反馈意见对市场监管工作满意度</w:t>
            </w:r>
          </w:p>
        </w:tc>
        <w:tc>
          <w:tcPr>
            <w:tcW w:w="5386" w:type="dxa"/>
            <w:vAlign w:val="center"/>
          </w:tcPr>
          <w:p>
            <w:pPr>
              <w:pStyle w:val="12"/>
            </w:pPr>
            <w:r>
              <w:t>社会反馈意见对市场监管工作满意度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3、流通领域重点商品质量抽检费用绩效目标表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13018326P000328104716</w:t>
            </w:r>
          </w:p>
        </w:tc>
        <w:tc>
          <w:tcPr>
            <w:tcW w:w="2835" w:type="dxa"/>
            <w:vAlign w:val="center"/>
          </w:tcPr>
          <w:p>
            <w:pPr>
              <w:pStyle w:val="10"/>
            </w:pPr>
            <w:r>
              <w:t>项目名称</w:t>
            </w:r>
          </w:p>
        </w:tc>
        <w:tc>
          <w:tcPr>
            <w:tcW w:w="6095" w:type="dxa"/>
            <w:gridSpan w:val="3"/>
            <w:vAlign w:val="center"/>
          </w:tcPr>
          <w:p>
            <w:pPr>
              <w:pStyle w:val="12"/>
            </w:pPr>
            <w:r>
              <w:t>流通领域重点商品质量抽检费用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强化流通领域质量监管，保障市场商品质量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1.强化流通领域重点商品质量安全监督管理工作，提高流通领域重点商品质量抽检监管工作效率</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流通领域重点商品质量抽检批次</w:t>
            </w:r>
          </w:p>
        </w:tc>
        <w:tc>
          <w:tcPr>
            <w:tcW w:w="5386" w:type="dxa"/>
            <w:vAlign w:val="center"/>
          </w:tcPr>
          <w:p>
            <w:pPr>
              <w:pStyle w:val="12"/>
            </w:pPr>
            <w:r>
              <w:t>流通领域重点商品质量抽检批次</w:t>
            </w:r>
          </w:p>
        </w:tc>
        <w:tc>
          <w:tcPr>
            <w:tcW w:w="2268" w:type="dxa"/>
            <w:vAlign w:val="center"/>
          </w:tcPr>
          <w:p>
            <w:pPr>
              <w:pStyle w:val="12"/>
            </w:pPr>
            <w:r>
              <w:t>≥20批次</w:t>
            </w:r>
          </w:p>
        </w:tc>
        <w:tc>
          <w:tcPr>
            <w:tcW w:w="1276" w:type="dxa"/>
            <w:vAlign w:val="center"/>
          </w:tcPr>
          <w:p>
            <w:pPr>
              <w:pStyle w:val="12"/>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抽检的批次完成率</w:t>
            </w:r>
          </w:p>
        </w:tc>
        <w:tc>
          <w:tcPr>
            <w:tcW w:w="5386" w:type="dxa"/>
            <w:vAlign w:val="center"/>
          </w:tcPr>
          <w:p>
            <w:pPr>
              <w:pStyle w:val="12"/>
            </w:pPr>
            <w:r>
              <w:t>流通领域重点商品质量抽检的批次完成率</w:t>
            </w:r>
          </w:p>
        </w:tc>
        <w:tc>
          <w:tcPr>
            <w:tcW w:w="2268" w:type="dxa"/>
            <w:vAlign w:val="center"/>
          </w:tcPr>
          <w:p>
            <w:pPr>
              <w:pStyle w:val="12"/>
            </w:pPr>
            <w:r>
              <w:t>≥80%</w:t>
            </w:r>
          </w:p>
        </w:tc>
        <w:tc>
          <w:tcPr>
            <w:tcW w:w="1276" w:type="dxa"/>
            <w:vAlign w:val="center"/>
          </w:tcPr>
          <w:p>
            <w:pPr>
              <w:pStyle w:val="12"/>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w:t>
            </w:r>
          </w:p>
        </w:tc>
        <w:tc>
          <w:tcPr>
            <w:tcW w:w="5386" w:type="dxa"/>
            <w:vAlign w:val="center"/>
          </w:tcPr>
          <w:p>
            <w:pPr>
              <w:pStyle w:val="12"/>
            </w:pPr>
            <w:r>
              <w:t>按时间节点完成</w:t>
            </w:r>
          </w:p>
        </w:tc>
        <w:tc>
          <w:tcPr>
            <w:tcW w:w="2268" w:type="dxa"/>
            <w:vAlign w:val="center"/>
          </w:tcPr>
          <w:p>
            <w:pPr>
              <w:pStyle w:val="12"/>
            </w:pPr>
            <w:r>
              <w:t>2026年12月31日前完成</w:t>
            </w:r>
          </w:p>
        </w:tc>
        <w:tc>
          <w:tcPr>
            <w:tcW w:w="1276" w:type="dxa"/>
            <w:vAlign w:val="center"/>
          </w:tcPr>
          <w:p>
            <w:pPr>
              <w:pStyle w:val="12"/>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项目所需资金数额</w:t>
            </w:r>
          </w:p>
        </w:tc>
        <w:tc>
          <w:tcPr>
            <w:tcW w:w="2268" w:type="dxa"/>
            <w:vAlign w:val="center"/>
          </w:tcPr>
          <w:p>
            <w:pPr>
              <w:pStyle w:val="12"/>
            </w:pPr>
            <w:r>
              <w:t>10万元</w:t>
            </w:r>
          </w:p>
        </w:tc>
        <w:tc>
          <w:tcPr>
            <w:tcW w:w="1276" w:type="dxa"/>
            <w:vAlign w:val="center"/>
          </w:tcPr>
          <w:p>
            <w:pPr>
              <w:pStyle w:val="12"/>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稳定市场正常运行</w:t>
            </w:r>
          </w:p>
        </w:tc>
        <w:tc>
          <w:tcPr>
            <w:tcW w:w="5386" w:type="dxa"/>
            <w:vAlign w:val="center"/>
          </w:tcPr>
          <w:p>
            <w:pPr>
              <w:pStyle w:val="12"/>
            </w:pPr>
            <w:r>
              <w:t>保障市场秩序正常运行，强化全市产品安全监管力度</w:t>
            </w:r>
          </w:p>
        </w:tc>
        <w:tc>
          <w:tcPr>
            <w:tcW w:w="2268" w:type="dxa"/>
            <w:vAlign w:val="center"/>
          </w:tcPr>
          <w:p>
            <w:pPr>
              <w:pStyle w:val="12"/>
            </w:pPr>
            <w:r>
              <w:t>保障市场秩序正常运行，强化全市产品安全监管力度</w:t>
            </w:r>
          </w:p>
        </w:tc>
        <w:tc>
          <w:tcPr>
            <w:tcW w:w="1276" w:type="dxa"/>
            <w:vAlign w:val="center"/>
          </w:tcPr>
          <w:p>
            <w:pPr>
              <w:pStyle w:val="12"/>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13018326P000328104670</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23.51</w:t>
            </w:r>
          </w:p>
        </w:tc>
        <w:tc>
          <w:tcPr>
            <w:tcW w:w="2835" w:type="dxa"/>
            <w:vAlign w:val="center"/>
          </w:tcPr>
          <w:p>
            <w:pPr>
              <w:pStyle w:val="10"/>
            </w:pPr>
            <w:r>
              <w:t>其中：财政    资金</w:t>
            </w:r>
          </w:p>
        </w:tc>
        <w:tc>
          <w:tcPr>
            <w:tcW w:w="2551" w:type="dxa"/>
            <w:vAlign w:val="center"/>
          </w:tcPr>
          <w:p>
            <w:pPr>
              <w:pStyle w:val="12"/>
            </w:pPr>
            <w:r>
              <w:t>23.51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劳务派遣人员工资及时准确按时发放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聘用人数</w:t>
            </w:r>
          </w:p>
        </w:tc>
        <w:tc>
          <w:tcPr>
            <w:tcW w:w="5386" w:type="dxa"/>
            <w:vAlign w:val="center"/>
          </w:tcPr>
          <w:p>
            <w:pPr>
              <w:pStyle w:val="12"/>
            </w:pPr>
            <w:r>
              <w:t>聘用人数</w:t>
            </w:r>
          </w:p>
        </w:tc>
        <w:tc>
          <w:tcPr>
            <w:tcW w:w="2268" w:type="dxa"/>
            <w:vAlign w:val="center"/>
          </w:tcPr>
          <w:p>
            <w:pPr>
              <w:pStyle w:val="12"/>
            </w:pPr>
            <w:r>
              <w:t>6人</w:t>
            </w:r>
          </w:p>
        </w:tc>
        <w:tc>
          <w:tcPr>
            <w:tcW w:w="1276" w:type="dxa"/>
            <w:vAlign w:val="center"/>
          </w:tcPr>
          <w:p>
            <w:pPr>
              <w:pStyle w:val="12"/>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按时间完成</w:t>
            </w:r>
          </w:p>
        </w:tc>
        <w:tc>
          <w:tcPr>
            <w:tcW w:w="5386" w:type="dxa"/>
            <w:vAlign w:val="center"/>
          </w:tcPr>
          <w:p>
            <w:pPr>
              <w:pStyle w:val="12"/>
            </w:pPr>
            <w:r>
              <w:t>按时间完成</w:t>
            </w:r>
          </w:p>
        </w:tc>
        <w:tc>
          <w:tcPr>
            <w:tcW w:w="2268" w:type="dxa"/>
            <w:vAlign w:val="center"/>
          </w:tcPr>
          <w:p>
            <w:pPr>
              <w:pStyle w:val="12"/>
            </w:pPr>
            <w:r>
              <w:t>2026年12月31日完成</w:t>
            </w:r>
          </w:p>
        </w:tc>
        <w:tc>
          <w:tcPr>
            <w:tcW w:w="1276" w:type="dxa"/>
            <w:vAlign w:val="center"/>
          </w:tcPr>
          <w:p>
            <w:pPr>
              <w:pStyle w:val="12"/>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23.51万元</w:t>
            </w:r>
          </w:p>
        </w:tc>
        <w:tc>
          <w:tcPr>
            <w:tcW w:w="1276" w:type="dxa"/>
            <w:vAlign w:val="center"/>
          </w:tcPr>
          <w:p>
            <w:pPr>
              <w:pStyle w:val="12"/>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保障机关正常运转</w:t>
            </w:r>
          </w:p>
        </w:tc>
        <w:tc>
          <w:tcPr>
            <w:tcW w:w="1276" w:type="dxa"/>
            <w:vAlign w:val="center"/>
          </w:tcPr>
          <w:p>
            <w:pPr>
              <w:pStyle w:val="12"/>
            </w:pPr>
            <w:r>
              <w:t>关于拨付2023年聘用人员经费的请示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5、生产领域、流通领域、商品质量监督抽查检验费绩效目标表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13018326P000328104768</w:t>
            </w:r>
          </w:p>
        </w:tc>
        <w:tc>
          <w:tcPr>
            <w:tcW w:w="2835" w:type="dxa"/>
            <w:vAlign w:val="center"/>
          </w:tcPr>
          <w:p>
            <w:pPr>
              <w:pStyle w:val="10"/>
            </w:pPr>
            <w:r>
              <w:t>项目名称</w:t>
            </w:r>
          </w:p>
        </w:tc>
        <w:tc>
          <w:tcPr>
            <w:tcW w:w="6095" w:type="dxa"/>
            <w:gridSpan w:val="3"/>
            <w:vAlign w:val="center"/>
          </w:tcPr>
          <w:p>
            <w:pPr>
              <w:pStyle w:val="12"/>
            </w:pPr>
            <w:r>
              <w:t>生产领域、流通领域、商品质量监督抽查检验费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强化质量监督，保障市场平稳。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1.生产领域、流通领域商品质量监督抽查检验，维护市场正常运行。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商品质量抽检的完成批次</w:t>
            </w:r>
          </w:p>
        </w:tc>
        <w:tc>
          <w:tcPr>
            <w:tcW w:w="5386" w:type="dxa"/>
            <w:vAlign w:val="center"/>
          </w:tcPr>
          <w:p>
            <w:pPr>
              <w:pStyle w:val="12"/>
            </w:pPr>
            <w:r>
              <w:t>商品质量抽检的完成批次</w:t>
            </w:r>
          </w:p>
        </w:tc>
        <w:tc>
          <w:tcPr>
            <w:tcW w:w="2268" w:type="dxa"/>
            <w:vAlign w:val="center"/>
          </w:tcPr>
          <w:p>
            <w:pPr>
              <w:pStyle w:val="12"/>
            </w:pPr>
            <w:r>
              <w:t>≥20批次</w:t>
            </w:r>
          </w:p>
        </w:tc>
        <w:tc>
          <w:tcPr>
            <w:tcW w:w="1276" w:type="dxa"/>
            <w:vAlign w:val="center"/>
          </w:tcPr>
          <w:p>
            <w:pPr>
              <w:pStyle w:val="12"/>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商品质量抽检完成率</w:t>
            </w:r>
          </w:p>
        </w:tc>
        <w:tc>
          <w:tcPr>
            <w:tcW w:w="5386" w:type="dxa"/>
            <w:vAlign w:val="center"/>
          </w:tcPr>
          <w:p>
            <w:pPr>
              <w:pStyle w:val="12"/>
            </w:pPr>
            <w:r>
              <w:t>商品质量抽检完成率</w:t>
            </w:r>
          </w:p>
        </w:tc>
        <w:tc>
          <w:tcPr>
            <w:tcW w:w="2268" w:type="dxa"/>
            <w:vAlign w:val="center"/>
          </w:tcPr>
          <w:p>
            <w:pPr>
              <w:pStyle w:val="12"/>
            </w:pPr>
            <w:r>
              <w:t>≥70%</w:t>
            </w:r>
          </w:p>
        </w:tc>
        <w:tc>
          <w:tcPr>
            <w:tcW w:w="1276" w:type="dxa"/>
            <w:vAlign w:val="center"/>
          </w:tcPr>
          <w:p>
            <w:pPr>
              <w:pStyle w:val="12"/>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任务完成进度</w:t>
            </w:r>
          </w:p>
        </w:tc>
        <w:tc>
          <w:tcPr>
            <w:tcW w:w="5386" w:type="dxa"/>
            <w:vAlign w:val="center"/>
          </w:tcPr>
          <w:p>
            <w:pPr>
              <w:pStyle w:val="12"/>
            </w:pPr>
            <w:r>
              <w:t>任务完成进度</w:t>
            </w:r>
          </w:p>
        </w:tc>
        <w:tc>
          <w:tcPr>
            <w:tcW w:w="2268" w:type="dxa"/>
            <w:vAlign w:val="center"/>
          </w:tcPr>
          <w:p>
            <w:pPr>
              <w:pStyle w:val="12"/>
            </w:pPr>
            <w:r>
              <w:t>2026年12月31日前完成</w:t>
            </w:r>
          </w:p>
        </w:tc>
        <w:tc>
          <w:tcPr>
            <w:tcW w:w="1276" w:type="dxa"/>
            <w:vAlign w:val="center"/>
          </w:tcPr>
          <w:p>
            <w:pPr>
              <w:pStyle w:val="12"/>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10万元</w:t>
            </w:r>
          </w:p>
        </w:tc>
        <w:tc>
          <w:tcPr>
            <w:tcW w:w="1276" w:type="dxa"/>
            <w:vAlign w:val="center"/>
          </w:tcPr>
          <w:p>
            <w:pPr>
              <w:pStyle w:val="12"/>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保障市场秩序正常运行</w:t>
            </w:r>
          </w:p>
        </w:tc>
        <w:tc>
          <w:tcPr>
            <w:tcW w:w="5386" w:type="dxa"/>
            <w:vAlign w:val="center"/>
          </w:tcPr>
          <w:p>
            <w:pPr>
              <w:pStyle w:val="12"/>
            </w:pPr>
            <w:r>
              <w:t>保障市场秩序正常运行</w:t>
            </w:r>
          </w:p>
        </w:tc>
        <w:tc>
          <w:tcPr>
            <w:tcW w:w="2268" w:type="dxa"/>
            <w:vAlign w:val="center"/>
          </w:tcPr>
          <w:p>
            <w:pPr>
              <w:pStyle w:val="12"/>
            </w:pPr>
            <w:r>
              <w:t>≥80%</w:t>
            </w:r>
          </w:p>
        </w:tc>
        <w:tc>
          <w:tcPr>
            <w:tcW w:w="1276" w:type="dxa"/>
            <w:vAlign w:val="center"/>
          </w:tcPr>
          <w:p>
            <w:pPr>
              <w:pStyle w:val="12"/>
            </w:pPr>
            <w:r>
              <w:t>年初预算、商家报价及年度工资计划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6、食品、药品抽检、检测经费绩效目标表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13018326P00032810478F</w:t>
            </w:r>
          </w:p>
        </w:tc>
        <w:tc>
          <w:tcPr>
            <w:tcW w:w="2835" w:type="dxa"/>
            <w:vAlign w:val="center"/>
          </w:tcPr>
          <w:p>
            <w:pPr>
              <w:pStyle w:val="10"/>
            </w:pPr>
            <w:r>
              <w:t>项目名称</w:t>
            </w:r>
          </w:p>
        </w:tc>
        <w:tc>
          <w:tcPr>
            <w:tcW w:w="6095" w:type="dxa"/>
            <w:gridSpan w:val="3"/>
            <w:vAlign w:val="center"/>
          </w:tcPr>
          <w:p>
            <w:pPr>
              <w:pStyle w:val="12"/>
            </w:pPr>
            <w:r>
              <w:t>食品、药品抽检、检测经费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保障食品安全，维护人民身体健康。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1.强化食品、药品抽检、检测监督管理工作，提高食品、药品抽检、检测监管工作效率。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食品生产经营餐饮等环节抽检的批次</w:t>
            </w:r>
          </w:p>
        </w:tc>
        <w:tc>
          <w:tcPr>
            <w:tcW w:w="5386" w:type="dxa"/>
            <w:vAlign w:val="center"/>
          </w:tcPr>
          <w:p>
            <w:pPr>
              <w:pStyle w:val="12"/>
            </w:pPr>
            <w:r>
              <w:t>食品生产经营餐饮等环节抽检的批次</w:t>
            </w:r>
          </w:p>
        </w:tc>
        <w:tc>
          <w:tcPr>
            <w:tcW w:w="2268" w:type="dxa"/>
            <w:vAlign w:val="center"/>
          </w:tcPr>
          <w:p>
            <w:pPr>
              <w:pStyle w:val="12"/>
            </w:pPr>
            <w:r>
              <w:t>≥1500批次</w:t>
            </w:r>
          </w:p>
        </w:tc>
        <w:tc>
          <w:tcPr>
            <w:tcW w:w="1276" w:type="dxa"/>
            <w:vAlign w:val="center"/>
          </w:tcPr>
          <w:p>
            <w:pPr>
              <w:pStyle w:val="12"/>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抽检完成率</w:t>
            </w:r>
          </w:p>
        </w:tc>
        <w:tc>
          <w:tcPr>
            <w:tcW w:w="5386" w:type="dxa"/>
            <w:vAlign w:val="center"/>
          </w:tcPr>
          <w:p>
            <w:pPr>
              <w:pStyle w:val="12"/>
            </w:pPr>
            <w:r>
              <w:t>抽检完成率</w:t>
            </w:r>
          </w:p>
        </w:tc>
        <w:tc>
          <w:tcPr>
            <w:tcW w:w="2268" w:type="dxa"/>
            <w:vAlign w:val="center"/>
          </w:tcPr>
          <w:p>
            <w:pPr>
              <w:pStyle w:val="12"/>
            </w:pPr>
            <w:r>
              <w:t>≥80%</w:t>
            </w:r>
          </w:p>
        </w:tc>
        <w:tc>
          <w:tcPr>
            <w:tcW w:w="1276" w:type="dxa"/>
            <w:vAlign w:val="center"/>
          </w:tcPr>
          <w:p>
            <w:pPr>
              <w:pStyle w:val="12"/>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2026年12月31日前完成</w:t>
            </w:r>
          </w:p>
        </w:tc>
        <w:tc>
          <w:tcPr>
            <w:tcW w:w="1276" w:type="dxa"/>
            <w:vAlign w:val="center"/>
          </w:tcPr>
          <w:p>
            <w:pPr>
              <w:pStyle w:val="12"/>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150万元</w:t>
            </w:r>
          </w:p>
        </w:tc>
        <w:tc>
          <w:tcPr>
            <w:tcW w:w="1276" w:type="dxa"/>
            <w:vAlign w:val="center"/>
          </w:tcPr>
          <w:p>
            <w:pPr>
              <w:pStyle w:val="12"/>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保障市场秩序正常运行</w:t>
            </w:r>
          </w:p>
        </w:tc>
        <w:tc>
          <w:tcPr>
            <w:tcW w:w="5386" w:type="dxa"/>
            <w:vAlign w:val="center"/>
          </w:tcPr>
          <w:p>
            <w:pPr>
              <w:pStyle w:val="12"/>
            </w:pPr>
            <w:r>
              <w:t>保障市场秩序正常运行，强化全市产品安全监管力度</w:t>
            </w:r>
          </w:p>
        </w:tc>
        <w:tc>
          <w:tcPr>
            <w:tcW w:w="2268" w:type="dxa"/>
            <w:vAlign w:val="center"/>
          </w:tcPr>
          <w:p>
            <w:pPr>
              <w:pStyle w:val="12"/>
            </w:pPr>
            <w:r>
              <w:t>≥80%</w:t>
            </w:r>
          </w:p>
        </w:tc>
        <w:tc>
          <w:tcPr>
            <w:tcW w:w="1276" w:type="dxa"/>
            <w:vAlign w:val="center"/>
          </w:tcPr>
          <w:p>
            <w:pPr>
              <w:pStyle w:val="12"/>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7、食用农产品二维码溯源系统维护费绩效目标表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13018326P00032810480E</w:t>
            </w:r>
          </w:p>
        </w:tc>
        <w:tc>
          <w:tcPr>
            <w:tcW w:w="2835" w:type="dxa"/>
            <w:vAlign w:val="center"/>
          </w:tcPr>
          <w:p>
            <w:pPr>
              <w:pStyle w:val="10"/>
            </w:pPr>
            <w:r>
              <w:t>项目名称</w:t>
            </w:r>
          </w:p>
        </w:tc>
        <w:tc>
          <w:tcPr>
            <w:tcW w:w="6095" w:type="dxa"/>
            <w:gridSpan w:val="3"/>
            <w:vAlign w:val="center"/>
          </w:tcPr>
          <w:p>
            <w:pPr>
              <w:pStyle w:val="12"/>
            </w:pPr>
            <w:r>
              <w:t>食用农产品二维码溯源系统维护费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w:t>
            </w:r>
          </w:p>
        </w:tc>
        <w:tc>
          <w:tcPr>
            <w:tcW w:w="2835" w:type="dxa"/>
            <w:vAlign w:val="center"/>
          </w:tcPr>
          <w:p>
            <w:pPr>
              <w:pStyle w:val="10"/>
            </w:pPr>
            <w:r>
              <w:t>其中：财政    资金</w:t>
            </w:r>
          </w:p>
        </w:tc>
        <w:tc>
          <w:tcPr>
            <w:tcW w:w="2551" w:type="dxa"/>
            <w:vAlign w:val="center"/>
          </w:tcPr>
          <w:p>
            <w:pPr>
              <w:pStyle w:val="12"/>
            </w:pPr>
            <w:r>
              <w:t>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保障使用农产品二维码溯源系统正常运行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1.加强食用农产品集中交易市场销售质量安全监督管理，保障食用农产品销售质量安全，全面推进二维码信息技术，强化监管信息化建设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系统平台正常运行天数</w:t>
            </w:r>
          </w:p>
        </w:tc>
        <w:tc>
          <w:tcPr>
            <w:tcW w:w="5386" w:type="dxa"/>
            <w:vAlign w:val="center"/>
          </w:tcPr>
          <w:p>
            <w:pPr>
              <w:pStyle w:val="12"/>
            </w:pPr>
            <w:r>
              <w:t>系统平台正常运行天数</w:t>
            </w:r>
          </w:p>
        </w:tc>
        <w:tc>
          <w:tcPr>
            <w:tcW w:w="2268" w:type="dxa"/>
            <w:vAlign w:val="center"/>
          </w:tcPr>
          <w:p>
            <w:pPr>
              <w:pStyle w:val="12"/>
            </w:pPr>
            <w:r>
              <w:t xml:space="preserve">≥300天 </w:t>
            </w:r>
          </w:p>
        </w:tc>
        <w:tc>
          <w:tcPr>
            <w:tcW w:w="1276" w:type="dxa"/>
            <w:vAlign w:val="center"/>
          </w:tcPr>
          <w:p>
            <w:pPr>
              <w:pStyle w:val="12"/>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系统运行正常率</w:t>
            </w:r>
          </w:p>
        </w:tc>
        <w:tc>
          <w:tcPr>
            <w:tcW w:w="5386" w:type="dxa"/>
            <w:vAlign w:val="center"/>
          </w:tcPr>
          <w:p>
            <w:pPr>
              <w:pStyle w:val="12"/>
            </w:pPr>
            <w:r>
              <w:t>系统运行正常率</w:t>
            </w:r>
          </w:p>
        </w:tc>
        <w:tc>
          <w:tcPr>
            <w:tcW w:w="2268" w:type="dxa"/>
            <w:vAlign w:val="center"/>
          </w:tcPr>
          <w:p>
            <w:pPr>
              <w:pStyle w:val="12"/>
            </w:pPr>
            <w:r>
              <w:t>≥95%</w:t>
            </w:r>
          </w:p>
        </w:tc>
        <w:tc>
          <w:tcPr>
            <w:tcW w:w="1276" w:type="dxa"/>
            <w:vAlign w:val="center"/>
          </w:tcPr>
          <w:p>
            <w:pPr>
              <w:pStyle w:val="12"/>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工作完成时限</w:t>
            </w:r>
          </w:p>
        </w:tc>
        <w:tc>
          <w:tcPr>
            <w:tcW w:w="5386" w:type="dxa"/>
            <w:vAlign w:val="center"/>
          </w:tcPr>
          <w:p>
            <w:pPr>
              <w:pStyle w:val="12"/>
            </w:pPr>
            <w:r>
              <w:t>工作完成时限</w:t>
            </w:r>
          </w:p>
        </w:tc>
        <w:tc>
          <w:tcPr>
            <w:tcW w:w="2268" w:type="dxa"/>
            <w:vAlign w:val="center"/>
          </w:tcPr>
          <w:p>
            <w:pPr>
              <w:pStyle w:val="12"/>
            </w:pPr>
            <w:r>
              <w:t>2026年12月31日前完成</w:t>
            </w:r>
          </w:p>
        </w:tc>
        <w:tc>
          <w:tcPr>
            <w:tcW w:w="1276" w:type="dxa"/>
            <w:vAlign w:val="center"/>
          </w:tcPr>
          <w:p>
            <w:pPr>
              <w:pStyle w:val="12"/>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9.8万元</w:t>
            </w:r>
          </w:p>
        </w:tc>
        <w:tc>
          <w:tcPr>
            <w:tcW w:w="1276" w:type="dxa"/>
            <w:vAlign w:val="center"/>
          </w:tcPr>
          <w:p>
            <w:pPr>
              <w:pStyle w:val="12"/>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保障系统运行正常</w:t>
            </w:r>
          </w:p>
        </w:tc>
        <w:tc>
          <w:tcPr>
            <w:tcW w:w="5386" w:type="dxa"/>
            <w:vAlign w:val="center"/>
          </w:tcPr>
          <w:p>
            <w:pPr>
              <w:pStyle w:val="12"/>
            </w:pPr>
            <w:r>
              <w:t>保障系统运行正常</w:t>
            </w:r>
          </w:p>
        </w:tc>
        <w:tc>
          <w:tcPr>
            <w:tcW w:w="2268" w:type="dxa"/>
            <w:vAlign w:val="center"/>
          </w:tcPr>
          <w:p>
            <w:pPr>
              <w:pStyle w:val="12"/>
            </w:pPr>
            <w:r>
              <w:t>保障系统正常运行</w:t>
            </w:r>
          </w:p>
        </w:tc>
        <w:tc>
          <w:tcPr>
            <w:tcW w:w="1276" w:type="dxa"/>
            <w:vAlign w:val="center"/>
          </w:tcPr>
          <w:p>
            <w:pPr>
              <w:pStyle w:val="12"/>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8、双随机一公开政务网经费绩效目标表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13018326P000328104987</w:t>
            </w:r>
          </w:p>
        </w:tc>
        <w:tc>
          <w:tcPr>
            <w:tcW w:w="2835" w:type="dxa"/>
            <w:vAlign w:val="center"/>
          </w:tcPr>
          <w:p>
            <w:pPr>
              <w:pStyle w:val="10"/>
            </w:pPr>
            <w:r>
              <w:t>项目名称</w:t>
            </w:r>
          </w:p>
        </w:tc>
        <w:tc>
          <w:tcPr>
            <w:tcW w:w="6095" w:type="dxa"/>
            <w:gridSpan w:val="3"/>
            <w:vAlign w:val="center"/>
          </w:tcPr>
          <w:p>
            <w:pPr>
              <w:pStyle w:val="12"/>
            </w:pPr>
            <w:r>
              <w:t>双随机一公开政务网经费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w:t>
            </w:r>
          </w:p>
        </w:tc>
        <w:tc>
          <w:tcPr>
            <w:tcW w:w="2835" w:type="dxa"/>
            <w:vAlign w:val="center"/>
          </w:tcPr>
          <w:p>
            <w:pPr>
              <w:pStyle w:val="10"/>
            </w:pPr>
            <w:r>
              <w:t>其中：财政    资金</w:t>
            </w:r>
          </w:p>
        </w:tc>
        <w:tc>
          <w:tcPr>
            <w:tcW w:w="2551" w:type="dxa"/>
            <w:vAlign w:val="center"/>
          </w:tcPr>
          <w:p>
            <w:pPr>
              <w:pStyle w:val="12"/>
            </w:pPr>
            <w:r>
              <w:t>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保障双随机一公开网络正常运行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1.实现与石家庄市政府外网互联互通，全市25个单位开通电子政务外网，增强“双随机、一公开”监管力度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电子政务外网部门开通数</w:t>
            </w:r>
          </w:p>
        </w:tc>
        <w:tc>
          <w:tcPr>
            <w:tcW w:w="5386" w:type="dxa"/>
            <w:vAlign w:val="center"/>
          </w:tcPr>
          <w:p>
            <w:pPr>
              <w:pStyle w:val="12"/>
            </w:pPr>
            <w:r>
              <w:t>电子政务外网部门开通数</w:t>
            </w:r>
          </w:p>
        </w:tc>
        <w:tc>
          <w:tcPr>
            <w:tcW w:w="2268" w:type="dxa"/>
            <w:vAlign w:val="center"/>
          </w:tcPr>
          <w:p>
            <w:pPr>
              <w:pStyle w:val="12"/>
            </w:pPr>
            <w:r>
              <w:t>≥14个</w:t>
            </w:r>
          </w:p>
        </w:tc>
        <w:tc>
          <w:tcPr>
            <w:tcW w:w="1276" w:type="dxa"/>
            <w:vAlign w:val="center"/>
          </w:tcPr>
          <w:p>
            <w:pPr>
              <w:pStyle w:val="12"/>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双随机一公开政务网监管率</w:t>
            </w:r>
          </w:p>
        </w:tc>
        <w:tc>
          <w:tcPr>
            <w:tcW w:w="5386" w:type="dxa"/>
            <w:vAlign w:val="center"/>
          </w:tcPr>
          <w:p>
            <w:pPr>
              <w:pStyle w:val="12"/>
            </w:pPr>
            <w:r>
              <w:t>双随机一公开政务网监管率</w:t>
            </w:r>
          </w:p>
        </w:tc>
        <w:tc>
          <w:tcPr>
            <w:tcW w:w="2268" w:type="dxa"/>
            <w:vAlign w:val="center"/>
          </w:tcPr>
          <w:p>
            <w:pPr>
              <w:pStyle w:val="12"/>
            </w:pPr>
            <w:r>
              <w:t>≥95%</w:t>
            </w:r>
          </w:p>
        </w:tc>
        <w:tc>
          <w:tcPr>
            <w:tcW w:w="1276" w:type="dxa"/>
            <w:vAlign w:val="center"/>
          </w:tcPr>
          <w:p>
            <w:pPr>
              <w:pStyle w:val="12"/>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2026年12月31日前完成</w:t>
            </w:r>
          </w:p>
        </w:tc>
        <w:tc>
          <w:tcPr>
            <w:tcW w:w="1276" w:type="dxa"/>
            <w:vAlign w:val="center"/>
          </w:tcPr>
          <w:p>
            <w:pPr>
              <w:pStyle w:val="12"/>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&lt;1.9万元</w:t>
            </w:r>
          </w:p>
        </w:tc>
        <w:tc>
          <w:tcPr>
            <w:tcW w:w="1276" w:type="dxa"/>
            <w:vAlign w:val="center"/>
          </w:tcPr>
          <w:p>
            <w:pPr>
              <w:pStyle w:val="12"/>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保障网络正常运行</w:t>
            </w:r>
          </w:p>
        </w:tc>
        <w:tc>
          <w:tcPr>
            <w:tcW w:w="5386" w:type="dxa"/>
            <w:vAlign w:val="center"/>
          </w:tcPr>
          <w:p>
            <w:pPr>
              <w:pStyle w:val="12"/>
            </w:pPr>
            <w:r>
              <w:t>保障网络正常运行</w:t>
            </w:r>
          </w:p>
        </w:tc>
        <w:tc>
          <w:tcPr>
            <w:tcW w:w="2268" w:type="dxa"/>
            <w:vAlign w:val="center"/>
          </w:tcPr>
          <w:p>
            <w:pPr>
              <w:pStyle w:val="12"/>
            </w:pPr>
            <w:r>
              <w:t>≥95%</w:t>
            </w:r>
          </w:p>
        </w:tc>
        <w:tc>
          <w:tcPr>
            <w:tcW w:w="1276" w:type="dxa"/>
            <w:vAlign w:val="center"/>
          </w:tcPr>
          <w:p>
            <w:pPr>
              <w:pStyle w:val="12"/>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308.00</w:t>
            </w:r>
          </w:p>
        </w:tc>
        <w:tc>
          <w:tcPr>
            <w:tcW w:w="964" w:type="dxa"/>
            <w:vAlign w:val="center"/>
          </w:tcPr>
          <w:p>
            <w:pPr>
              <w:pStyle w:val="15"/>
            </w:pPr>
            <w:r>
              <w:t>308.00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308.00</w:t>
            </w:r>
          </w:p>
        </w:tc>
        <w:tc>
          <w:tcPr>
            <w:tcW w:w="964" w:type="dxa"/>
            <w:vAlign w:val="center"/>
          </w:tcPr>
          <w:p>
            <w:pPr>
              <w:pStyle w:val="15"/>
            </w:pPr>
            <w:r>
              <w:t>308.00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400</w:t>
            </w:r>
          </w:p>
        </w:tc>
        <w:tc>
          <w:tcPr>
            <w:tcW w:w="850" w:type="dxa"/>
            <w:vAlign w:val="center"/>
          </w:tcPr>
          <w:p>
            <w:pPr>
              <w:pStyle w:val="11"/>
            </w:pPr>
            <w:r>
              <w:t>0.02</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300.00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台件</w:t>
            </w:r>
          </w:p>
        </w:tc>
        <w:tc>
          <w:tcPr>
            <w:tcW w:w="850" w:type="dxa"/>
            <w:vAlign w:val="center"/>
          </w:tcPr>
          <w:p>
            <w:pPr>
              <w:pStyle w:val="11"/>
            </w:pPr>
            <w:r>
              <w:t>100</w:t>
            </w:r>
          </w:p>
        </w:tc>
        <w:tc>
          <w:tcPr>
            <w:tcW w:w="850" w:type="dxa"/>
            <w:vAlign w:val="center"/>
          </w:tcPr>
          <w:p>
            <w:pPr>
              <w:pStyle w:val="11"/>
            </w:pPr>
            <w:r>
              <w:t>0.50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300.00</w:t>
            </w:r>
          </w:p>
        </w:tc>
        <w:tc>
          <w:tcPr>
            <w:tcW w:w="1134" w:type="dxa"/>
            <w:vAlign w:val="center"/>
          </w:tcPr>
          <w:p>
            <w:pPr>
              <w:pStyle w:val="12"/>
            </w:pPr>
            <w:r>
              <w:t>纺织设备零部件</w:t>
            </w:r>
          </w:p>
        </w:tc>
        <w:tc>
          <w:tcPr>
            <w:tcW w:w="1134" w:type="dxa"/>
            <w:vAlign w:val="center"/>
          </w:tcPr>
          <w:p>
            <w:pPr>
              <w:pStyle w:val="12"/>
            </w:pPr>
            <w:r>
              <w:t>A02281000</w:t>
            </w:r>
          </w:p>
        </w:tc>
        <w:tc>
          <w:tcPr>
            <w:tcW w:w="709" w:type="dxa"/>
            <w:vAlign w:val="center"/>
          </w:tcPr>
          <w:p>
            <w:pPr>
              <w:pStyle w:val="13"/>
            </w:pPr>
            <w:r>
              <w:t>套</w:t>
            </w:r>
          </w:p>
        </w:tc>
        <w:tc>
          <w:tcPr>
            <w:tcW w:w="850" w:type="dxa"/>
            <w:vAlign w:val="center"/>
          </w:tcPr>
          <w:p>
            <w:pPr>
              <w:pStyle w:val="11"/>
            </w:pPr>
            <w:r>
              <w:t>175</w:t>
            </w:r>
          </w:p>
        </w:tc>
        <w:tc>
          <w:tcPr>
            <w:tcW w:w="850" w:type="dxa"/>
            <w:vAlign w:val="center"/>
          </w:tcPr>
          <w:p>
            <w:pPr>
              <w:pStyle w:val="11"/>
            </w:pPr>
            <w:r>
              <w:t>0.40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300.00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1000</w:t>
            </w:r>
          </w:p>
        </w:tc>
        <w:tc>
          <w:tcPr>
            <w:tcW w:w="850" w:type="dxa"/>
            <w:vAlign w:val="center"/>
          </w:tcPr>
          <w:p>
            <w:pPr>
              <w:pStyle w:val="11"/>
            </w:pPr>
            <w:r>
              <w:t>0.02</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冀财行[2025]94号提前下达2026年省级市场监管补助经费</w:t>
            </w:r>
          </w:p>
        </w:tc>
        <w:tc>
          <w:tcPr>
            <w:tcW w:w="964" w:type="dxa"/>
            <w:vAlign w:val="center"/>
          </w:tcPr>
          <w:p>
            <w:pPr>
              <w:pStyle w:val="11"/>
            </w:pPr>
            <w:r>
              <w:t>51.00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500</w:t>
            </w:r>
          </w:p>
        </w:tc>
        <w:tc>
          <w:tcPr>
            <w:tcW w:w="850" w:type="dxa"/>
            <w:vAlign w:val="center"/>
          </w:tcPr>
          <w:p>
            <w:pPr>
              <w:pStyle w:val="11"/>
            </w:pPr>
            <w:r>
              <w:t>0.02</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食品、药品抽检、检测经费</w:t>
            </w:r>
          </w:p>
        </w:tc>
        <w:tc>
          <w:tcPr>
            <w:tcW w:w="964" w:type="dxa"/>
            <w:vAlign w:val="center"/>
          </w:tcPr>
          <w:p>
            <w:pPr>
              <w:pStyle w:val="11"/>
            </w:pPr>
            <w:r>
              <w:t>150.00</w:t>
            </w:r>
          </w:p>
        </w:tc>
        <w:tc>
          <w:tcPr>
            <w:tcW w:w="1134" w:type="dxa"/>
            <w:vAlign w:val="center"/>
          </w:tcPr>
          <w:p>
            <w:pPr>
              <w:pStyle w:val="12"/>
            </w:pPr>
            <w:r>
              <w:t>其他商务服务</w:t>
            </w:r>
          </w:p>
        </w:tc>
        <w:tc>
          <w:tcPr>
            <w:tcW w:w="1134" w:type="dxa"/>
            <w:vAlign w:val="center"/>
          </w:tcPr>
          <w:p>
            <w:pPr>
              <w:pStyle w:val="12"/>
            </w:pPr>
            <w:r>
              <w:t>C23990000</w:t>
            </w:r>
          </w:p>
        </w:tc>
        <w:tc>
          <w:tcPr>
            <w:tcW w:w="709" w:type="dxa"/>
            <w:vAlign w:val="center"/>
          </w:tcPr>
          <w:p>
            <w:pPr>
              <w:pStyle w:val="13"/>
            </w:pPr>
            <w:r>
              <w:t>项</w:t>
            </w:r>
          </w:p>
        </w:tc>
        <w:tc>
          <w:tcPr>
            <w:tcW w:w="850" w:type="dxa"/>
            <w:vAlign w:val="center"/>
          </w:tcPr>
          <w:p>
            <w:pPr>
              <w:pStyle w:val="11"/>
            </w:pPr>
            <w:r>
              <w:t>140</w:t>
            </w:r>
          </w:p>
        </w:tc>
        <w:tc>
          <w:tcPr>
            <w:tcW w:w="850" w:type="dxa"/>
            <w:vAlign w:val="center"/>
          </w:tcPr>
          <w:p>
            <w:pPr>
              <w:pStyle w:val="11"/>
            </w:pPr>
            <w:r>
              <w:t>1.00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食品、药品抽检、检测经费</w:t>
            </w:r>
          </w:p>
        </w:tc>
        <w:tc>
          <w:tcPr>
            <w:tcW w:w="964" w:type="dxa"/>
            <w:vAlign w:val="center"/>
          </w:tcPr>
          <w:p>
            <w:pPr>
              <w:pStyle w:val="11"/>
            </w:pPr>
            <w:r>
              <w:t>150.00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1.00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晋州市市场监督管理局本级上年末固定资产金额为1969.50万元（详见下表）。本年度拟购置固定资产总额为50.00万元，已按要求列入政府采购预算，详见政府采购预算表。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414001晋州市市场监督管理局本级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11614.74</w:t>
            </w:r>
          </w:p>
        </w:tc>
        <w:tc>
          <w:tcPr>
            <w:tcW w:w="2835" w:type="dxa"/>
            <w:vAlign w:val="center"/>
          </w:tcPr>
          <w:p>
            <w:pPr>
              <w:pStyle w:val="11"/>
            </w:pPr>
            <w:r>
              <w:t>906.50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4760</w:t>
            </w:r>
          </w:p>
        </w:tc>
        <w:tc>
          <w:tcPr>
            <w:tcW w:w="2835" w:type="dxa"/>
            <w:vAlign w:val="center"/>
          </w:tcPr>
          <w:p>
            <w:pPr>
              <w:pStyle w:val="11"/>
            </w:pPr>
            <w:r>
              <w:t>371.50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43</w:t>
            </w:r>
          </w:p>
        </w:tc>
        <w:tc>
          <w:tcPr>
            <w:tcW w:w="2835" w:type="dxa"/>
            <w:vAlign w:val="center"/>
          </w:tcPr>
          <w:p>
            <w:pPr>
              <w:pStyle w:val="11"/>
            </w:pPr>
            <w:r>
              <w:t>411.00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4000</w:t>
            </w:r>
          </w:p>
        </w:tc>
        <w:tc>
          <w:tcPr>
            <w:tcW w:w="2835" w:type="dxa"/>
            <w:vAlign w:val="center"/>
          </w:tcPr>
          <w:p>
            <w:pPr>
              <w:pStyle w:val="11"/>
            </w:pPr>
            <w:r>
              <w:t>652.00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二、晋州市质量技术检验所收支预算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414003晋州市质量技术检验所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597.79</w:t>
            </w:r>
          </w:p>
        </w:tc>
        <w:tc>
          <w:tcPr>
            <w:tcW w:w="4535" w:type="dxa"/>
            <w:vAlign w:val="center"/>
          </w:tcPr>
          <w:p>
            <w:pPr>
              <w:pStyle w:val="12"/>
            </w:pPr>
            <w:r>
              <w:t>一、一般公共服务支出</w:t>
            </w:r>
          </w:p>
        </w:tc>
        <w:tc>
          <w:tcPr>
            <w:tcW w:w="2126" w:type="dxa"/>
            <w:vAlign w:val="center"/>
          </w:tcPr>
          <w:p>
            <w:pPr>
              <w:pStyle w:val="11"/>
            </w:pPr>
            <w:r>
              <w:t>597.79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597.79</w:t>
            </w:r>
          </w:p>
        </w:tc>
        <w:tc>
          <w:tcPr>
            <w:tcW w:w="4535" w:type="dxa"/>
            <w:vAlign w:val="center"/>
          </w:tcPr>
          <w:p>
            <w:pPr>
              <w:pStyle w:val="14"/>
            </w:pPr>
            <w:r>
              <w:t>本年支出合计</w:t>
            </w:r>
          </w:p>
        </w:tc>
        <w:tc>
          <w:tcPr>
            <w:tcW w:w="2126" w:type="dxa"/>
            <w:vAlign w:val="center"/>
          </w:tcPr>
          <w:p>
            <w:pPr>
              <w:pStyle w:val="15"/>
            </w:pPr>
            <w:r>
              <w:t>597.79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597.79</w:t>
            </w:r>
          </w:p>
        </w:tc>
        <w:tc>
          <w:tcPr>
            <w:tcW w:w="4535" w:type="dxa"/>
            <w:vAlign w:val="center"/>
          </w:tcPr>
          <w:p>
            <w:pPr>
              <w:pStyle w:val="14"/>
            </w:pPr>
            <w:r>
              <w:t>支出总计</w:t>
            </w:r>
          </w:p>
        </w:tc>
        <w:tc>
          <w:tcPr>
            <w:tcW w:w="2126" w:type="dxa"/>
            <w:vAlign w:val="center"/>
          </w:tcPr>
          <w:p>
            <w:pPr>
              <w:pStyle w:val="15"/>
            </w:pPr>
            <w:r>
              <w:t>597.79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414003晋州市质量技术检验所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597.79</w:t>
            </w:r>
          </w:p>
        </w:tc>
        <w:tc>
          <w:tcPr>
            <w:tcW w:w="1134" w:type="dxa"/>
            <w:vAlign w:val="center"/>
          </w:tcPr>
          <w:p>
            <w:pPr>
              <w:pStyle w:val="15"/>
            </w:pPr>
            <w:r>
              <w:t>597.79</w:t>
            </w:r>
          </w:p>
        </w:tc>
        <w:tc>
          <w:tcPr>
            <w:tcW w:w="1134" w:type="dxa"/>
            <w:vAlign w:val="center"/>
          </w:tcPr>
          <w:p>
            <w:pPr>
              <w:pStyle w:val="15"/>
            </w:pPr>
            <w:r>
              <w:t>597.79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597.79</w:t>
            </w:r>
          </w:p>
        </w:tc>
        <w:tc>
          <w:tcPr>
            <w:tcW w:w="1134" w:type="dxa"/>
            <w:vAlign w:val="center"/>
          </w:tcPr>
          <w:p>
            <w:pPr>
              <w:pStyle w:val="11"/>
            </w:pPr>
            <w:r>
              <w:t>597.79</w:t>
            </w:r>
          </w:p>
        </w:tc>
        <w:tc>
          <w:tcPr>
            <w:tcW w:w="1134" w:type="dxa"/>
            <w:vAlign w:val="center"/>
          </w:tcPr>
          <w:p>
            <w:pPr>
              <w:pStyle w:val="11"/>
            </w:pPr>
            <w:r>
              <w:t>597.79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597.79</w:t>
            </w:r>
          </w:p>
        </w:tc>
        <w:tc>
          <w:tcPr>
            <w:tcW w:w="1134" w:type="dxa"/>
            <w:vAlign w:val="center"/>
          </w:tcPr>
          <w:p>
            <w:pPr>
              <w:pStyle w:val="11"/>
            </w:pPr>
            <w:r>
              <w:t>597.79</w:t>
            </w:r>
          </w:p>
        </w:tc>
        <w:tc>
          <w:tcPr>
            <w:tcW w:w="1134" w:type="dxa"/>
            <w:vAlign w:val="center"/>
          </w:tcPr>
          <w:p>
            <w:pPr>
              <w:pStyle w:val="11"/>
            </w:pPr>
            <w:r>
              <w:t>597.79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2013850</w:t>
            </w:r>
          </w:p>
        </w:tc>
        <w:tc>
          <w:tcPr>
            <w:tcW w:w="1559" w:type="dxa"/>
            <w:vAlign w:val="center"/>
          </w:tcPr>
          <w:p>
            <w:pPr>
              <w:pStyle w:val="12"/>
            </w:pPr>
            <w:r>
              <w:t>事业运行</w:t>
            </w:r>
          </w:p>
        </w:tc>
        <w:tc>
          <w:tcPr>
            <w:tcW w:w="1134" w:type="dxa"/>
            <w:vAlign w:val="center"/>
          </w:tcPr>
          <w:p>
            <w:pPr>
              <w:pStyle w:val="11"/>
            </w:pPr>
            <w:r>
              <w:t>537.79</w:t>
            </w:r>
          </w:p>
        </w:tc>
        <w:tc>
          <w:tcPr>
            <w:tcW w:w="1134" w:type="dxa"/>
            <w:vAlign w:val="center"/>
          </w:tcPr>
          <w:p>
            <w:pPr>
              <w:pStyle w:val="11"/>
            </w:pPr>
            <w:r>
              <w:t>537.79</w:t>
            </w:r>
          </w:p>
        </w:tc>
        <w:tc>
          <w:tcPr>
            <w:tcW w:w="1134" w:type="dxa"/>
            <w:vAlign w:val="center"/>
          </w:tcPr>
          <w:p>
            <w:pPr>
              <w:pStyle w:val="11"/>
            </w:pPr>
            <w:r>
              <w:t>537.79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597.79</w:t>
            </w:r>
          </w:p>
        </w:tc>
        <w:tc>
          <w:tcPr>
            <w:tcW w:w="1361" w:type="dxa"/>
            <w:vAlign w:val="center"/>
          </w:tcPr>
          <w:p>
            <w:pPr>
              <w:pStyle w:val="15"/>
            </w:pPr>
            <w:r>
              <w:t>537.79</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597.79</w:t>
            </w:r>
          </w:p>
        </w:tc>
        <w:tc>
          <w:tcPr>
            <w:tcW w:w="1361" w:type="dxa"/>
            <w:vAlign w:val="center"/>
          </w:tcPr>
          <w:p>
            <w:pPr>
              <w:pStyle w:val="11"/>
            </w:pPr>
            <w:r>
              <w:t>537.79</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597.79</w:t>
            </w:r>
          </w:p>
        </w:tc>
        <w:tc>
          <w:tcPr>
            <w:tcW w:w="1361" w:type="dxa"/>
            <w:vAlign w:val="center"/>
          </w:tcPr>
          <w:p>
            <w:pPr>
              <w:pStyle w:val="11"/>
            </w:pPr>
            <w:r>
              <w:t>537.79</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2013850</w:t>
            </w:r>
          </w:p>
        </w:tc>
        <w:tc>
          <w:tcPr>
            <w:tcW w:w="4535" w:type="dxa"/>
            <w:vAlign w:val="center"/>
          </w:tcPr>
          <w:p>
            <w:pPr>
              <w:pStyle w:val="12"/>
            </w:pPr>
            <w:r>
              <w:t>事业运行</w:t>
            </w:r>
          </w:p>
        </w:tc>
        <w:tc>
          <w:tcPr>
            <w:tcW w:w="1361" w:type="dxa"/>
            <w:vAlign w:val="center"/>
          </w:tcPr>
          <w:p>
            <w:pPr>
              <w:pStyle w:val="11"/>
            </w:pPr>
            <w:r>
              <w:t>537.79</w:t>
            </w:r>
          </w:p>
        </w:tc>
        <w:tc>
          <w:tcPr>
            <w:tcW w:w="1361" w:type="dxa"/>
            <w:vAlign w:val="center"/>
          </w:tcPr>
          <w:p>
            <w:pPr>
              <w:pStyle w:val="11"/>
            </w:pPr>
            <w:r>
              <w:t>537.79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597.79</w:t>
            </w:r>
          </w:p>
        </w:tc>
        <w:tc>
          <w:tcPr>
            <w:tcW w:w="3402" w:type="dxa"/>
            <w:vAlign w:val="center"/>
          </w:tcPr>
          <w:p>
            <w:pPr>
              <w:pStyle w:val="12"/>
            </w:pPr>
            <w:r>
              <w:t>一、一般公共服务支出</w:t>
            </w:r>
          </w:p>
        </w:tc>
        <w:tc>
          <w:tcPr>
            <w:tcW w:w="1474" w:type="dxa"/>
            <w:vAlign w:val="center"/>
          </w:tcPr>
          <w:p>
            <w:pPr>
              <w:pStyle w:val="11"/>
            </w:pPr>
            <w:r>
              <w:t>597.79</w:t>
            </w:r>
          </w:p>
        </w:tc>
        <w:tc>
          <w:tcPr>
            <w:tcW w:w="1474" w:type="dxa"/>
            <w:vAlign w:val="center"/>
          </w:tcPr>
          <w:p>
            <w:pPr>
              <w:pStyle w:val="11"/>
            </w:pPr>
            <w:r>
              <w:t>597.79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597.79</w:t>
            </w:r>
          </w:p>
        </w:tc>
        <w:tc>
          <w:tcPr>
            <w:tcW w:w="3402" w:type="dxa"/>
            <w:vAlign w:val="center"/>
          </w:tcPr>
          <w:p>
            <w:pPr>
              <w:pStyle w:val="14"/>
            </w:pPr>
            <w:r>
              <w:t>本年支出合计</w:t>
            </w:r>
          </w:p>
        </w:tc>
        <w:tc>
          <w:tcPr>
            <w:tcW w:w="1474" w:type="dxa"/>
            <w:vAlign w:val="center"/>
          </w:tcPr>
          <w:p>
            <w:pPr>
              <w:pStyle w:val="15"/>
            </w:pPr>
            <w:r>
              <w:t>597.79</w:t>
            </w:r>
          </w:p>
        </w:tc>
        <w:tc>
          <w:tcPr>
            <w:tcW w:w="1474" w:type="dxa"/>
            <w:vAlign w:val="center"/>
          </w:tcPr>
          <w:p>
            <w:pPr>
              <w:pStyle w:val="15"/>
            </w:pPr>
            <w:r>
              <w:t>597.79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597.79</w:t>
            </w:r>
          </w:p>
        </w:tc>
        <w:tc>
          <w:tcPr>
            <w:tcW w:w="3402" w:type="dxa"/>
            <w:vAlign w:val="center"/>
          </w:tcPr>
          <w:p>
            <w:pPr>
              <w:pStyle w:val="14"/>
            </w:pPr>
            <w:r>
              <w:t>支出总计</w:t>
            </w:r>
          </w:p>
        </w:tc>
        <w:tc>
          <w:tcPr>
            <w:tcW w:w="1474" w:type="dxa"/>
            <w:vAlign w:val="center"/>
          </w:tcPr>
          <w:p>
            <w:pPr>
              <w:pStyle w:val="15"/>
            </w:pPr>
            <w:r>
              <w:t>597.79</w:t>
            </w:r>
          </w:p>
        </w:tc>
        <w:tc>
          <w:tcPr>
            <w:tcW w:w="1474" w:type="dxa"/>
            <w:vAlign w:val="center"/>
          </w:tcPr>
          <w:p>
            <w:pPr>
              <w:pStyle w:val="15"/>
            </w:pPr>
            <w:r>
              <w:t>597.79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597.79</w:t>
            </w:r>
          </w:p>
        </w:tc>
        <w:tc>
          <w:tcPr>
            <w:tcW w:w="2551" w:type="dxa"/>
            <w:vAlign w:val="center"/>
          </w:tcPr>
          <w:p>
            <w:pPr>
              <w:pStyle w:val="15"/>
            </w:pPr>
            <w:r>
              <w:t>537.79</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597.79</w:t>
            </w:r>
          </w:p>
        </w:tc>
        <w:tc>
          <w:tcPr>
            <w:tcW w:w="2551" w:type="dxa"/>
            <w:vAlign w:val="center"/>
          </w:tcPr>
          <w:p>
            <w:pPr>
              <w:pStyle w:val="11"/>
            </w:pPr>
            <w:r>
              <w:t>537.79</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597.79</w:t>
            </w:r>
          </w:p>
        </w:tc>
        <w:tc>
          <w:tcPr>
            <w:tcW w:w="2551" w:type="dxa"/>
            <w:vAlign w:val="center"/>
          </w:tcPr>
          <w:p>
            <w:pPr>
              <w:pStyle w:val="11"/>
            </w:pPr>
            <w:r>
              <w:t>537.79</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2013850</w:t>
            </w:r>
          </w:p>
        </w:tc>
        <w:tc>
          <w:tcPr>
            <w:tcW w:w="4535" w:type="dxa"/>
            <w:vAlign w:val="center"/>
          </w:tcPr>
          <w:p>
            <w:pPr>
              <w:pStyle w:val="12"/>
            </w:pPr>
            <w:r>
              <w:t>事业运行</w:t>
            </w:r>
          </w:p>
        </w:tc>
        <w:tc>
          <w:tcPr>
            <w:tcW w:w="2551" w:type="dxa"/>
            <w:vAlign w:val="center"/>
          </w:tcPr>
          <w:p>
            <w:pPr>
              <w:pStyle w:val="11"/>
            </w:pPr>
            <w:r>
              <w:t>537.79</w:t>
            </w:r>
          </w:p>
        </w:tc>
        <w:tc>
          <w:tcPr>
            <w:tcW w:w="2551" w:type="dxa"/>
            <w:vAlign w:val="center"/>
          </w:tcPr>
          <w:p>
            <w:pPr>
              <w:pStyle w:val="11"/>
            </w:pPr>
            <w:r>
              <w:t>537.79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537.79</w:t>
            </w:r>
          </w:p>
        </w:tc>
        <w:tc>
          <w:tcPr>
            <w:tcW w:w="2551" w:type="dxa"/>
            <w:vAlign w:val="center"/>
          </w:tcPr>
          <w:p>
            <w:pPr>
              <w:pStyle w:val="15"/>
            </w:pPr>
            <w:r>
              <w:t>512.93</w:t>
            </w:r>
          </w:p>
        </w:tc>
        <w:tc>
          <w:tcPr>
            <w:tcW w:w="2551" w:type="dxa"/>
            <w:vAlign w:val="center"/>
          </w:tcPr>
          <w:p>
            <w:pPr>
              <w:pStyle w:val="15"/>
            </w:pPr>
            <w:r>
              <w:t>24.86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508.61</w:t>
            </w:r>
          </w:p>
        </w:tc>
        <w:tc>
          <w:tcPr>
            <w:tcW w:w="2551" w:type="dxa"/>
            <w:vAlign w:val="center"/>
          </w:tcPr>
          <w:p>
            <w:pPr>
              <w:pStyle w:val="11"/>
            </w:pPr>
            <w:r>
              <w:t>508.61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207.47</w:t>
            </w:r>
          </w:p>
        </w:tc>
        <w:tc>
          <w:tcPr>
            <w:tcW w:w="2551" w:type="dxa"/>
            <w:vAlign w:val="center"/>
          </w:tcPr>
          <w:p>
            <w:pPr>
              <w:pStyle w:val="11"/>
            </w:pPr>
            <w:r>
              <w:t>207.47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25.88</w:t>
            </w:r>
          </w:p>
        </w:tc>
        <w:tc>
          <w:tcPr>
            <w:tcW w:w="2551" w:type="dxa"/>
            <w:vAlign w:val="center"/>
          </w:tcPr>
          <w:p>
            <w:pPr>
              <w:pStyle w:val="11"/>
            </w:pPr>
            <w:r>
              <w:t>25.88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143.24</w:t>
            </w:r>
          </w:p>
        </w:tc>
        <w:tc>
          <w:tcPr>
            <w:tcW w:w="2551" w:type="dxa"/>
            <w:vAlign w:val="center"/>
          </w:tcPr>
          <w:p>
            <w:pPr>
              <w:pStyle w:val="11"/>
            </w:pPr>
            <w:r>
              <w:t>143.24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52.72</w:t>
            </w:r>
          </w:p>
        </w:tc>
        <w:tc>
          <w:tcPr>
            <w:tcW w:w="2551" w:type="dxa"/>
            <w:vAlign w:val="center"/>
          </w:tcPr>
          <w:p>
            <w:pPr>
              <w:pStyle w:val="11"/>
            </w:pPr>
            <w:r>
              <w:t>52.72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20.35</w:t>
            </w:r>
          </w:p>
        </w:tc>
        <w:tc>
          <w:tcPr>
            <w:tcW w:w="2551" w:type="dxa"/>
            <w:vAlign w:val="center"/>
          </w:tcPr>
          <w:p>
            <w:pPr>
              <w:pStyle w:val="11"/>
            </w:pPr>
            <w:r>
              <w:t>20.35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10.34</w:t>
            </w:r>
          </w:p>
        </w:tc>
        <w:tc>
          <w:tcPr>
            <w:tcW w:w="2551" w:type="dxa"/>
            <w:vAlign w:val="center"/>
          </w:tcPr>
          <w:p>
            <w:pPr>
              <w:pStyle w:val="11"/>
            </w:pPr>
            <w:r>
              <w:t>10.34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42.21</w:t>
            </w:r>
          </w:p>
        </w:tc>
        <w:tc>
          <w:tcPr>
            <w:tcW w:w="2551" w:type="dxa"/>
            <w:vAlign w:val="center"/>
          </w:tcPr>
          <w:p>
            <w:pPr>
              <w:pStyle w:val="11"/>
            </w:pPr>
            <w:r>
              <w:t>42.21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24.86</w:t>
            </w:r>
          </w:p>
        </w:tc>
        <w:tc>
          <w:tcPr>
            <w:tcW w:w="2551" w:type="dxa"/>
            <w:vAlign w:val="center"/>
          </w:tcPr>
          <w:p>
            <w:pPr>
              <w:pStyle w:val="11"/>
            </w:pPr>
          </w:p>
        </w:tc>
        <w:tc>
          <w:tcPr>
            <w:tcW w:w="2551" w:type="dxa"/>
            <w:vAlign w:val="center"/>
          </w:tcPr>
          <w:p>
            <w:pPr>
              <w:pStyle w:val="11"/>
            </w:pPr>
            <w:r>
              <w:t>24.86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3.86</w:t>
            </w:r>
          </w:p>
        </w:tc>
        <w:tc>
          <w:tcPr>
            <w:tcW w:w="2551" w:type="dxa"/>
            <w:vAlign w:val="center"/>
          </w:tcPr>
          <w:p>
            <w:pPr>
              <w:pStyle w:val="11"/>
            </w:pPr>
          </w:p>
        </w:tc>
        <w:tc>
          <w:tcPr>
            <w:tcW w:w="2551" w:type="dxa"/>
            <w:vAlign w:val="center"/>
          </w:tcPr>
          <w:p>
            <w:pPr>
              <w:pStyle w:val="11"/>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3.97</w:t>
            </w:r>
          </w:p>
        </w:tc>
        <w:tc>
          <w:tcPr>
            <w:tcW w:w="2551" w:type="dxa"/>
            <w:vAlign w:val="center"/>
          </w:tcPr>
          <w:p>
            <w:pPr>
              <w:pStyle w:val="11"/>
            </w:pPr>
          </w:p>
        </w:tc>
        <w:tc>
          <w:tcPr>
            <w:tcW w:w="2551" w:type="dxa"/>
            <w:vAlign w:val="center"/>
          </w:tcPr>
          <w:p>
            <w:pPr>
              <w:pStyle w:val="11"/>
            </w:pPr>
            <w:r>
              <w:t>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3.88</w:t>
            </w:r>
          </w:p>
        </w:tc>
        <w:tc>
          <w:tcPr>
            <w:tcW w:w="2551" w:type="dxa"/>
            <w:vAlign w:val="center"/>
          </w:tcPr>
          <w:p>
            <w:pPr>
              <w:pStyle w:val="11"/>
            </w:pPr>
          </w:p>
        </w:tc>
        <w:tc>
          <w:tcPr>
            <w:tcW w:w="2551"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9.09</w:t>
            </w:r>
          </w:p>
        </w:tc>
        <w:tc>
          <w:tcPr>
            <w:tcW w:w="2551" w:type="dxa"/>
            <w:vAlign w:val="center"/>
          </w:tcPr>
          <w:p>
            <w:pPr>
              <w:pStyle w:val="11"/>
            </w:pPr>
          </w:p>
        </w:tc>
        <w:tc>
          <w:tcPr>
            <w:tcW w:w="2551" w:type="dxa"/>
            <w:vAlign w:val="center"/>
          </w:tcPr>
          <w:p>
            <w:pPr>
              <w:pStyle w:val="11"/>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4.32</w:t>
            </w:r>
          </w:p>
        </w:tc>
        <w:tc>
          <w:tcPr>
            <w:tcW w:w="2551" w:type="dxa"/>
            <w:vAlign w:val="center"/>
          </w:tcPr>
          <w:p>
            <w:pPr>
              <w:pStyle w:val="11"/>
            </w:pPr>
            <w:r>
              <w:t>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4.32</w:t>
            </w:r>
          </w:p>
        </w:tc>
        <w:tc>
          <w:tcPr>
            <w:tcW w:w="2551" w:type="dxa"/>
            <w:vAlign w:val="center"/>
          </w:tcPr>
          <w:p>
            <w:pPr>
              <w:pStyle w:val="11"/>
            </w:pPr>
            <w:r>
              <w:t>4.32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414003晋州市质量技术检验所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3.88</w:t>
            </w:r>
          </w:p>
        </w:tc>
        <w:tc>
          <w:tcPr>
            <w:tcW w:w="2381" w:type="dxa"/>
            <w:vAlign w:val="center"/>
          </w:tcPr>
          <w:p>
            <w:pPr>
              <w:pStyle w:val="15"/>
            </w:pPr>
            <w:r>
              <w:t>3.88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晋州市质量技术检验所2026年单位预算信息公开情况说明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按照《中华人民共和国预算法》、《地方预决算公开操作规程》和《关于进一步推进预算公开工作的实施意见》规定，现将晋州市质量技术检验所2026年单位预算公开如下：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（一）负责统一管理全市计量工作，推行法定计量单位和国家计量制度，管理计量器具及量值传递和比对工作；规范、监督商品量和市场计量行为。</w:t>
      </w:r>
    </w:p>
    <w:p>
      <w:pPr>
        <w:pStyle w:val="17"/>
      </w:pPr>
      <w:r>
        <w:t>（二）责统一管理全市标准化工作，宣传贯彻强制性、推荐性国家标准和行业标准、地方标准；依法协调指导和监督团体标准、企业标准制定工作；组织开展标准化国际、区域合作和参与制定、采用国际标准工作。</w:t>
      </w:r>
    </w:p>
    <w:p>
      <w:pPr>
        <w:pStyle w:val="17"/>
      </w:pPr>
      <w:r>
        <w:t>（三）负责统一管理全市检验检测工作，推进检验检测机构改革，规范检验检测市场，完善检验检测体系，指导协调检验检测行业发展。</w:t>
      </w:r>
    </w:p>
    <w:p>
      <w:pPr>
        <w:pStyle w:val="17"/>
      </w:pPr>
      <w:r>
        <w:t>（四）负责统一管理、监督和协调全市认证认可工作，组织实施国家统一的认证认可和合格评定监督管理制度。</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晋州市质量技术检验所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597.79万元，其中：一般公共预算收入597.79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质量技术检验所年度单位预算中支出预算的总体情况。2026年支出预算597.79万元，其中基本支出537.79万元，包括人员经费512.93万元和日常公用经费24.86万元；项目支出60.00万元，主要为（业务费）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2026年预算收支安排597.79万元，较2025年预算增加30.86万元，其中：基本支出增加30.86万元，主要为2025年度增资因素形成。项目支出增加0.00万元，主要为项目无增加内容。预计下年使用的单位资金结余增加0.00万元。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2026年，我单位机关运行经费共计安排24.86万元，主要用于日常维修、办公用房水电费、办公用房取暖费、 办公用房物业管理费等日常运行支出。</w:t>
      </w:r>
      <w:bookmarkStart w:id="2" w:name="_GoBack"/>
      <w:bookmarkEnd w:id="2"/>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3.88万元，其中因公出国（境）费0.00万元；公务用车购置及运维费3.88万元（其中：公务用车购置费为0.00万元，公务用车运维费3.88万元)；公务接待费0.00万元。与2025年相比减少0.17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13018326P000328104839</w:t>
            </w:r>
          </w:p>
        </w:tc>
        <w:tc>
          <w:tcPr>
            <w:tcW w:w="2835" w:type="dxa"/>
            <w:vAlign w:val="center"/>
          </w:tcPr>
          <w:p>
            <w:pPr>
              <w:pStyle w:val="10"/>
            </w:pPr>
            <w:r>
              <w:t>项目名称</w:t>
            </w:r>
          </w:p>
        </w:tc>
        <w:tc>
          <w:tcPr>
            <w:tcW w:w="6095" w:type="dxa"/>
            <w:gridSpan w:val="3"/>
            <w:vAlign w:val="center"/>
          </w:tcPr>
          <w:p>
            <w:pPr>
              <w:pStyle w:val="12"/>
            </w:pPr>
            <w:r>
              <w:t>（业务费）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保障计量鉴定工作正常运转。</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1.加强产品质量鉴定检验工作，保障民生计量鉴定工作正常运行。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民生计量器具鉴定批次</w:t>
            </w:r>
          </w:p>
        </w:tc>
        <w:tc>
          <w:tcPr>
            <w:tcW w:w="5386" w:type="dxa"/>
            <w:vAlign w:val="center"/>
          </w:tcPr>
          <w:p>
            <w:pPr>
              <w:pStyle w:val="12"/>
            </w:pPr>
            <w:r>
              <w:t>民生计量器具鉴定批次</w:t>
            </w:r>
          </w:p>
        </w:tc>
        <w:tc>
          <w:tcPr>
            <w:tcW w:w="2268" w:type="dxa"/>
            <w:vAlign w:val="center"/>
          </w:tcPr>
          <w:p>
            <w:pPr>
              <w:pStyle w:val="12"/>
            </w:pPr>
            <w:r>
              <w:t>≥80批次</w:t>
            </w:r>
          </w:p>
        </w:tc>
        <w:tc>
          <w:tcPr>
            <w:tcW w:w="1276" w:type="dxa"/>
            <w:vAlign w:val="center"/>
          </w:tcPr>
          <w:p>
            <w:pPr>
              <w:pStyle w:val="12"/>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产品质量检验完成率</w:t>
            </w:r>
          </w:p>
        </w:tc>
        <w:tc>
          <w:tcPr>
            <w:tcW w:w="5386" w:type="dxa"/>
            <w:vAlign w:val="center"/>
          </w:tcPr>
          <w:p>
            <w:pPr>
              <w:pStyle w:val="12"/>
            </w:pPr>
            <w:r>
              <w:t>产品质量检验完成率</w:t>
            </w:r>
          </w:p>
        </w:tc>
        <w:tc>
          <w:tcPr>
            <w:tcW w:w="2268" w:type="dxa"/>
            <w:vAlign w:val="center"/>
          </w:tcPr>
          <w:p>
            <w:pPr>
              <w:pStyle w:val="12"/>
            </w:pPr>
            <w:r>
              <w:t>≥70%</w:t>
            </w:r>
          </w:p>
        </w:tc>
        <w:tc>
          <w:tcPr>
            <w:tcW w:w="1276" w:type="dxa"/>
            <w:vAlign w:val="center"/>
          </w:tcPr>
          <w:p>
            <w:pPr>
              <w:pStyle w:val="12"/>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按时间完成</w:t>
            </w:r>
          </w:p>
        </w:tc>
        <w:tc>
          <w:tcPr>
            <w:tcW w:w="5386" w:type="dxa"/>
            <w:vAlign w:val="center"/>
          </w:tcPr>
          <w:p>
            <w:pPr>
              <w:pStyle w:val="12"/>
            </w:pPr>
            <w:r>
              <w:t>按时间完成</w:t>
            </w:r>
          </w:p>
        </w:tc>
        <w:tc>
          <w:tcPr>
            <w:tcW w:w="2268" w:type="dxa"/>
            <w:vAlign w:val="center"/>
          </w:tcPr>
          <w:p>
            <w:pPr>
              <w:pStyle w:val="12"/>
            </w:pPr>
            <w:r>
              <w:t>2026年12月31日前完成</w:t>
            </w:r>
          </w:p>
        </w:tc>
        <w:tc>
          <w:tcPr>
            <w:tcW w:w="1276" w:type="dxa"/>
            <w:vAlign w:val="center"/>
          </w:tcPr>
          <w:p>
            <w:pPr>
              <w:pStyle w:val="12"/>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60万元</w:t>
            </w:r>
          </w:p>
        </w:tc>
        <w:tc>
          <w:tcPr>
            <w:tcW w:w="1276" w:type="dxa"/>
            <w:vAlign w:val="center"/>
          </w:tcPr>
          <w:p>
            <w:pPr>
              <w:pStyle w:val="12"/>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社会服务水平提升</w:t>
            </w:r>
          </w:p>
        </w:tc>
        <w:tc>
          <w:tcPr>
            <w:tcW w:w="5386" w:type="dxa"/>
            <w:vAlign w:val="center"/>
          </w:tcPr>
          <w:p>
            <w:pPr>
              <w:pStyle w:val="12"/>
            </w:pPr>
            <w:r>
              <w:t>社会服务水平提升</w:t>
            </w:r>
          </w:p>
        </w:tc>
        <w:tc>
          <w:tcPr>
            <w:tcW w:w="2268" w:type="dxa"/>
            <w:vAlign w:val="center"/>
          </w:tcPr>
          <w:p>
            <w:pPr>
              <w:pStyle w:val="12"/>
            </w:pPr>
            <w:r>
              <w:t>提升社会服务水平</w:t>
            </w:r>
          </w:p>
        </w:tc>
        <w:tc>
          <w:tcPr>
            <w:tcW w:w="1276" w:type="dxa"/>
            <w:vAlign w:val="center"/>
          </w:tcPr>
          <w:p>
            <w:pPr>
              <w:pStyle w:val="12"/>
            </w:pPr>
            <w:r>
              <w:t>年度预算及工作计划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414003晋州市质量技术检验所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8.86</w:t>
            </w:r>
          </w:p>
        </w:tc>
        <w:tc>
          <w:tcPr>
            <w:tcW w:w="964" w:type="dxa"/>
            <w:vAlign w:val="center"/>
          </w:tcPr>
          <w:p>
            <w:pPr>
              <w:pStyle w:val="15"/>
            </w:pPr>
            <w:r>
              <w:t>8.86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晋州市质量技术检验所小计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8.86</w:t>
            </w:r>
          </w:p>
        </w:tc>
        <w:tc>
          <w:tcPr>
            <w:tcW w:w="964" w:type="dxa"/>
            <w:vAlign w:val="center"/>
          </w:tcPr>
          <w:p>
            <w:pPr>
              <w:pStyle w:val="15"/>
            </w:pPr>
            <w:r>
              <w:t>8.86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6.89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193</w:t>
            </w:r>
          </w:p>
        </w:tc>
        <w:tc>
          <w:tcPr>
            <w:tcW w:w="850" w:type="dxa"/>
            <w:vAlign w:val="center"/>
          </w:tcPr>
          <w:p>
            <w:pPr>
              <w:pStyle w:val="11"/>
            </w:pPr>
            <w:r>
              <w:t>0.02</w:t>
            </w:r>
          </w:p>
        </w:tc>
        <w:tc>
          <w:tcPr>
            <w:tcW w:w="964" w:type="dxa"/>
            <w:vAlign w:val="center"/>
          </w:tcPr>
          <w:p>
            <w:pPr>
              <w:pStyle w:val="11"/>
            </w:pPr>
            <w:r>
              <w:t>3.86</w:t>
            </w:r>
          </w:p>
        </w:tc>
        <w:tc>
          <w:tcPr>
            <w:tcW w:w="964" w:type="dxa"/>
            <w:vAlign w:val="center"/>
          </w:tcPr>
          <w:p>
            <w:pPr>
              <w:pStyle w:val="11"/>
            </w:pPr>
            <w:r>
              <w:t>3.86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60.00</w:t>
            </w:r>
          </w:p>
        </w:tc>
        <w:tc>
          <w:tcPr>
            <w:tcW w:w="1134" w:type="dxa"/>
            <w:vAlign w:val="center"/>
          </w:tcPr>
          <w:p>
            <w:pPr>
              <w:pStyle w:val="12"/>
            </w:pPr>
            <w:r>
              <w:t>其他输入输出设备</w:t>
            </w:r>
          </w:p>
        </w:tc>
        <w:tc>
          <w:tcPr>
            <w:tcW w:w="1134" w:type="dxa"/>
            <w:vAlign w:val="center"/>
          </w:tcPr>
          <w:p>
            <w:pPr>
              <w:pStyle w:val="12"/>
            </w:pPr>
            <w:r>
              <w:t>A02021199</w:t>
            </w:r>
          </w:p>
        </w:tc>
        <w:tc>
          <w:tcPr>
            <w:tcW w:w="709" w:type="dxa"/>
            <w:vAlign w:val="center"/>
          </w:tcPr>
          <w:p>
            <w:pPr>
              <w:pStyle w:val="13"/>
            </w:pPr>
            <w:r>
              <w:t>台件</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晋州市质量技术检验所上年末固定资产金额为431.00万元（详见下表）。本年度拟购置固定资产总额为10.00万元，已按要求列入政府采购预算，详见政府采购预算表。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414003晋州市质量技术检验所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400</w:t>
            </w:r>
          </w:p>
        </w:tc>
        <w:tc>
          <w:tcPr>
            <w:tcW w:w="2835" w:type="dxa"/>
            <w:vAlign w:val="center"/>
          </w:tcPr>
          <w:p>
            <w:pPr>
              <w:pStyle w:val="11"/>
            </w:pPr>
            <w:r>
              <w:t>356.00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C4919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54</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2026-03-02T15:05:00Z</dcterms:created>
  <dc:creator>Administrator</dc:creator>
  <cp:lastModifiedBy>Administrator</cp:lastModifiedBy>
  <dcterms:modified xsi:type="dcterms:W3CDTF">2026-03-04T01:59:33Z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