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268.49</w:t>
            </w:r>
          </w:p>
        </w:tc>
        <w:tc>
          <w:tcPr>
            <w:tcW w:w="4535" w:type="dxa"/>
            <w:vAlign w:val="center"/>
          </w:tcPr>
          <w:p>
            <w:pPr>
              <w:pStyle w:val="13"/>
            </w:pPr>
            <w:r>
              <w:t>一、一般公共服务支出</w:t>
            </w:r>
          </w:p>
        </w:tc>
        <w:tc>
          <w:tcPr>
            <w:tcW w:w="2126" w:type="dxa"/>
            <w:vAlign w:val="center"/>
          </w:tcPr>
          <w:p>
            <w:pPr>
              <w:pStyle w:val="12"/>
            </w:pPr>
            <w:r>
              <w:t>268.49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268.49</w:t>
            </w:r>
          </w:p>
        </w:tc>
        <w:tc>
          <w:tcPr>
            <w:tcW w:w="4535" w:type="dxa"/>
            <w:vAlign w:val="center"/>
          </w:tcPr>
          <w:p>
            <w:pPr>
              <w:pStyle w:val="15"/>
            </w:pPr>
            <w:r>
              <w:t>本年支出合计</w:t>
            </w:r>
          </w:p>
        </w:tc>
        <w:tc>
          <w:tcPr>
            <w:tcW w:w="2126" w:type="dxa"/>
            <w:vAlign w:val="center"/>
          </w:tcPr>
          <w:p>
            <w:pPr>
              <w:pStyle w:val="16"/>
            </w:pPr>
            <w:r>
              <w:t>268.49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268.49</w:t>
            </w:r>
          </w:p>
        </w:tc>
        <w:tc>
          <w:tcPr>
            <w:tcW w:w="4535" w:type="dxa"/>
            <w:vAlign w:val="center"/>
          </w:tcPr>
          <w:p>
            <w:pPr>
              <w:pStyle w:val="15"/>
            </w:pPr>
            <w:r>
              <w:t>支出总计</w:t>
            </w:r>
          </w:p>
        </w:tc>
        <w:tc>
          <w:tcPr>
            <w:tcW w:w="2126" w:type="dxa"/>
            <w:vAlign w:val="center"/>
          </w:tcPr>
          <w:p>
            <w:pPr>
              <w:pStyle w:val="16"/>
            </w:pPr>
            <w:r>
              <w:t>268.49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432河北省晋州市民兵训练基地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268.49</w:t>
            </w:r>
          </w:p>
        </w:tc>
        <w:tc>
          <w:tcPr>
            <w:tcW w:w="1134" w:type="dxa"/>
            <w:vAlign w:val="center"/>
          </w:tcPr>
          <w:p>
            <w:pPr>
              <w:pStyle w:val="16"/>
            </w:pPr>
            <w:r>
              <w:t>268.49</w:t>
            </w:r>
          </w:p>
        </w:tc>
        <w:tc>
          <w:tcPr>
            <w:tcW w:w="1134" w:type="dxa"/>
            <w:vAlign w:val="center"/>
          </w:tcPr>
          <w:p>
            <w:pPr>
              <w:pStyle w:val="16"/>
            </w:pPr>
            <w:r>
              <w:t>268.49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r>
              <w:t>268.49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268.49</w:t>
            </w:r>
          </w:p>
        </w:tc>
        <w:tc>
          <w:tcPr>
            <w:tcW w:w="1361" w:type="dxa"/>
            <w:vAlign w:val="center"/>
          </w:tcPr>
          <w:p>
            <w:pPr>
              <w:pStyle w:val="16"/>
            </w:pPr>
            <w:r>
              <w:t>92.49</w:t>
            </w:r>
          </w:p>
        </w:tc>
        <w:tc>
          <w:tcPr>
            <w:tcW w:w="1361" w:type="dxa"/>
            <w:vAlign w:val="center"/>
          </w:tcPr>
          <w:p>
            <w:pPr>
              <w:pStyle w:val="16"/>
            </w:pPr>
            <w:r>
              <w:t>176.00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268.49</w:t>
            </w:r>
          </w:p>
        </w:tc>
        <w:tc>
          <w:tcPr>
            <w:tcW w:w="1361" w:type="dxa"/>
            <w:vAlign w:val="center"/>
          </w:tcPr>
          <w:p>
            <w:pPr>
              <w:pStyle w:val="12"/>
            </w:pPr>
            <w:r>
              <w:t>92.49</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268.49</w:t>
            </w:r>
          </w:p>
        </w:tc>
        <w:tc>
          <w:tcPr>
            <w:tcW w:w="1361" w:type="dxa"/>
            <w:vAlign w:val="center"/>
          </w:tcPr>
          <w:p>
            <w:pPr>
              <w:pStyle w:val="12"/>
            </w:pPr>
            <w:r>
              <w:t>92.49</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268.49</w:t>
            </w:r>
          </w:p>
        </w:tc>
        <w:tc>
          <w:tcPr>
            <w:tcW w:w="1361" w:type="dxa"/>
            <w:vAlign w:val="center"/>
          </w:tcPr>
          <w:p>
            <w:pPr>
              <w:pStyle w:val="12"/>
            </w:pPr>
            <w:r>
              <w:t>92.49</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268.49</w:t>
            </w:r>
          </w:p>
        </w:tc>
        <w:tc>
          <w:tcPr>
            <w:tcW w:w="3402" w:type="dxa"/>
            <w:vAlign w:val="center"/>
          </w:tcPr>
          <w:p>
            <w:pPr>
              <w:pStyle w:val="13"/>
            </w:pPr>
            <w:r>
              <w:t>一、一般公共服务支出</w:t>
            </w:r>
          </w:p>
        </w:tc>
        <w:tc>
          <w:tcPr>
            <w:tcW w:w="1474" w:type="dxa"/>
            <w:vAlign w:val="center"/>
          </w:tcPr>
          <w:p>
            <w:pPr>
              <w:pStyle w:val="12"/>
            </w:pPr>
            <w:r>
              <w:t>268.49</w:t>
            </w:r>
          </w:p>
        </w:tc>
        <w:tc>
          <w:tcPr>
            <w:tcW w:w="1474" w:type="dxa"/>
            <w:vAlign w:val="center"/>
          </w:tcPr>
          <w:p>
            <w:pPr>
              <w:pStyle w:val="12"/>
            </w:pPr>
            <w:r>
              <w:t>268.49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268.49</w:t>
            </w:r>
          </w:p>
        </w:tc>
        <w:tc>
          <w:tcPr>
            <w:tcW w:w="3402" w:type="dxa"/>
            <w:vAlign w:val="center"/>
          </w:tcPr>
          <w:p>
            <w:pPr>
              <w:pStyle w:val="15"/>
            </w:pPr>
            <w:r>
              <w:t>本年支出合计</w:t>
            </w:r>
          </w:p>
        </w:tc>
        <w:tc>
          <w:tcPr>
            <w:tcW w:w="1474" w:type="dxa"/>
            <w:vAlign w:val="center"/>
          </w:tcPr>
          <w:p>
            <w:pPr>
              <w:pStyle w:val="16"/>
            </w:pPr>
            <w:r>
              <w:t>268.49</w:t>
            </w:r>
          </w:p>
        </w:tc>
        <w:tc>
          <w:tcPr>
            <w:tcW w:w="1474" w:type="dxa"/>
            <w:vAlign w:val="center"/>
          </w:tcPr>
          <w:p>
            <w:pPr>
              <w:pStyle w:val="16"/>
            </w:pPr>
            <w:r>
              <w:t>268.49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268.49</w:t>
            </w:r>
          </w:p>
        </w:tc>
        <w:tc>
          <w:tcPr>
            <w:tcW w:w="3402" w:type="dxa"/>
            <w:vAlign w:val="center"/>
          </w:tcPr>
          <w:p>
            <w:pPr>
              <w:pStyle w:val="15"/>
            </w:pPr>
            <w:r>
              <w:t>支出总计</w:t>
            </w:r>
          </w:p>
        </w:tc>
        <w:tc>
          <w:tcPr>
            <w:tcW w:w="1474" w:type="dxa"/>
            <w:vAlign w:val="center"/>
          </w:tcPr>
          <w:p>
            <w:pPr>
              <w:pStyle w:val="16"/>
            </w:pPr>
            <w:r>
              <w:t>268.49</w:t>
            </w:r>
          </w:p>
        </w:tc>
        <w:tc>
          <w:tcPr>
            <w:tcW w:w="1474" w:type="dxa"/>
            <w:vAlign w:val="center"/>
          </w:tcPr>
          <w:p>
            <w:pPr>
              <w:pStyle w:val="16"/>
            </w:pPr>
            <w:r>
              <w:t>268.49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268.49</w:t>
            </w:r>
          </w:p>
        </w:tc>
        <w:tc>
          <w:tcPr>
            <w:tcW w:w="2551" w:type="dxa"/>
            <w:vAlign w:val="center"/>
          </w:tcPr>
          <w:p>
            <w:pPr>
              <w:pStyle w:val="16"/>
            </w:pPr>
            <w:r>
              <w:t>92.49</w:t>
            </w:r>
          </w:p>
        </w:tc>
        <w:tc>
          <w:tcPr>
            <w:tcW w:w="2551" w:type="dxa"/>
            <w:vAlign w:val="center"/>
          </w:tcPr>
          <w:p>
            <w:pPr>
              <w:pStyle w:val="16"/>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268.49</w:t>
            </w:r>
          </w:p>
        </w:tc>
        <w:tc>
          <w:tcPr>
            <w:tcW w:w="2551" w:type="dxa"/>
            <w:vAlign w:val="center"/>
          </w:tcPr>
          <w:p>
            <w:pPr>
              <w:pStyle w:val="12"/>
            </w:pPr>
            <w:r>
              <w:t>92.49</w:t>
            </w:r>
          </w:p>
        </w:tc>
        <w:tc>
          <w:tcPr>
            <w:tcW w:w="2551"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268.49</w:t>
            </w:r>
          </w:p>
        </w:tc>
        <w:tc>
          <w:tcPr>
            <w:tcW w:w="2551" w:type="dxa"/>
            <w:vAlign w:val="center"/>
          </w:tcPr>
          <w:p>
            <w:pPr>
              <w:pStyle w:val="12"/>
            </w:pPr>
            <w:r>
              <w:t>92.49</w:t>
            </w:r>
          </w:p>
        </w:tc>
        <w:tc>
          <w:tcPr>
            <w:tcW w:w="2551"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268.49</w:t>
            </w:r>
          </w:p>
        </w:tc>
        <w:tc>
          <w:tcPr>
            <w:tcW w:w="2551" w:type="dxa"/>
            <w:vAlign w:val="center"/>
          </w:tcPr>
          <w:p>
            <w:pPr>
              <w:pStyle w:val="12"/>
            </w:pPr>
            <w:r>
              <w:t>92.49</w:t>
            </w:r>
          </w:p>
        </w:tc>
        <w:tc>
          <w:tcPr>
            <w:tcW w:w="2551" w:type="dxa"/>
            <w:vAlign w:val="center"/>
          </w:tcPr>
          <w:p>
            <w:pPr>
              <w:pStyle w:val="12"/>
            </w:pPr>
            <w:r>
              <w:t>176.00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92.49</w:t>
            </w:r>
          </w:p>
        </w:tc>
        <w:tc>
          <w:tcPr>
            <w:tcW w:w="2551" w:type="dxa"/>
            <w:vAlign w:val="center"/>
          </w:tcPr>
          <w:p>
            <w:pPr>
              <w:pStyle w:val="16"/>
            </w:pPr>
            <w:r>
              <w:t>83.43</w:t>
            </w:r>
          </w:p>
        </w:tc>
        <w:tc>
          <w:tcPr>
            <w:tcW w:w="2551" w:type="dxa"/>
            <w:vAlign w:val="center"/>
          </w:tcPr>
          <w:p>
            <w:pPr>
              <w:pStyle w:val="16"/>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74.77</w:t>
            </w:r>
          </w:p>
        </w:tc>
        <w:tc>
          <w:tcPr>
            <w:tcW w:w="2551" w:type="dxa"/>
            <w:vAlign w:val="center"/>
          </w:tcPr>
          <w:p>
            <w:pPr>
              <w:pStyle w:val="12"/>
            </w:pPr>
            <w:r>
              <w:t>74.77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29.11</w:t>
            </w:r>
          </w:p>
        </w:tc>
        <w:tc>
          <w:tcPr>
            <w:tcW w:w="2551" w:type="dxa"/>
            <w:vAlign w:val="center"/>
          </w:tcPr>
          <w:p>
            <w:pPr>
              <w:pStyle w:val="12"/>
            </w:pPr>
            <w:r>
              <w:t>29.11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6.79</w:t>
            </w:r>
          </w:p>
        </w:tc>
        <w:tc>
          <w:tcPr>
            <w:tcW w:w="2551" w:type="dxa"/>
            <w:vAlign w:val="center"/>
          </w:tcPr>
          <w:p>
            <w:pPr>
              <w:pStyle w:val="12"/>
            </w:pPr>
            <w:r>
              <w:t>6.79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4.36</w:t>
            </w:r>
          </w:p>
        </w:tc>
        <w:tc>
          <w:tcPr>
            <w:tcW w:w="2551" w:type="dxa"/>
            <w:vAlign w:val="center"/>
          </w:tcPr>
          <w:p>
            <w:pPr>
              <w:pStyle w:val="12"/>
            </w:pPr>
            <w:r>
              <w:t>4.36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15.17</w:t>
            </w:r>
          </w:p>
        </w:tc>
        <w:tc>
          <w:tcPr>
            <w:tcW w:w="2551" w:type="dxa"/>
            <w:vAlign w:val="center"/>
          </w:tcPr>
          <w:p>
            <w:pPr>
              <w:pStyle w:val="12"/>
            </w:pPr>
            <w:r>
              <w:t>15.17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7.77</w:t>
            </w:r>
          </w:p>
        </w:tc>
        <w:tc>
          <w:tcPr>
            <w:tcW w:w="2551" w:type="dxa"/>
            <w:vAlign w:val="center"/>
          </w:tcPr>
          <w:p>
            <w:pPr>
              <w:pStyle w:val="12"/>
            </w:pPr>
            <w:r>
              <w:t>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3.21</w:t>
            </w:r>
          </w:p>
        </w:tc>
        <w:tc>
          <w:tcPr>
            <w:tcW w:w="2551" w:type="dxa"/>
            <w:vAlign w:val="center"/>
          </w:tcPr>
          <w:p>
            <w:pPr>
              <w:pStyle w:val="12"/>
            </w:pPr>
            <w:r>
              <w:t>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1.63</w:t>
            </w:r>
          </w:p>
        </w:tc>
        <w:tc>
          <w:tcPr>
            <w:tcW w:w="2551" w:type="dxa"/>
            <w:vAlign w:val="center"/>
          </w:tcPr>
          <w:p>
            <w:pPr>
              <w:pStyle w:val="12"/>
            </w:pPr>
            <w:r>
              <w:t>1.63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6.24</w:t>
            </w:r>
          </w:p>
        </w:tc>
        <w:tc>
          <w:tcPr>
            <w:tcW w:w="2551" w:type="dxa"/>
            <w:vAlign w:val="center"/>
          </w:tcPr>
          <w:p>
            <w:pPr>
              <w:pStyle w:val="12"/>
            </w:pPr>
            <w:r>
              <w:t>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9.06</w:t>
            </w:r>
          </w:p>
        </w:tc>
        <w:tc>
          <w:tcPr>
            <w:tcW w:w="2551" w:type="dxa"/>
            <w:vAlign w:val="center"/>
          </w:tcPr>
          <w:p>
            <w:pPr>
              <w:pStyle w:val="12"/>
            </w:pPr>
          </w:p>
        </w:tc>
        <w:tc>
          <w:tcPr>
            <w:tcW w:w="2551" w:type="dxa"/>
            <w:vAlign w:val="center"/>
          </w:tcPr>
          <w:p>
            <w:pPr>
              <w:pStyle w:val="12"/>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0.09</w:t>
            </w:r>
          </w:p>
        </w:tc>
        <w:tc>
          <w:tcPr>
            <w:tcW w:w="2551" w:type="dxa"/>
            <w:vAlign w:val="center"/>
          </w:tcPr>
          <w:p>
            <w:pPr>
              <w:pStyle w:val="12"/>
            </w:pPr>
          </w:p>
        </w:tc>
        <w:tc>
          <w:tcPr>
            <w:tcW w:w="2551"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1.17</w:t>
            </w:r>
          </w:p>
        </w:tc>
        <w:tc>
          <w:tcPr>
            <w:tcW w:w="2551" w:type="dxa"/>
            <w:vAlign w:val="center"/>
          </w:tcPr>
          <w:p>
            <w:pPr>
              <w:pStyle w:val="12"/>
            </w:pPr>
          </w:p>
        </w:tc>
        <w:tc>
          <w:tcPr>
            <w:tcW w:w="2551" w:type="dxa"/>
            <w:vAlign w:val="center"/>
          </w:tcPr>
          <w:p>
            <w:pPr>
              <w:pStyle w:val="12"/>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3.78</w:t>
            </w:r>
          </w:p>
        </w:tc>
        <w:tc>
          <w:tcPr>
            <w:tcW w:w="2551" w:type="dxa"/>
            <w:vAlign w:val="center"/>
          </w:tcPr>
          <w:p>
            <w:pPr>
              <w:pStyle w:val="12"/>
            </w:pPr>
          </w:p>
        </w:tc>
        <w:tc>
          <w:tcPr>
            <w:tcW w:w="2551" w:type="dxa"/>
            <w:vAlign w:val="center"/>
          </w:tcPr>
          <w:p>
            <w:pPr>
              <w:pStyle w:val="12"/>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1.46</w:t>
            </w:r>
          </w:p>
        </w:tc>
        <w:tc>
          <w:tcPr>
            <w:tcW w:w="2551" w:type="dxa"/>
            <w:vAlign w:val="center"/>
          </w:tcPr>
          <w:p>
            <w:pPr>
              <w:pStyle w:val="12"/>
            </w:pPr>
          </w:p>
        </w:tc>
        <w:tc>
          <w:tcPr>
            <w:tcW w:w="2551"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8.66</w:t>
            </w:r>
          </w:p>
        </w:tc>
        <w:tc>
          <w:tcPr>
            <w:tcW w:w="2551" w:type="dxa"/>
            <w:vAlign w:val="center"/>
          </w:tcPr>
          <w:p>
            <w:pPr>
              <w:pStyle w:val="12"/>
            </w:pPr>
            <w:r>
              <w:t>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6.54</w:t>
            </w:r>
          </w:p>
        </w:tc>
        <w:tc>
          <w:tcPr>
            <w:tcW w:w="2551" w:type="dxa"/>
            <w:vAlign w:val="center"/>
          </w:tcPr>
          <w:p>
            <w:pPr>
              <w:pStyle w:val="12"/>
            </w:pPr>
            <w:r>
              <w:t>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432河北省晋州市民兵训练基地</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河北省晋州市民兵训练基地2026年部门预算信息公开情况说明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河北省晋州市民兵训练基地2026年部门预算信息公开情况说明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按照《中华人民共和国预算法》、《地方预决算公开操作规程》和《关于进一步推进预算公开工作的实施意见》规定，现将河北省晋州市民兵训练基地2026年部门预算公开如下：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负责全市民兵训练的组织实施、训练设施、教学设施和生活设施的维护，训练中的教学和后勤保障工作；本单位训练和其它经费预算管理和使用，搞好基地综合利用，发展以劳养武，搞好经营管理。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河北省晋州市民兵训练基地本级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按照预算管理有关规定，目前部门预算的编制实行综合预算管理，即全部收入和支出都反映在预算中。河北省晋州市民兵训练基地机关及所属事业单位的收支包含在部门预算中。</w:t>
      </w:r>
    </w:p>
    <w:p>
      <w:pPr>
        <w:pStyle w:val="19"/>
      </w:pPr>
      <w:r>
        <w:t>1、收入说明</w:t>
      </w:r>
    </w:p>
    <w:p>
      <w:pPr>
        <w:pStyle w:val="19"/>
      </w:pPr>
      <w:r>
        <w:t>反映本部门当年全部收入。2026年预算收入268.49万元，其中：一般公共预算收入268.49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河北省晋州市民兵训练基地年度部门预算中支出预算的总体情况。2026年支出预算268.49万元，其中基本支出92.49万元，包括人员经费83.43万元和日常公用经费9.06万元；项目支出176.00万元，主要为日常工作经费133万元，委托业务费10万元，维修费15万元，学生军训外聘教官经费18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2026年预算收支安排268.49万元，较2025年预算增加3.56万元，其中：基本支出增加3.56万元，主要为人员工资福利待遇增加。项目支出增加0.00万元，主要为与上年持平。预计下年使用的单位资金结余增加0.00万元。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2026年，我部门机关运行经费共计安排9.06万元，主要用于日常维修、办公用房水电费、办公用房取暖费、办公用房物业管理费等日常运行支出。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坚持以习近平新时代中国特色社会主义强军思想为指导，认真贯彻中央军委、国防动员部精神，按照省军区、石家庄警备区指示精神，牢固树立兴军强军观念，为新时代国防建设发展进步提供有力保障。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（一）负责全市民兵训练的组织实施，负责训练设施、教学设施和生活设施的维护。</w:t>
      </w:r>
    </w:p>
    <w:p>
      <w:pPr>
        <w:pStyle w:val="23"/>
      </w:pPr>
      <w:r>
        <w:t>绩效目标：积极推进民兵调整改革，按时完成民兵整组，年度训练计划，装备购置/维护保养，征兵工作；担负战备值勤/拟制本辖区战时动员计划；完成上级交付的各项任务。</w:t>
      </w:r>
    </w:p>
    <w:p>
      <w:pPr>
        <w:pStyle w:val="23"/>
      </w:pPr>
      <w:r>
        <w:t>绩效指标：培训合格的学员数量占培训总学员数量的比率达到100%，完好无损装备占全部装备比例100%。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 xml:space="preserve">加强宣传培训调研等。加强人员培训，提高本部门职工业务素质；加强调研，提出优化财政资金配置、提高资金使用效益的意见；加大宣传力度，强化预算绩效管理意识，促进预算绩效管理水平进一步提升。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1、民兵事业费、征兵经费等武装工作经费绩效目标表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13018326P00032810525J</w:t>
            </w:r>
          </w:p>
        </w:tc>
        <w:tc>
          <w:tcPr>
            <w:tcW w:w="2835" w:type="dxa"/>
            <w:vAlign w:val="center"/>
          </w:tcPr>
          <w:p>
            <w:pPr>
              <w:pStyle w:val="11"/>
            </w:pPr>
            <w:r>
              <w:t>项目名称</w:t>
            </w:r>
          </w:p>
        </w:tc>
        <w:tc>
          <w:tcPr>
            <w:tcW w:w="6095" w:type="dxa"/>
            <w:gridSpan w:val="3"/>
            <w:vAlign w:val="center"/>
          </w:tcPr>
          <w:p>
            <w:pPr>
              <w:pStyle w:val="13"/>
            </w:pPr>
            <w:r>
              <w:t>民兵事业费、征兵经费等武装工作经费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143.00</w:t>
            </w:r>
          </w:p>
        </w:tc>
        <w:tc>
          <w:tcPr>
            <w:tcW w:w="2835" w:type="dxa"/>
            <w:vAlign w:val="center"/>
          </w:tcPr>
          <w:p>
            <w:pPr>
              <w:pStyle w:val="11"/>
            </w:pPr>
            <w:r>
              <w:t>其中：财政    资金</w:t>
            </w:r>
          </w:p>
        </w:tc>
        <w:tc>
          <w:tcPr>
            <w:tcW w:w="2551" w:type="dxa"/>
            <w:vAlign w:val="center"/>
          </w:tcPr>
          <w:p>
            <w:pPr>
              <w:pStyle w:val="13"/>
            </w:pPr>
            <w:r>
              <w:t>143.00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主要用于民兵训练补助和征兵工作经费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1.完成上级下达的全年训练任务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业务完成比率</w:t>
            </w:r>
          </w:p>
        </w:tc>
        <w:tc>
          <w:tcPr>
            <w:tcW w:w="5386" w:type="dxa"/>
            <w:vAlign w:val="center"/>
          </w:tcPr>
          <w:p>
            <w:pPr>
              <w:pStyle w:val="13"/>
            </w:pPr>
            <w:r>
              <w:t>完成上级要求训练民兵比率</w:t>
            </w:r>
          </w:p>
        </w:tc>
        <w:tc>
          <w:tcPr>
            <w:tcW w:w="2268" w:type="dxa"/>
            <w:vAlign w:val="center"/>
          </w:tcPr>
          <w:p>
            <w:pPr>
              <w:pStyle w:val="13"/>
            </w:pPr>
            <w:r>
              <w:t>≥90%</w:t>
            </w:r>
          </w:p>
        </w:tc>
        <w:tc>
          <w:tcPr>
            <w:tcW w:w="1276" w:type="dxa"/>
            <w:vAlign w:val="center"/>
          </w:tcPr>
          <w:p>
            <w:pPr>
              <w:pStyle w:val="13"/>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保障到位</w:t>
            </w:r>
          </w:p>
        </w:tc>
        <w:tc>
          <w:tcPr>
            <w:tcW w:w="5386" w:type="dxa"/>
            <w:vAlign w:val="center"/>
          </w:tcPr>
          <w:p>
            <w:pPr>
              <w:pStyle w:val="13"/>
            </w:pPr>
            <w:r>
              <w:t>上级考核质量</w:t>
            </w:r>
          </w:p>
        </w:tc>
        <w:tc>
          <w:tcPr>
            <w:tcW w:w="2268" w:type="dxa"/>
            <w:vAlign w:val="center"/>
          </w:tcPr>
          <w:p>
            <w:pPr>
              <w:pStyle w:val="13"/>
            </w:pPr>
            <w:r>
              <w:t>≥90%</w:t>
            </w:r>
          </w:p>
        </w:tc>
        <w:tc>
          <w:tcPr>
            <w:tcW w:w="1276" w:type="dxa"/>
            <w:vAlign w:val="center"/>
          </w:tcPr>
          <w:p>
            <w:pPr>
              <w:pStyle w:val="13"/>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按照训练计划完成及时率</w:t>
            </w:r>
          </w:p>
        </w:tc>
        <w:tc>
          <w:tcPr>
            <w:tcW w:w="2268" w:type="dxa"/>
            <w:vAlign w:val="center"/>
          </w:tcPr>
          <w:p>
            <w:pPr>
              <w:pStyle w:val="13"/>
            </w:pPr>
            <w:r>
              <w:t>≥90%</w:t>
            </w:r>
          </w:p>
        </w:tc>
        <w:tc>
          <w:tcPr>
            <w:tcW w:w="1276" w:type="dxa"/>
            <w:vAlign w:val="center"/>
          </w:tcPr>
          <w:p>
            <w:pPr>
              <w:pStyle w:val="13"/>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业务成本控制</w:t>
            </w:r>
          </w:p>
        </w:tc>
        <w:tc>
          <w:tcPr>
            <w:tcW w:w="5386" w:type="dxa"/>
            <w:vAlign w:val="center"/>
          </w:tcPr>
          <w:p>
            <w:pPr>
              <w:pStyle w:val="13"/>
            </w:pPr>
            <w:r>
              <w:t>成本控制</w:t>
            </w:r>
          </w:p>
        </w:tc>
        <w:tc>
          <w:tcPr>
            <w:tcW w:w="2268" w:type="dxa"/>
            <w:vAlign w:val="center"/>
          </w:tcPr>
          <w:p>
            <w:pPr>
              <w:pStyle w:val="13"/>
            </w:pPr>
            <w:r>
              <w:t>143万元</w:t>
            </w:r>
          </w:p>
        </w:tc>
        <w:tc>
          <w:tcPr>
            <w:tcW w:w="1276" w:type="dxa"/>
            <w:vAlign w:val="center"/>
          </w:tcPr>
          <w:p>
            <w:pPr>
              <w:pStyle w:val="13"/>
            </w:pPr>
            <w:r>
              <w:t>按照文件执行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保证民兵队伍可持续建设</w:t>
            </w:r>
          </w:p>
        </w:tc>
        <w:tc>
          <w:tcPr>
            <w:tcW w:w="5386" w:type="dxa"/>
            <w:vAlign w:val="center"/>
          </w:tcPr>
          <w:p>
            <w:pPr>
              <w:pStyle w:val="13"/>
            </w:pPr>
            <w:r>
              <w:t>可持续评估</w:t>
            </w:r>
          </w:p>
        </w:tc>
        <w:tc>
          <w:tcPr>
            <w:tcW w:w="2268" w:type="dxa"/>
            <w:vAlign w:val="center"/>
          </w:tcPr>
          <w:p>
            <w:pPr>
              <w:pStyle w:val="13"/>
            </w:pPr>
            <w:r>
              <w:t>可持续</w:t>
            </w:r>
          </w:p>
        </w:tc>
        <w:tc>
          <w:tcPr>
            <w:tcW w:w="1276" w:type="dxa"/>
            <w:vAlign w:val="center"/>
          </w:tcPr>
          <w:p>
            <w:pPr>
              <w:pStyle w:val="13"/>
            </w:pPr>
            <w:r>
              <w:t>总结评估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问卷调查服务对象满意度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13018326P00032810522P</w:t>
            </w:r>
          </w:p>
        </w:tc>
        <w:tc>
          <w:tcPr>
            <w:tcW w:w="2835" w:type="dxa"/>
            <w:vAlign w:val="center"/>
          </w:tcPr>
          <w:p>
            <w:pPr>
              <w:pStyle w:val="11"/>
            </w:pPr>
            <w:r>
              <w:t>项目名称</w:t>
            </w:r>
          </w:p>
        </w:tc>
        <w:tc>
          <w:tcPr>
            <w:tcW w:w="6095" w:type="dxa"/>
            <w:gridSpan w:val="3"/>
            <w:vAlign w:val="center"/>
          </w:tcPr>
          <w:p>
            <w:pPr>
              <w:pStyle w:val="13"/>
            </w:pPr>
            <w:r>
              <w:t>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用于晋州市民兵和训练基地维修维护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1.晋州市民兵训练基地和基地综合楼维修维护，改善训练环境设施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维修面积</w:t>
            </w:r>
          </w:p>
        </w:tc>
        <w:tc>
          <w:tcPr>
            <w:tcW w:w="5386" w:type="dxa"/>
            <w:vAlign w:val="center"/>
          </w:tcPr>
          <w:p>
            <w:pPr>
              <w:pStyle w:val="13"/>
            </w:pPr>
            <w:r>
              <w:t>维修面积</w:t>
            </w:r>
          </w:p>
        </w:tc>
        <w:tc>
          <w:tcPr>
            <w:tcW w:w="2268" w:type="dxa"/>
            <w:vAlign w:val="center"/>
          </w:tcPr>
          <w:p>
            <w:pPr>
              <w:pStyle w:val="13"/>
            </w:pPr>
            <w:r>
              <w:t>≥200平方米</w:t>
            </w:r>
          </w:p>
        </w:tc>
        <w:tc>
          <w:tcPr>
            <w:tcW w:w="1276" w:type="dxa"/>
            <w:vAlign w:val="center"/>
          </w:tcPr>
          <w:p>
            <w:pPr>
              <w:pStyle w:val="13"/>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≥90%</w:t>
            </w:r>
          </w:p>
        </w:tc>
        <w:tc>
          <w:tcPr>
            <w:tcW w:w="1276" w:type="dxa"/>
            <w:vAlign w:val="center"/>
          </w:tcPr>
          <w:p>
            <w:pPr>
              <w:pStyle w:val="13"/>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维修及时率</w:t>
            </w:r>
          </w:p>
        </w:tc>
        <w:tc>
          <w:tcPr>
            <w:tcW w:w="5386" w:type="dxa"/>
            <w:vAlign w:val="center"/>
          </w:tcPr>
          <w:p>
            <w:pPr>
              <w:pStyle w:val="13"/>
            </w:pPr>
            <w:r>
              <w:t>维修及时率</w:t>
            </w:r>
          </w:p>
        </w:tc>
        <w:tc>
          <w:tcPr>
            <w:tcW w:w="2268" w:type="dxa"/>
            <w:vAlign w:val="center"/>
          </w:tcPr>
          <w:p>
            <w:pPr>
              <w:pStyle w:val="13"/>
            </w:pPr>
            <w:r>
              <w:t>≥90%</w:t>
            </w:r>
          </w:p>
        </w:tc>
        <w:tc>
          <w:tcPr>
            <w:tcW w:w="1276" w:type="dxa"/>
            <w:vAlign w:val="center"/>
          </w:tcPr>
          <w:p>
            <w:pPr>
              <w:pStyle w:val="13"/>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15万元</w:t>
            </w:r>
          </w:p>
        </w:tc>
        <w:tc>
          <w:tcPr>
            <w:tcW w:w="1276" w:type="dxa"/>
            <w:vAlign w:val="center"/>
          </w:tcPr>
          <w:p>
            <w:pPr>
              <w:pStyle w:val="13"/>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改善训练环境</w:t>
            </w:r>
          </w:p>
        </w:tc>
        <w:tc>
          <w:tcPr>
            <w:tcW w:w="5386" w:type="dxa"/>
            <w:vAlign w:val="center"/>
          </w:tcPr>
          <w:p>
            <w:pPr>
              <w:pStyle w:val="13"/>
            </w:pPr>
            <w:r>
              <w:t>改善训练环境</w:t>
            </w:r>
          </w:p>
        </w:tc>
        <w:tc>
          <w:tcPr>
            <w:tcW w:w="2268" w:type="dxa"/>
            <w:vAlign w:val="center"/>
          </w:tcPr>
          <w:p>
            <w:pPr>
              <w:pStyle w:val="13"/>
            </w:pPr>
            <w:r>
              <w:t>优化场地训练设施</w:t>
            </w:r>
          </w:p>
        </w:tc>
        <w:tc>
          <w:tcPr>
            <w:tcW w:w="1276" w:type="dxa"/>
            <w:vAlign w:val="center"/>
          </w:tcPr>
          <w:p>
            <w:pPr>
              <w:pStyle w:val="13"/>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用户使用满意度</w:t>
            </w:r>
          </w:p>
        </w:tc>
        <w:tc>
          <w:tcPr>
            <w:tcW w:w="5386" w:type="dxa"/>
            <w:vAlign w:val="center"/>
          </w:tcPr>
          <w:p>
            <w:pPr>
              <w:pStyle w:val="13"/>
            </w:pPr>
            <w:r>
              <w:t>用户使用满意度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3、学生军训外聘教官经费绩效目标表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13018326P00032810523B</w:t>
            </w:r>
          </w:p>
        </w:tc>
        <w:tc>
          <w:tcPr>
            <w:tcW w:w="2835" w:type="dxa"/>
            <w:vAlign w:val="center"/>
          </w:tcPr>
          <w:p>
            <w:pPr>
              <w:pStyle w:val="11"/>
            </w:pPr>
            <w:r>
              <w:t>项目名称</w:t>
            </w:r>
          </w:p>
        </w:tc>
        <w:tc>
          <w:tcPr>
            <w:tcW w:w="6095" w:type="dxa"/>
            <w:gridSpan w:val="3"/>
            <w:vAlign w:val="center"/>
          </w:tcPr>
          <w:p>
            <w:pPr>
              <w:pStyle w:val="13"/>
            </w:pPr>
            <w:r>
              <w:t>学生军训外聘教官经费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用于学生军训外聘教官训练补助经费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1.全面贯彻落实学生军训指示要求，提升学生身体素质。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活动计划执行率</w:t>
            </w:r>
          </w:p>
        </w:tc>
        <w:tc>
          <w:tcPr>
            <w:tcW w:w="5386" w:type="dxa"/>
            <w:vAlign w:val="center"/>
          </w:tcPr>
          <w:p>
            <w:pPr>
              <w:pStyle w:val="13"/>
            </w:pPr>
            <w:r>
              <w:t>活动计划执行率</w:t>
            </w:r>
          </w:p>
        </w:tc>
        <w:tc>
          <w:tcPr>
            <w:tcW w:w="2268" w:type="dxa"/>
            <w:vAlign w:val="center"/>
          </w:tcPr>
          <w:p>
            <w:pPr>
              <w:pStyle w:val="13"/>
            </w:pPr>
            <w:r>
              <w:t>100%</w:t>
            </w:r>
          </w:p>
        </w:tc>
        <w:tc>
          <w:tcPr>
            <w:tcW w:w="1276" w:type="dxa"/>
            <w:vAlign w:val="center"/>
          </w:tcPr>
          <w:p>
            <w:pPr>
              <w:pStyle w:val="13"/>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学生军训通过率</w:t>
            </w:r>
          </w:p>
        </w:tc>
        <w:tc>
          <w:tcPr>
            <w:tcW w:w="5386" w:type="dxa"/>
            <w:vAlign w:val="center"/>
          </w:tcPr>
          <w:p>
            <w:pPr>
              <w:pStyle w:val="13"/>
            </w:pPr>
            <w:r>
              <w:t>学生军训通过率</w:t>
            </w:r>
          </w:p>
        </w:tc>
        <w:tc>
          <w:tcPr>
            <w:tcW w:w="2268" w:type="dxa"/>
            <w:vAlign w:val="center"/>
          </w:tcPr>
          <w:p>
            <w:pPr>
              <w:pStyle w:val="13"/>
            </w:pPr>
            <w:r>
              <w:t>100%</w:t>
            </w:r>
          </w:p>
        </w:tc>
        <w:tc>
          <w:tcPr>
            <w:tcW w:w="1276" w:type="dxa"/>
            <w:vAlign w:val="center"/>
          </w:tcPr>
          <w:p>
            <w:pPr>
              <w:pStyle w:val="13"/>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学生军训完成及时率</w:t>
            </w:r>
          </w:p>
        </w:tc>
        <w:tc>
          <w:tcPr>
            <w:tcW w:w="5386" w:type="dxa"/>
            <w:vAlign w:val="center"/>
          </w:tcPr>
          <w:p>
            <w:pPr>
              <w:pStyle w:val="13"/>
            </w:pPr>
            <w:r>
              <w:t>学生军训完成及时率</w:t>
            </w:r>
          </w:p>
        </w:tc>
        <w:tc>
          <w:tcPr>
            <w:tcW w:w="2268" w:type="dxa"/>
            <w:vAlign w:val="center"/>
          </w:tcPr>
          <w:p>
            <w:pPr>
              <w:pStyle w:val="13"/>
            </w:pPr>
            <w:r>
              <w:t>100%</w:t>
            </w:r>
          </w:p>
        </w:tc>
        <w:tc>
          <w:tcPr>
            <w:tcW w:w="1276" w:type="dxa"/>
            <w:vAlign w:val="center"/>
          </w:tcPr>
          <w:p>
            <w:pPr>
              <w:pStyle w:val="13"/>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项目费用</w:t>
            </w:r>
          </w:p>
        </w:tc>
        <w:tc>
          <w:tcPr>
            <w:tcW w:w="2268" w:type="dxa"/>
            <w:vAlign w:val="center"/>
          </w:tcPr>
          <w:p>
            <w:pPr>
              <w:pStyle w:val="13"/>
            </w:pPr>
            <w:r>
              <w:t>18万元</w:t>
            </w:r>
          </w:p>
        </w:tc>
        <w:tc>
          <w:tcPr>
            <w:tcW w:w="1276" w:type="dxa"/>
            <w:vAlign w:val="center"/>
          </w:tcPr>
          <w:p>
            <w:pPr>
              <w:pStyle w:val="13"/>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100%</w:t>
            </w:r>
          </w:p>
        </w:tc>
        <w:tc>
          <w:tcPr>
            <w:tcW w:w="1276" w:type="dxa"/>
            <w:vAlign w:val="center"/>
          </w:tcPr>
          <w:p>
            <w:pPr>
              <w:pStyle w:val="13"/>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432河北省晋州市民兵训练基地</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河北省晋州市民兵训练基地（含所属单位）上年末固定资产金额为719.62万元（详见下表）。本年度拟购置固定资产总额为0.00万元，已按要求列入政府采购预算，详见政府采购预算表。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432河北省晋州市民兵训练基地</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1240</w:t>
            </w:r>
          </w:p>
        </w:tc>
        <w:tc>
          <w:tcPr>
            <w:tcW w:w="2835" w:type="dxa"/>
            <w:vAlign w:val="center"/>
          </w:tcPr>
          <w:p>
            <w:pPr>
              <w:pStyle w:val="12"/>
            </w:pPr>
            <w:r>
              <w:t>656.59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1038</w:t>
            </w:r>
          </w:p>
        </w:tc>
        <w:tc>
          <w:tcPr>
            <w:tcW w:w="2835" w:type="dxa"/>
            <w:vAlign w:val="center"/>
          </w:tcPr>
          <w:p>
            <w:pPr>
              <w:pStyle w:val="12"/>
            </w:pPr>
            <w:r>
              <w:t>63.03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D7E307"/>
    <w:multiLevelType w:val="singleLevel"/>
    <w:tmpl w:val="30D7E30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AA4C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2026-03-02T09:40:00Z</dcterms:created>
  <dc:creator>Administrator</dc:creator>
  <cp:lastModifiedBy>Administrator</cp:lastModifiedBy>
  <dcterms:modified xsi:type="dcterms:W3CDTF">2026-03-02T03:31:39Z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