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434晋州市人民政府办公室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1618.12</w:t>
            </w:r>
          </w:p>
        </w:tc>
        <w:tc>
          <w:tcPr>
            <w:tcW w:w="4535" w:type="dxa"/>
            <w:vAlign w:val="center"/>
          </w:tcPr>
          <w:p>
            <w:pPr>
              <w:pStyle w:val="13"/>
            </w:pPr>
            <w:r>
              <w:t>一、一般公共服务支出</w:t>
            </w:r>
          </w:p>
        </w:tc>
        <w:tc>
          <w:tcPr>
            <w:tcW w:w="2126" w:type="dxa"/>
            <w:vAlign w:val="center"/>
          </w:tcPr>
          <w:p>
            <w:pPr>
              <w:pStyle w:val="12"/>
            </w:pPr>
            <w:r>
              <w:t>1618.12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1618.12</w:t>
            </w:r>
          </w:p>
        </w:tc>
        <w:tc>
          <w:tcPr>
            <w:tcW w:w="4535" w:type="dxa"/>
            <w:vAlign w:val="center"/>
          </w:tcPr>
          <w:p>
            <w:pPr>
              <w:pStyle w:val="15"/>
            </w:pPr>
            <w:r>
              <w:t>本年支出合计</w:t>
            </w:r>
          </w:p>
        </w:tc>
        <w:tc>
          <w:tcPr>
            <w:tcW w:w="2126" w:type="dxa"/>
            <w:vAlign w:val="center"/>
          </w:tcPr>
          <w:p>
            <w:pPr>
              <w:pStyle w:val="16"/>
            </w:pPr>
            <w:r>
              <w:t>1618.12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1618.12</w:t>
            </w:r>
          </w:p>
        </w:tc>
        <w:tc>
          <w:tcPr>
            <w:tcW w:w="4535" w:type="dxa"/>
            <w:vAlign w:val="center"/>
          </w:tcPr>
          <w:p>
            <w:pPr>
              <w:pStyle w:val="15"/>
            </w:pPr>
            <w:r>
              <w:t>支出总计</w:t>
            </w:r>
          </w:p>
        </w:tc>
        <w:tc>
          <w:tcPr>
            <w:tcW w:w="2126" w:type="dxa"/>
            <w:vAlign w:val="center"/>
          </w:tcPr>
          <w:p>
            <w:pPr>
              <w:pStyle w:val="16"/>
            </w:pPr>
            <w:r>
              <w:t>1618.12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434晋州市人民政府办公室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1618.12</w:t>
            </w:r>
          </w:p>
        </w:tc>
        <w:tc>
          <w:tcPr>
            <w:tcW w:w="1134" w:type="dxa"/>
            <w:vAlign w:val="center"/>
          </w:tcPr>
          <w:p>
            <w:pPr>
              <w:pStyle w:val="16"/>
            </w:pPr>
            <w:r>
              <w:t>1618.12</w:t>
            </w:r>
          </w:p>
        </w:tc>
        <w:tc>
          <w:tcPr>
            <w:tcW w:w="1134" w:type="dxa"/>
            <w:vAlign w:val="center"/>
          </w:tcPr>
          <w:p>
            <w:pPr>
              <w:pStyle w:val="16"/>
            </w:pPr>
            <w:r>
              <w:t>1618.12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1618.12</w:t>
            </w:r>
          </w:p>
        </w:tc>
        <w:tc>
          <w:tcPr>
            <w:tcW w:w="1134" w:type="dxa"/>
            <w:vAlign w:val="center"/>
          </w:tcPr>
          <w:p>
            <w:pPr>
              <w:pStyle w:val="12"/>
            </w:pPr>
            <w:r>
              <w:t>1618.12</w:t>
            </w:r>
          </w:p>
        </w:tc>
        <w:tc>
          <w:tcPr>
            <w:tcW w:w="1134" w:type="dxa"/>
            <w:vAlign w:val="center"/>
          </w:tcPr>
          <w:p>
            <w:pPr>
              <w:pStyle w:val="12"/>
            </w:pPr>
            <w:r>
              <w:t>1618.12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1618.12</w:t>
            </w:r>
          </w:p>
        </w:tc>
        <w:tc>
          <w:tcPr>
            <w:tcW w:w="1134" w:type="dxa"/>
            <w:vAlign w:val="center"/>
          </w:tcPr>
          <w:p>
            <w:pPr>
              <w:pStyle w:val="12"/>
            </w:pPr>
            <w:r>
              <w:t>1618.12</w:t>
            </w:r>
          </w:p>
        </w:tc>
        <w:tc>
          <w:tcPr>
            <w:tcW w:w="1134" w:type="dxa"/>
            <w:vAlign w:val="center"/>
          </w:tcPr>
          <w:p>
            <w:pPr>
              <w:pStyle w:val="12"/>
            </w:pPr>
            <w:r>
              <w:t>1618.12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902.66</w:t>
            </w:r>
          </w:p>
        </w:tc>
        <w:tc>
          <w:tcPr>
            <w:tcW w:w="1134" w:type="dxa"/>
            <w:vAlign w:val="center"/>
          </w:tcPr>
          <w:p>
            <w:pPr>
              <w:pStyle w:val="12"/>
            </w:pPr>
            <w:r>
              <w:t>902.66</w:t>
            </w:r>
          </w:p>
        </w:tc>
        <w:tc>
          <w:tcPr>
            <w:tcW w:w="1134" w:type="dxa"/>
            <w:vAlign w:val="center"/>
          </w:tcPr>
          <w:p>
            <w:pPr>
              <w:pStyle w:val="12"/>
            </w:pPr>
            <w:r>
              <w:t>902.66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715.46</w:t>
            </w:r>
          </w:p>
        </w:tc>
        <w:tc>
          <w:tcPr>
            <w:tcW w:w="1134" w:type="dxa"/>
            <w:vAlign w:val="center"/>
          </w:tcPr>
          <w:p>
            <w:pPr>
              <w:pStyle w:val="12"/>
            </w:pPr>
            <w:r>
              <w:t>715.46</w:t>
            </w:r>
          </w:p>
        </w:tc>
        <w:tc>
          <w:tcPr>
            <w:tcW w:w="1134" w:type="dxa"/>
            <w:vAlign w:val="center"/>
          </w:tcPr>
          <w:p>
            <w:pPr>
              <w:pStyle w:val="12"/>
            </w:pPr>
            <w:r>
              <w:t>715.46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434晋州市人民政府办公室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1618.12</w:t>
            </w:r>
          </w:p>
        </w:tc>
        <w:tc>
          <w:tcPr>
            <w:tcW w:w="1361" w:type="dxa"/>
            <w:vAlign w:val="center"/>
          </w:tcPr>
          <w:p>
            <w:pPr>
              <w:pStyle w:val="16"/>
            </w:pPr>
            <w:r>
              <w:t>902.66</w:t>
            </w:r>
          </w:p>
        </w:tc>
        <w:tc>
          <w:tcPr>
            <w:tcW w:w="1361" w:type="dxa"/>
            <w:vAlign w:val="center"/>
          </w:tcPr>
          <w:p>
            <w:pPr>
              <w:pStyle w:val="16"/>
            </w:pPr>
            <w:r>
              <w:t>715.46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1618.12</w:t>
            </w:r>
          </w:p>
        </w:tc>
        <w:tc>
          <w:tcPr>
            <w:tcW w:w="1361" w:type="dxa"/>
            <w:vAlign w:val="center"/>
          </w:tcPr>
          <w:p>
            <w:pPr>
              <w:pStyle w:val="12"/>
            </w:pPr>
            <w:r>
              <w:t>902.66</w:t>
            </w:r>
          </w:p>
        </w:tc>
        <w:tc>
          <w:tcPr>
            <w:tcW w:w="1361" w:type="dxa"/>
            <w:vAlign w:val="center"/>
          </w:tcPr>
          <w:p>
            <w:pPr>
              <w:pStyle w:val="12"/>
            </w:pPr>
            <w:r>
              <w:t>715.46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1618.12</w:t>
            </w:r>
          </w:p>
        </w:tc>
        <w:tc>
          <w:tcPr>
            <w:tcW w:w="1361" w:type="dxa"/>
            <w:vAlign w:val="center"/>
          </w:tcPr>
          <w:p>
            <w:pPr>
              <w:pStyle w:val="12"/>
            </w:pPr>
            <w:r>
              <w:t>902.66</w:t>
            </w:r>
          </w:p>
        </w:tc>
        <w:tc>
          <w:tcPr>
            <w:tcW w:w="1361" w:type="dxa"/>
            <w:vAlign w:val="center"/>
          </w:tcPr>
          <w:p>
            <w:pPr>
              <w:pStyle w:val="12"/>
            </w:pPr>
            <w:r>
              <w:t>715.46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902.66</w:t>
            </w:r>
          </w:p>
        </w:tc>
        <w:tc>
          <w:tcPr>
            <w:tcW w:w="1361" w:type="dxa"/>
            <w:vAlign w:val="center"/>
          </w:tcPr>
          <w:p>
            <w:pPr>
              <w:pStyle w:val="12"/>
            </w:pPr>
            <w:r>
              <w:t>902.66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715.46</w:t>
            </w:r>
          </w:p>
        </w:tc>
        <w:tc>
          <w:tcPr>
            <w:tcW w:w="1361" w:type="dxa"/>
            <w:vAlign w:val="center"/>
          </w:tcPr>
          <w:p>
            <w:pPr>
              <w:pStyle w:val="12"/>
            </w:pPr>
          </w:p>
        </w:tc>
        <w:tc>
          <w:tcPr>
            <w:tcW w:w="1361" w:type="dxa"/>
            <w:vAlign w:val="center"/>
          </w:tcPr>
          <w:p>
            <w:pPr>
              <w:pStyle w:val="12"/>
            </w:pPr>
            <w:r>
              <w:t>715.46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434晋州市人民政府办公室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1618.12</w:t>
            </w:r>
          </w:p>
        </w:tc>
        <w:tc>
          <w:tcPr>
            <w:tcW w:w="3402" w:type="dxa"/>
            <w:vAlign w:val="center"/>
          </w:tcPr>
          <w:p>
            <w:pPr>
              <w:pStyle w:val="13"/>
            </w:pPr>
            <w:r>
              <w:t>一、一般公共服务支出</w:t>
            </w:r>
          </w:p>
        </w:tc>
        <w:tc>
          <w:tcPr>
            <w:tcW w:w="1474" w:type="dxa"/>
            <w:vAlign w:val="center"/>
          </w:tcPr>
          <w:p>
            <w:pPr>
              <w:pStyle w:val="12"/>
            </w:pPr>
            <w:r>
              <w:t>1618.12</w:t>
            </w:r>
          </w:p>
        </w:tc>
        <w:tc>
          <w:tcPr>
            <w:tcW w:w="1474" w:type="dxa"/>
            <w:vAlign w:val="center"/>
          </w:tcPr>
          <w:p>
            <w:pPr>
              <w:pStyle w:val="12"/>
            </w:pPr>
            <w:r>
              <w:t>1618.12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1618.12</w:t>
            </w:r>
          </w:p>
        </w:tc>
        <w:tc>
          <w:tcPr>
            <w:tcW w:w="3402" w:type="dxa"/>
            <w:vAlign w:val="center"/>
          </w:tcPr>
          <w:p>
            <w:pPr>
              <w:pStyle w:val="15"/>
            </w:pPr>
            <w:r>
              <w:t>本年支出合计</w:t>
            </w:r>
          </w:p>
        </w:tc>
        <w:tc>
          <w:tcPr>
            <w:tcW w:w="1474" w:type="dxa"/>
            <w:vAlign w:val="center"/>
          </w:tcPr>
          <w:p>
            <w:pPr>
              <w:pStyle w:val="16"/>
            </w:pPr>
            <w:r>
              <w:t>1618.12</w:t>
            </w:r>
          </w:p>
        </w:tc>
        <w:tc>
          <w:tcPr>
            <w:tcW w:w="1474" w:type="dxa"/>
            <w:vAlign w:val="center"/>
          </w:tcPr>
          <w:p>
            <w:pPr>
              <w:pStyle w:val="16"/>
            </w:pPr>
            <w:r>
              <w:t>1618.12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1618.12</w:t>
            </w:r>
          </w:p>
        </w:tc>
        <w:tc>
          <w:tcPr>
            <w:tcW w:w="3402" w:type="dxa"/>
            <w:vAlign w:val="center"/>
          </w:tcPr>
          <w:p>
            <w:pPr>
              <w:pStyle w:val="15"/>
            </w:pPr>
            <w:r>
              <w:t>支出总计</w:t>
            </w:r>
          </w:p>
        </w:tc>
        <w:tc>
          <w:tcPr>
            <w:tcW w:w="1474" w:type="dxa"/>
            <w:vAlign w:val="center"/>
          </w:tcPr>
          <w:p>
            <w:pPr>
              <w:pStyle w:val="16"/>
            </w:pPr>
            <w:r>
              <w:t>1618.12</w:t>
            </w:r>
          </w:p>
        </w:tc>
        <w:tc>
          <w:tcPr>
            <w:tcW w:w="1474" w:type="dxa"/>
            <w:vAlign w:val="center"/>
          </w:tcPr>
          <w:p>
            <w:pPr>
              <w:pStyle w:val="16"/>
            </w:pPr>
            <w:r>
              <w:t>1618.12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434晋州市人民政府办公室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1618.12</w:t>
            </w:r>
          </w:p>
        </w:tc>
        <w:tc>
          <w:tcPr>
            <w:tcW w:w="2551" w:type="dxa"/>
            <w:vAlign w:val="center"/>
          </w:tcPr>
          <w:p>
            <w:pPr>
              <w:pStyle w:val="16"/>
            </w:pPr>
            <w:r>
              <w:t>902.66</w:t>
            </w:r>
          </w:p>
        </w:tc>
        <w:tc>
          <w:tcPr>
            <w:tcW w:w="2551" w:type="dxa"/>
            <w:vAlign w:val="center"/>
          </w:tcPr>
          <w:p>
            <w:pPr>
              <w:pStyle w:val="16"/>
            </w:pPr>
            <w:r>
              <w:t>715.46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1618.12</w:t>
            </w:r>
          </w:p>
        </w:tc>
        <w:tc>
          <w:tcPr>
            <w:tcW w:w="2551" w:type="dxa"/>
            <w:vAlign w:val="center"/>
          </w:tcPr>
          <w:p>
            <w:pPr>
              <w:pStyle w:val="12"/>
            </w:pPr>
            <w:r>
              <w:t>902.66</w:t>
            </w:r>
          </w:p>
        </w:tc>
        <w:tc>
          <w:tcPr>
            <w:tcW w:w="2551" w:type="dxa"/>
            <w:vAlign w:val="center"/>
          </w:tcPr>
          <w:p>
            <w:pPr>
              <w:pStyle w:val="12"/>
            </w:pPr>
            <w:r>
              <w:t>715.46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1618.12</w:t>
            </w:r>
          </w:p>
        </w:tc>
        <w:tc>
          <w:tcPr>
            <w:tcW w:w="2551" w:type="dxa"/>
            <w:vAlign w:val="center"/>
          </w:tcPr>
          <w:p>
            <w:pPr>
              <w:pStyle w:val="12"/>
            </w:pPr>
            <w:r>
              <w:t>902.66</w:t>
            </w:r>
          </w:p>
        </w:tc>
        <w:tc>
          <w:tcPr>
            <w:tcW w:w="2551" w:type="dxa"/>
            <w:vAlign w:val="center"/>
          </w:tcPr>
          <w:p>
            <w:pPr>
              <w:pStyle w:val="12"/>
            </w:pPr>
            <w:r>
              <w:t>715.46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902.66</w:t>
            </w:r>
          </w:p>
        </w:tc>
        <w:tc>
          <w:tcPr>
            <w:tcW w:w="2551" w:type="dxa"/>
            <w:vAlign w:val="center"/>
          </w:tcPr>
          <w:p>
            <w:pPr>
              <w:pStyle w:val="12"/>
            </w:pPr>
            <w:r>
              <w:t>902.66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715.46</w:t>
            </w:r>
          </w:p>
        </w:tc>
        <w:tc>
          <w:tcPr>
            <w:tcW w:w="2551" w:type="dxa"/>
            <w:vAlign w:val="center"/>
          </w:tcPr>
          <w:p>
            <w:pPr>
              <w:pStyle w:val="12"/>
            </w:pPr>
          </w:p>
        </w:tc>
        <w:tc>
          <w:tcPr>
            <w:tcW w:w="2551" w:type="dxa"/>
            <w:vAlign w:val="center"/>
          </w:tcPr>
          <w:p>
            <w:pPr>
              <w:pStyle w:val="12"/>
            </w:pPr>
            <w:r>
              <w:t>715.46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434晋州市人民政府办公室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902.66</w:t>
            </w:r>
          </w:p>
        </w:tc>
        <w:tc>
          <w:tcPr>
            <w:tcW w:w="2551" w:type="dxa"/>
            <w:vAlign w:val="center"/>
          </w:tcPr>
          <w:p>
            <w:pPr>
              <w:pStyle w:val="16"/>
            </w:pPr>
            <w:r>
              <w:t>784.13</w:t>
            </w:r>
          </w:p>
        </w:tc>
        <w:tc>
          <w:tcPr>
            <w:tcW w:w="2551" w:type="dxa"/>
            <w:vAlign w:val="center"/>
          </w:tcPr>
          <w:p>
            <w:pPr>
              <w:pStyle w:val="16"/>
            </w:pPr>
            <w:r>
              <w:t>118.53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754.84</w:t>
            </w:r>
          </w:p>
        </w:tc>
        <w:tc>
          <w:tcPr>
            <w:tcW w:w="2551" w:type="dxa"/>
            <w:vAlign w:val="center"/>
          </w:tcPr>
          <w:p>
            <w:pPr>
              <w:pStyle w:val="12"/>
            </w:pPr>
            <w:r>
              <w:t>754.84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272.95</w:t>
            </w:r>
          </w:p>
        </w:tc>
        <w:tc>
          <w:tcPr>
            <w:tcW w:w="2551" w:type="dxa"/>
            <w:vAlign w:val="center"/>
          </w:tcPr>
          <w:p>
            <w:pPr>
              <w:pStyle w:val="12"/>
            </w:pPr>
            <w:r>
              <w:t>272.95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116.60</w:t>
            </w:r>
          </w:p>
        </w:tc>
        <w:tc>
          <w:tcPr>
            <w:tcW w:w="2551" w:type="dxa"/>
            <w:vAlign w:val="center"/>
          </w:tcPr>
          <w:p>
            <w:pPr>
              <w:pStyle w:val="12"/>
            </w:pPr>
            <w:r>
              <w:t>116.60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103.53</w:t>
            </w:r>
          </w:p>
        </w:tc>
        <w:tc>
          <w:tcPr>
            <w:tcW w:w="2551" w:type="dxa"/>
            <w:vAlign w:val="center"/>
          </w:tcPr>
          <w:p>
            <w:pPr>
              <w:pStyle w:val="12"/>
            </w:pPr>
            <w:r>
              <w:t>103.53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47.70</w:t>
            </w:r>
          </w:p>
        </w:tc>
        <w:tc>
          <w:tcPr>
            <w:tcW w:w="2551" w:type="dxa"/>
            <w:vAlign w:val="center"/>
          </w:tcPr>
          <w:p>
            <w:pPr>
              <w:pStyle w:val="12"/>
            </w:pPr>
            <w:r>
              <w:t>47.70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78.17</w:t>
            </w:r>
          </w:p>
        </w:tc>
        <w:tc>
          <w:tcPr>
            <w:tcW w:w="2551" w:type="dxa"/>
            <w:vAlign w:val="center"/>
          </w:tcPr>
          <w:p>
            <w:pPr>
              <w:pStyle w:val="12"/>
            </w:pPr>
            <w:r>
              <w:t>78.17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32.24</w:t>
            </w:r>
          </w:p>
        </w:tc>
        <w:tc>
          <w:tcPr>
            <w:tcW w:w="2551" w:type="dxa"/>
            <w:vAlign w:val="center"/>
          </w:tcPr>
          <w:p>
            <w:pPr>
              <w:pStyle w:val="12"/>
            </w:pPr>
            <w:r>
              <w:t>32.24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15.87</w:t>
            </w:r>
          </w:p>
        </w:tc>
        <w:tc>
          <w:tcPr>
            <w:tcW w:w="2551" w:type="dxa"/>
            <w:vAlign w:val="center"/>
          </w:tcPr>
          <w:p>
            <w:pPr>
              <w:pStyle w:val="12"/>
            </w:pPr>
            <w:r>
              <w:t>15.87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3.16</w:t>
            </w:r>
          </w:p>
        </w:tc>
        <w:tc>
          <w:tcPr>
            <w:tcW w:w="2551" w:type="dxa"/>
            <w:vAlign w:val="center"/>
          </w:tcPr>
          <w:p>
            <w:pPr>
              <w:pStyle w:val="12"/>
            </w:pPr>
            <w:r>
              <w:t>3.16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62.75</w:t>
            </w:r>
          </w:p>
        </w:tc>
        <w:tc>
          <w:tcPr>
            <w:tcW w:w="2551" w:type="dxa"/>
            <w:vAlign w:val="center"/>
          </w:tcPr>
          <w:p>
            <w:pPr>
              <w:pStyle w:val="12"/>
            </w:pPr>
            <w:r>
              <w:t>62.75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21.87</w:t>
            </w:r>
          </w:p>
        </w:tc>
        <w:tc>
          <w:tcPr>
            <w:tcW w:w="2551" w:type="dxa"/>
            <w:vAlign w:val="center"/>
          </w:tcPr>
          <w:p>
            <w:pPr>
              <w:pStyle w:val="12"/>
            </w:pPr>
            <w:r>
              <w:t>21.87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118.53</w:t>
            </w:r>
          </w:p>
        </w:tc>
        <w:tc>
          <w:tcPr>
            <w:tcW w:w="2551" w:type="dxa"/>
            <w:vAlign w:val="center"/>
          </w:tcPr>
          <w:p>
            <w:pPr>
              <w:pStyle w:val="12"/>
            </w:pPr>
          </w:p>
        </w:tc>
        <w:tc>
          <w:tcPr>
            <w:tcW w:w="2551" w:type="dxa"/>
            <w:vAlign w:val="center"/>
          </w:tcPr>
          <w:p>
            <w:pPr>
              <w:pStyle w:val="12"/>
            </w:pPr>
            <w:r>
              <w:t>118.53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23.55</w:t>
            </w:r>
          </w:p>
        </w:tc>
        <w:tc>
          <w:tcPr>
            <w:tcW w:w="2551" w:type="dxa"/>
            <w:vAlign w:val="center"/>
          </w:tcPr>
          <w:p>
            <w:pPr>
              <w:pStyle w:val="12"/>
            </w:pPr>
          </w:p>
        </w:tc>
        <w:tc>
          <w:tcPr>
            <w:tcW w:w="2551" w:type="dxa"/>
            <w:vAlign w:val="center"/>
          </w:tcPr>
          <w:p>
            <w:pPr>
              <w:pStyle w:val="12"/>
            </w:pPr>
            <w:r>
              <w:t>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23.31</w:t>
            </w:r>
          </w:p>
        </w:tc>
        <w:tc>
          <w:tcPr>
            <w:tcW w:w="2551" w:type="dxa"/>
            <w:vAlign w:val="center"/>
          </w:tcPr>
          <w:p>
            <w:pPr>
              <w:pStyle w:val="12"/>
            </w:pPr>
          </w:p>
        </w:tc>
        <w:tc>
          <w:tcPr>
            <w:tcW w:w="2551" w:type="dxa"/>
            <w:vAlign w:val="center"/>
          </w:tcPr>
          <w:p>
            <w:pPr>
              <w:pStyle w:val="12"/>
            </w:pPr>
            <w:r>
              <w:t>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5.66</w:t>
            </w:r>
          </w:p>
        </w:tc>
        <w:tc>
          <w:tcPr>
            <w:tcW w:w="2551" w:type="dxa"/>
            <w:vAlign w:val="center"/>
          </w:tcPr>
          <w:p>
            <w:pPr>
              <w:pStyle w:val="12"/>
            </w:pPr>
          </w:p>
        </w:tc>
        <w:tc>
          <w:tcPr>
            <w:tcW w:w="2551" w:type="dxa"/>
            <w:vAlign w:val="center"/>
          </w:tcPr>
          <w:p>
            <w:pPr>
              <w:pStyle w:val="12"/>
            </w:pPr>
            <w:r>
              <w:t>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19.40</w:t>
            </w:r>
          </w:p>
        </w:tc>
        <w:tc>
          <w:tcPr>
            <w:tcW w:w="2551" w:type="dxa"/>
            <w:vAlign w:val="center"/>
          </w:tcPr>
          <w:p>
            <w:pPr>
              <w:pStyle w:val="12"/>
            </w:pPr>
          </w:p>
        </w:tc>
        <w:tc>
          <w:tcPr>
            <w:tcW w:w="2551" w:type="dxa"/>
            <w:vAlign w:val="center"/>
          </w:tcPr>
          <w:p>
            <w:pPr>
              <w:pStyle w:val="12"/>
            </w:pPr>
            <w:r>
              <w:t>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33.71</w:t>
            </w:r>
          </w:p>
        </w:tc>
        <w:tc>
          <w:tcPr>
            <w:tcW w:w="2551" w:type="dxa"/>
            <w:vAlign w:val="center"/>
          </w:tcPr>
          <w:p>
            <w:pPr>
              <w:pStyle w:val="12"/>
            </w:pPr>
          </w:p>
        </w:tc>
        <w:tc>
          <w:tcPr>
            <w:tcW w:w="2551" w:type="dxa"/>
            <w:vAlign w:val="center"/>
          </w:tcPr>
          <w:p>
            <w:pPr>
              <w:pStyle w:val="12"/>
            </w:pPr>
            <w:r>
              <w:t>33.71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12.90</w:t>
            </w:r>
          </w:p>
        </w:tc>
        <w:tc>
          <w:tcPr>
            <w:tcW w:w="2551" w:type="dxa"/>
            <w:vAlign w:val="center"/>
          </w:tcPr>
          <w:p>
            <w:pPr>
              <w:pStyle w:val="12"/>
            </w:pPr>
          </w:p>
        </w:tc>
        <w:tc>
          <w:tcPr>
            <w:tcW w:w="2551" w:type="dxa"/>
            <w:vAlign w:val="center"/>
          </w:tcPr>
          <w:p>
            <w:pPr>
              <w:pStyle w:val="12"/>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29.29</w:t>
            </w:r>
          </w:p>
        </w:tc>
        <w:tc>
          <w:tcPr>
            <w:tcW w:w="2551" w:type="dxa"/>
            <w:vAlign w:val="center"/>
          </w:tcPr>
          <w:p>
            <w:pPr>
              <w:pStyle w:val="12"/>
            </w:pPr>
            <w:r>
              <w:t>29.29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22.81</w:t>
            </w:r>
          </w:p>
        </w:tc>
        <w:tc>
          <w:tcPr>
            <w:tcW w:w="2551" w:type="dxa"/>
            <w:vAlign w:val="center"/>
          </w:tcPr>
          <w:p>
            <w:pPr>
              <w:pStyle w:val="12"/>
            </w:pPr>
            <w:r>
              <w:t>22.81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6.48</w:t>
            </w:r>
          </w:p>
        </w:tc>
        <w:tc>
          <w:tcPr>
            <w:tcW w:w="2551" w:type="dxa"/>
            <w:vAlign w:val="center"/>
          </w:tcPr>
          <w:p>
            <w:pPr>
              <w:pStyle w:val="12"/>
            </w:pPr>
            <w:r>
              <w:t>6.48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434晋州市人民政府办公室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434晋州市人民政府办公室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434晋州市人民政府办公室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19.40</w:t>
            </w:r>
          </w:p>
        </w:tc>
        <w:tc>
          <w:tcPr>
            <w:tcW w:w="2381" w:type="dxa"/>
            <w:vAlign w:val="center"/>
          </w:tcPr>
          <w:p>
            <w:pPr>
              <w:pStyle w:val="16"/>
            </w:pPr>
            <w:r>
              <w:t>19.40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19.40</w:t>
            </w:r>
          </w:p>
        </w:tc>
        <w:tc>
          <w:tcPr>
            <w:tcW w:w="2381" w:type="dxa"/>
            <w:vAlign w:val="center"/>
          </w:tcPr>
          <w:p>
            <w:pPr>
              <w:pStyle w:val="12"/>
            </w:pPr>
            <w:r>
              <w:t>19.40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19.40</w:t>
            </w:r>
          </w:p>
        </w:tc>
        <w:tc>
          <w:tcPr>
            <w:tcW w:w="2381" w:type="dxa"/>
            <w:vAlign w:val="center"/>
          </w:tcPr>
          <w:p>
            <w:pPr>
              <w:pStyle w:val="12"/>
            </w:pPr>
            <w:r>
              <w:t>19.40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晋州市人民政府办公室2026年部门预算信息公开情况说明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晋州市人民政府办公室2026年部门预算信息公开情况说明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按照《中华人民共和国预算法》、《地方预决算公开操作规程》和《关于进一步推进预算公开工作的实施意见》规定，现将晋州市人民政府办公室2026年部门预算公开如下：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（一）按照市政府要求协调有关工作，承担市政府运行保障具体事务。</w:t>
      </w:r>
    </w:p>
    <w:p>
      <w:pPr>
        <w:pStyle w:val="18"/>
      </w:pPr>
      <w:r>
        <w:t>（二）组织起草或审核上报上级各部门的公文，以及以市政府、市政府办公室名义发布的公文；负责市政府、市政府办公室日常公文办理。</w:t>
      </w:r>
    </w:p>
    <w:p>
      <w:pPr>
        <w:pStyle w:val="18"/>
      </w:pPr>
      <w:r>
        <w:t>（三）负责市政府领导活动的组织和协调工作；负责市政府会议的准备和服务工作，落实会议决定事项。</w:t>
      </w:r>
    </w:p>
    <w:p>
      <w:pPr>
        <w:pStyle w:val="18"/>
      </w:pPr>
      <w:r>
        <w:t>（四）研究市政府各部门和各乡镇（开发区）请示市政府的事项，提出审核意见，报市政府领导批准。</w:t>
      </w:r>
    </w:p>
    <w:p>
      <w:pPr>
        <w:pStyle w:val="18"/>
      </w:pPr>
      <w:r>
        <w:t>（五）负责市政府工作报告、市政府领导讲话稿的起草、修改等工作。</w:t>
      </w:r>
    </w:p>
    <w:p>
      <w:pPr>
        <w:pStyle w:val="18"/>
      </w:pPr>
      <w:r>
        <w:t>（六）负责国务院、省政府、石家庄市政府和晋州市政府决策部署贯彻落实的督促检查，市政府重要会议、议定事项、重点工作、领导批示和交办事项督办反馈。</w:t>
      </w:r>
    </w:p>
    <w:p>
      <w:pPr>
        <w:pStyle w:val="18"/>
      </w:pPr>
      <w:r>
        <w:t>（七）负责承担或参与市政府重要政策的调查研究工作。对我市改革开放和经济社会发展中重大问题进行调查研究，收集、分析、整理、研判和报送经济社会发展中重要信息、动态，为市政府决策提供建议和咨询。</w:t>
      </w:r>
    </w:p>
    <w:p>
      <w:pPr>
        <w:pStyle w:val="18"/>
      </w:pPr>
      <w:r>
        <w:t>（八）负责全市外事工作的谋划、协调,负责市委外事工作委员会各项决定和工作部署的督办落实。</w:t>
      </w:r>
    </w:p>
    <w:p>
      <w:pPr>
        <w:pStyle w:val="18"/>
      </w:pPr>
      <w:r>
        <w:t>（九）组织承办人大代表建议和政协委员提案工作。</w:t>
      </w:r>
    </w:p>
    <w:p>
      <w:pPr>
        <w:pStyle w:val="18"/>
      </w:pPr>
      <w:r>
        <w:t>（十）负责承办市政府提请市人大常委会任免议案和提请市政府任命工作人员的行政任免有关手续；负责承办市政府任命工作人员的宪法宣誓工作。</w:t>
      </w:r>
    </w:p>
    <w:p>
      <w:pPr>
        <w:pStyle w:val="18"/>
      </w:pPr>
      <w:r>
        <w:t>（十一）负责市政府值班值守工作，及时报告重要情况，传达和督促落实市政府领导工作要求。</w:t>
      </w:r>
    </w:p>
    <w:p>
      <w:pPr>
        <w:pStyle w:val="18"/>
      </w:pPr>
      <w:r>
        <w:t>（十二）根据市政府工作部署和市政府领导要求，组织专题调研，及时反映情况，提出建议。</w:t>
      </w:r>
    </w:p>
    <w:p>
      <w:pPr>
        <w:pStyle w:val="18"/>
      </w:pPr>
      <w:r>
        <w:t>（十三）负责市政府和市政府办公室政务公开、政府信息公开、服务工作；负责全市政务公开、政府信息公开的监督检查和考核评估工作。</w:t>
      </w:r>
    </w:p>
    <w:p>
      <w:pPr>
        <w:pStyle w:val="18"/>
      </w:pPr>
      <w:r>
        <w:t>（十四）负责信息收集、整理、分析、反馈工作，负责市政府网站的信息发布工作。</w:t>
      </w:r>
    </w:p>
    <w:p>
      <w:pPr>
        <w:pStyle w:val="18"/>
      </w:pPr>
      <w:r>
        <w:t>（十五）贯彻落实党中央和省、市关于地方金融监管工作的方针政策和决策部署，坚持和加强党对地方金融监管工作的集中统一领导。研究拟订全市金融业发展规划和政策，负责全市资本市场的改革、培育和发展，负责全市地方金融组织监督管理工作。组织协调防范和化解地方金融风险工作，协调有关部门依法做好防范和处置非法集资以及社会稳定工作。</w:t>
      </w:r>
    </w:p>
    <w:p>
      <w:pPr>
        <w:pStyle w:val="18"/>
      </w:pPr>
      <w:r>
        <w:t>（十六）负责市政府机关行政后勤、安全保卫和政府办公室财务管理工作。</w:t>
      </w:r>
    </w:p>
    <w:p>
      <w:pPr>
        <w:pStyle w:val="18"/>
      </w:pPr>
      <w:r>
        <w:t>（十七）协同有关部门统筹协调市政府新闻宣传、舆情回应等工作。</w:t>
      </w:r>
    </w:p>
    <w:p>
      <w:pPr>
        <w:pStyle w:val="18"/>
      </w:pPr>
      <w:r>
        <w:t>（十八）完成市政府交办的其他任务。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晋州市人民政府办公室本级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按照预算管理有关规定，目前部门预算的编制实行综合预算管理，即全部收入和支出都反映在预算中。晋州市人民政府办公室机关及所属事业单位的收支包含在部门预算中。</w:t>
      </w:r>
    </w:p>
    <w:p>
      <w:pPr>
        <w:pStyle w:val="19"/>
      </w:pPr>
      <w:r>
        <w:t>1、收入说明</w:t>
      </w:r>
    </w:p>
    <w:p>
      <w:pPr>
        <w:pStyle w:val="19"/>
      </w:pPr>
      <w:r>
        <w:t>反映本部门当年全部收入。2026年预算收入1618.12万元，其中：一般公共预算收入1618.12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人民政府办公室年度部门预算中支出预算的总体情况。2026年支出预算1618.12万元，其中基本支出902.66万元，包括人员经费784.13万元和日常公用经费118.53万元；项目支出715.46万元，主要为法律顾问费、报刊征订费、食堂外包服务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1618.12万元，较2025年预算增加31.20万元，其中：基本支出增加48.09万元，主要为年度调资，全体人员基本支出增加。项目支出减少16.89万元，主要为劳务派遣人员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2026年，我部门机关运行经费共计安排118.53万元，主要用于日常维修、办公用房水电费、办公用房取暖费、办公用房物业管理费等日常运行支出。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19.40万元，其中因公出国（境）费0.00万元；公务用车购置及运维费19.40万元（其中：公务用车购置费为0.00万元，公务用车运维费19.40万元)；公务接待费0.00万元。与2025年相比减少1.74万元，增减变化的主要原因是厉行节俭，压减公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做好市政府运行保障工作。做到精心起草每一篇文稿，力促多出精品，提高领导满意度和群众认可度。做好政府领导活动的组织、协调工作和市政府会议的准备和服务工作。围绕全市发展战略和工作重点，围绕群众关心的热点、难点问题，做到主动研究政策、研究情况、研究问题，深入调研，为市政府决策提供建议和咨询。做好市政府重要会议、议定事项、重点工作、领导批示和交办事项督办反馈。落实及督办人大、政协案件。做好市政府值班值守工作，及时报告重要情况，传达和督促落实市政府领导工作要求。做好市政府网站的信息发布工作。强化行政后勤、安全保卫和财务管理工作等。</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1、综合业务管理</w:t>
      </w:r>
    </w:p>
    <w:p>
      <w:pPr>
        <w:pStyle w:val="23"/>
      </w:pPr>
      <w:r>
        <w:t>绩效目标：保障各部门之间工作畅通。</w:t>
      </w:r>
    </w:p>
    <w:p>
      <w:pPr>
        <w:pStyle w:val="23"/>
      </w:pPr>
      <w:r>
        <w:t>绩效指标：综合业务管理工作完成率≥95%。</w:t>
      </w:r>
    </w:p>
    <w:p>
      <w:pPr>
        <w:pStyle w:val="23"/>
      </w:pPr>
      <w:r>
        <w:t>2、综合事务管理</w:t>
      </w:r>
    </w:p>
    <w:p>
      <w:pPr>
        <w:pStyle w:val="23"/>
      </w:pPr>
      <w:r>
        <w:t>绩效目标：保障机关工作有效运转。</w:t>
      </w:r>
    </w:p>
    <w:p>
      <w:pPr>
        <w:pStyle w:val="23"/>
      </w:pPr>
      <w:r>
        <w:t>绩效指标：综合事务管理工作完成率≥95%。</w:t>
      </w:r>
    </w:p>
    <w:p>
      <w:pPr>
        <w:pStyle w:val="23"/>
      </w:pPr>
      <w:r>
        <w:t>3、保障各项会议顺利召开</w:t>
      </w:r>
    </w:p>
    <w:p>
      <w:pPr>
        <w:pStyle w:val="23"/>
      </w:pPr>
      <w:r>
        <w:t>绩效目标：完善各项会议制度，规范会议程序，提高会议质量。</w:t>
      </w:r>
    </w:p>
    <w:p>
      <w:pPr>
        <w:pStyle w:val="23"/>
      </w:pPr>
      <w:r>
        <w:t>绩效指标:做好会议通知下过及会场安排。</w:t>
      </w:r>
    </w:p>
    <w:p>
      <w:pPr>
        <w:pStyle w:val="23"/>
      </w:pPr>
      <w:r>
        <w:t>4、保证政府网站和系统维护及更新</w:t>
      </w:r>
    </w:p>
    <w:p>
      <w:pPr>
        <w:pStyle w:val="23"/>
      </w:pPr>
      <w:r>
        <w:t>绩效目标：保障机房、核心设备、网络、系统软件、其他信息化设备等的故障维护;机关大院的和办公楼的维修维护保障机关正常办公。</w:t>
      </w:r>
    </w:p>
    <w:p>
      <w:pPr>
        <w:pStyle w:val="23"/>
      </w:pPr>
      <w:r>
        <w:t>绩效指标:对新出台招新引资新政策优惠办法及时更新率达到95%以上。</w:t>
      </w:r>
    </w:p>
    <w:p>
      <w:pPr>
        <w:pStyle w:val="23"/>
      </w:pPr>
      <w:r>
        <w:t>5、打击金融非法集资，保障金融秩序正常运行</w:t>
      </w:r>
    </w:p>
    <w:p>
      <w:pPr>
        <w:pStyle w:val="23"/>
      </w:pPr>
      <w:r>
        <w:t>绩效目标:做好防范和打击非法集资法制宣传教育，有力地防范和打击非法集资，维护金融安全。</w:t>
      </w:r>
    </w:p>
    <w:p>
      <w:pPr>
        <w:pStyle w:val="23"/>
      </w:pPr>
      <w:r>
        <w:t>绩效指标:金融处非法集资知识宣传覆盖率达到95%以上。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完善制度建设。进一步完善预算绩效管理、资金管理办法、工作确保机关的正常办公 保障等各类制度建设，为全年预算绩效目标的实现奠定基础，并确保各项财务工作有效落实。</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1、保洁费用绩效目标表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13018326P000328105310</w:t>
            </w:r>
          </w:p>
        </w:tc>
        <w:tc>
          <w:tcPr>
            <w:tcW w:w="2835" w:type="dxa"/>
            <w:vAlign w:val="center"/>
          </w:tcPr>
          <w:p>
            <w:pPr>
              <w:pStyle w:val="11"/>
            </w:pPr>
            <w:r>
              <w:t>项目名称</w:t>
            </w:r>
          </w:p>
        </w:tc>
        <w:tc>
          <w:tcPr>
            <w:tcW w:w="6095" w:type="dxa"/>
            <w:gridSpan w:val="3"/>
            <w:vAlign w:val="center"/>
          </w:tcPr>
          <w:p>
            <w:pPr>
              <w:pStyle w:val="13"/>
            </w:pPr>
            <w:r>
              <w:t>保洁费用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用于支付机关院落公共区域保洁费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1.为保障机关大院院落清洁，保障楼道内等公共区域干净整洁，营造良好的工作环境。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卫生清理次数</w:t>
            </w:r>
          </w:p>
        </w:tc>
        <w:tc>
          <w:tcPr>
            <w:tcW w:w="5386" w:type="dxa"/>
            <w:vAlign w:val="center"/>
          </w:tcPr>
          <w:p>
            <w:pPr>
              <w:pStyle w:val="13"/>
            </w:pPr>
            <w:r>
              <w:t>每天卫生清理次数</w:t>
            </w:r>
          </w:p>
        </w:tc>
        <w:tc>
          <w:tcPr>
            <w:tcW w:w="2268" w:type="dxa"/>
            <w:vAlign w:val="center"/>
          </w:tcPr>
          <w:p>
            <w:pPr>
              <w:pStyle w:val="13"/>
            </w:pPr>
            <w:r>
              <w:t>≥1次</w:t>
            </w:r>
          </w:p>
        </w:tc>
        <w:tc>
          <w:tcPr>
            <w:tcW w:w="1276" w:type="dxa"/>
            <w:vAlign w:val="center"/>
          </w:tcPr>
          <w:p>
            <w:pPr>
              <w:pStyle w:val="13"/>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干净整洁比例</w:t>
            </w:r>
          </w:p>
        </w:tc>
        <w:tc>
          <w:tcPr>
            <w:tcW w:w="5386" w:type="dxa"/>
            <w:vAlign w:val="center"/>
          </w:tcPr>
          <w:p>
            <w:pPr>
              <w:pStyle w:val="13"/>
            </w:pPr>
            <w:r>
              <w:t>干净整洁比例</w:t>
            </w:r>
          </w:p>
        </w:tc>
        <w:tc>
          <w:tcPr>
            <w:tcW w:w="2268" w:type="dxa"/>
            <w:vAlign w:val="center"/>
          </w:tcPr>
          <w:p>
            <w:pPr>
              <w:pStyle w:val="13"/>
            </w:pPr>
            <w:r>
              <w:t>≥95%</w:t>
            </w:r>
          </w:p>
        </w:tc>
        <w:tc>
          <w:tcPr>
            <w:tcW w:w="1276" w:type="dxa"/>
            <w:vAlign w:val="center"/>
          </w:tcPr>
          <w:p>
            <w:pPr>
              <w:pStyle w:val="13"/>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按时完成清扫及时率</w:t>
            </w:r>
          </w:p>
        </w:tc>
        <w:tc>
          <w:tcPr>
            <w:tcW w:w="5386" w:type="dxa"/>
            <w:vAlign w:val="center"/>
          </w:tcPr>
          <w:p>
            <w:pPr>
              <w:pStyle w:val="13"/>
            </w:pPr>
            <w:r>
              <w:t>按时完成清扫及时率</w:t>
            </w:r>
          </w:p>
        </w:tc>
        <w:tc>
          <w:tcPr>
            <w:tcW w:w="2268" w:type="dxa"/>
            <w:vAlign w:val="center"/>
          </w:tcPr>
          <w:p>
            <w:pPr>
              <w:pStyle w:val="13"/>
            </w:pPr>
            <w:r>
              <w:t>≥95%</w:t>
            </w:r>
          </w:p>
        </w:tc>
        <w:tc>
          <w:tcPr>
            <w:tcW w:w="1276" w:type="dxa"/>
            <w:vAlign w:val="center"/>
          </w:tcPr>
          <w:p>
            <w:pPr>
              <w:pStyle w:val="13"/>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实际支付占预算比例</w:t>
            </w:r>
          </w:p>
        </w:tc>
        <w:tc>
          <w:tcPr>
            <w:tcW w:w="5386" w:type="dxa"/>
            <w:vAlign w:val="center"/>
          </w:tcPr>
          <w:p>
            <w:pPr>
              <w:pStyle w:val="13"/>
            </w:pPr>
            <w:r>
              <w:t>实际支付占预算比例</w:t>
            </w:r>
          </w:p>
        </w:tc>
        <w:tc>
          <w:tcPr>
            <w:tcW w:w="2268" w:type="dxa"/>
            <w:vAlign w:val="center"/>
          </w:tcPr>
          <w:p>
            <w:pPr>
              <w:pStyle w:val="13"/>
            </w:pPr>
            <w:r>
              <w:t>≤100%</w:t>
            </w:r>
          </w:p>
        </w:tc>
        <w:tc>
          <w:tcPr>
            <w:tcW w:w="1276" w:type="dxa"/>
            <w:vAlign w:val="center"/>
          </w:tcPr>
          <w:p>
            <w:pPr>
              <w:pStyle w:val="13"/>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保障各科室正常工作比例</w:t>
            </w:r>
          </w:p>
        </w:tc>
        <w:tc>
          <w:tcPr>
            <w:tcW w:w="2268" w:type="dxa"/>
            <w:vAlign w:val="center"/>
          </w:tcPr>
          <w:p>
            <w:pPr>
              <w:pStyle w:val="13"/>
            </w:pPr>
            <w:r>
              <w:t>≥95%</w:t>
            </w:r>
          </w:p>
        </w:tc>
        <w:tc>
          <w:tcPr>
            <w:tcW w:w="1276" w:type="dxa"/>
            <w:vAlign w:val="center"/>
          </w:tcPr>
          <w:p>
            <w:pPr>
              <w:pStyle w:val="13"/>
            </w:pPr>
            <w:r>
              <w:t>根据《保洁费用请示》的批示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2、报刊征订费绩效目标表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13018326P00032810532K</w:t>
            </w:r>
          </w:p>
        </w:tc>
        <w:tc>
          <w:tcPr>
            <w:tcW w:w="2835" w:type="dxa"/>
            <w:vAlign w:val="center"/>
          </w:tcPr>
          <w:p>
            <w:pPr>
              <w:pStyle w:val="11"/>
            </w:pPr>
            <w:r>
              <w:t>项目名称</w:t>
            </w:r>
          </w:p>
        </w:tc>
        <w:tc>
          <w:tcPr>
            <w:tcW w:w="6095" w:type="dxa"/>
            <w:gridSpan w:val="3"/>
            <w:vAlign w:val="center"/>
          </w:tcPr>
          <w:p>
            <w:pPr>
              <w:pStyle w:val="13"/>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用于支付报刊等支出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1.用于做好机关报刊征订工作，使各科室能够及时学习党和国家政策方针。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征订完成率</w:t>
            </w:r>
          </w:p>
        </w:tc>
        <w:tc>
          <w:tcPr>
            <w:tcW w:w="5386" w:type="dxa"/>
            <w:vAlign w:val="center"/>
          </w:tcPr>
          <w:p>
            <w:pPr>
              <w:pStyle w:val="13"/>
            </w:pPr>
            <w:r>
              <w:t>实际报刊征订数量占计划征订比例</w:t>
            </w:r>
          </w:p>
        </w:tc>
        <w:tc>
          <w:tcPr>
            <w:tcW w:w="2268" w:type="dxa"/>
            <w:vAlign w:val="center"/>
          </w:tcPr>
          <w:p>
            <w:pPr>
              <w:pStyle w:val="13"/>
            </w:pPr>
            <w:r>
              <w:t>≥95%</w:t>
            </w:r>
          </w:p>
        </w:tc>
        <w:tc>
          <w:tcPr>
            <w:tcW w:w="1276" w:type="dxa"/>
            <w:vAlign w:val="center"/>
          </w:tcPr>
          <w:p>
            <w:pPr>
              <w:pStyle w:val="13"/>
            </w:pPr>
            <w:r>
              <w:t>根据工作完成情况</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报刊利用率</w:t>
            </w:r>
          </w:p>
        </w:tc>
        <w:tc>
          <w:tcPr>
            <w:tcW w:w="5386" w:type="dxa"/>
            <w:vAlign w:val="center"/>
          </w:tcPr>
          <w:p>
            <w:pPr>
              <w:pStyle w:val="13"/>
            </w:pPr>
            <w:r>
              <w:t>各科室报刊使用率</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征订及时率</w:t>
            </w:r>
          </w:p>
        </w:tc>
        <w:tc>
          <w:tcPr>
            <w:tcW w:w="5386" w:type="dxa"/>
            <w:vAlign w:val="center"/>
          </w:tcPr>
          <w:p>
            <w:pPr>
              <w:pStyle w:val="13"/>
            </w:pPr>
            <w:r>
              <w:t>征订及时率</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实施成本占预算成本比例</w:t>
            </w:r>
          </w:p>
        </w:tc>
        <w:tc>
          <w:tcPr>
            <w:tcW w:w="5386" w:type="dxa"/>
            <w:vAlign w:val="center"/>
          </w:tcPr>
          <w:p>
            <w:pPr>
              <w:pStyle w:val="13"/>
            </w:pPr>
            <w:r>
              <w:t>实施成本占预算成本比例</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党报党刊发放率</w:t>
            </w:r>
          </w:p>
        </w:tc>
        <w:tc>
          <w:tcPr>
            <w:tcW w:w="5386" w:type="dxa"/>
            <w:vAlign w:val="center"/>
          </w:tcPr>
          <w:p>
            <w:pPr>
              <w:pStyle w:val="13"/>
            </w:pPr>
            <w:r>
              <w:t>党报党刊发放率</w:t>
            </w:r>
          </w:p>
        </w:tc>
        <w:tc>
          <w:tcPr>
            <w:tcW w:w="2268" w:type="dxa"/>
            <w:vAlign w:val="center"/>
          </w:tcPr>
          <w:p>
            <w:pPr>
              <w:pStyle w:val="13"/>
            </w:pPr>
            <w:r>
              <w:t>≥95%</w:t>
            </w:r>
          </w:p>
        </w:tc>
        <w:tc>
          <w:tcPr>
            <w:tcW w:w="1276" w:type="dxa"/>
            <w:vAlign w:val="center"/>
          </w:tcPr>
          <w:p>
            <w:pPr>
              <w:pStyle w:val="13"/>
            </w:pPr>
            <w:r>
              <w:t>根据工作完成情况</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3、场地、其他交通、网络、固话租赁费绩效目标表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13018326P00032810542F</w:t>
            </w:r>
          </w:p>
        </w:tc>
        <w:tc>
          <w:tcPr>
            <w:tcW w:w="2835" w:type="dxa"/>
            <w:vAlign w:val="center"/>
          </w:tcPr>
          <w:p>
            <w:pPr>
              <w:pStyle w:val="11"/>
            </w:pPr>
            <w:r>
              <w:t>项目名称</w:t>
            </w:r>
          </w:p>
        </w:tc>
        <w:tc>
          <w:tcPr>
            <w:tcW w:w="6095" w:type="dxa"/>
            <w:gridSpan w:val="3"/>
            <w:vAlign w:val="center"/>
          </w:tcPr>
          <w:p>
            <w:pPr>
              <w:pStyle w:val="13"/>
            </w:pPr>
            <w:r>
              <w:t>场地、其他交通、网络、固话租赁费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46.65</w:t>
            </w:r>
          </w:p>
        </w:tc>
        <w:tc>
          <w:tcPr>
            <w:tcW w:w="2835" w:type="dxa"/>
            <w:vAlign w:val="center"/>
          </w:tcPr>
          <w:p>
            <w:pPr>
              <w:pStyle w:val="11"/>
            </w:pPr>
            <w:r>
              <w:t>其中：财政    资金</w:t>
            </w:r>
          </w:p>
        </w:tc>
        <w:tc>
          <w:tcPr>
            <w:tcW w:w="2551" w:type="dxa"/>
            <w:vAlign w:val="center"/>
          </w:tcPr>
          <w:p>
            <w:pPr>
              <w:pStyle w:val="13"/>
            </w:pPr>
            <w:r>
              <w:t>46.65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用于支付召开会议场地租赁、单位固话网络等租赁费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1.及时缴纳各项租赁费，保障办公室工作正常运行。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实际缴纳数量占应缴数量比例</w:t>
            </w:r>
          </w:p>
        </w:tc>
        <w:tc>
          <w:tcPr>
            <w:tcW w:w="5386" w:type="dxa"/>
            <w:vAlign w:val="center"/>
          </w:tcPr>
          <w:p>
            <w:pPr>
              <w:pStyle w:val="13"/>
            </w:pPr>
            <w:r>
              <w:t>实际缴纳数量占应缴数量比例</w:t>
            </w:r>
          </w:p>
        </w:tc>
        <w:tc>
          <w:tcPr>
            <w:tcW w:w="2268" w:type="dxa"/>
            <w:vAlign w:val="center"/>
          </w:tcPr>
          <w:p>
            <w:pPr>
              <w:pStyle w:val="13"/>
            </w:pPr>
            <w:r>
              <w:t>≥98%</w:t>
            </w:r>
          </w:p>
        </w:tc>
        <w:tc>
          <w:tcPr>
            <w:tcW w:w="1276" w:type="dxa"/>
            <w:vAlign w:val="center"/>
          </w:tcPr>
          <w:p>
            <w:pPr>
              <w:pStyle w:val="13"/>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线路正常运转比例</w:t>
            </w:r>
          </w:p>
        </w:tc>
        <w:tc>
          <w:tcPr>
            <w:tcW w:w="5386" w:type="dxa"/>
            <w:vAlign w:val="center"/>
          </w:tcPr>
          <w:p>
            <w:pPr>
              <w:pStyle w:val="13"/>
            </w:pPr>
            <w:r>
              <w:t>线路正常运转比例</w:t>
            </w:r>
          </w:p>
        </w:tc>
        <w:tc>
          <w:tcPr>
            <w:tcW w:w="2268" w:type="dxa"/>
            <w:vAlign w:val="center"/>
          </w:tcPr>
          <w:p>
            <w:pPr>
              <w:pStyle w:val="13"/>
            </w:pPr>
            <w:r>
              <w:t>≥98%</w:t>
            </w:r>
          </w:p>
        </w:tc>
        <w:tc>
          <w:tcPr>
            <w:tcW w:w="1276" w:type="dxa"/>
            <w:vAlign w:val="center"/>
          </w:tcPr>
          <w:p>
            <w:pPr>
              <w:pStyle w:val="13"/>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及时缴纳比例</w:t>
            </w:r>
          </w:p>
        </w:tc>
        <w:tc>
          <w:tcPr>
            <w:tcW w:w="5386" w:type="dxa"/>
            <w:vAlign w:val="center"/>
          </w:tcPr>
          <w:p>
            <w:pPr>
              <w:pStyle w:val="13"/>
            </w:pPr>
            <w:r>
              <w:t>及时缴纳比例</w:t>
            </w:r>
          </w:p>
        </w:tc>
        <w:tc>
          <w:tcPr>
            <w:tcW w:w="2268" w:type="dxa"/>
            <w:vAlign w:val="center"/>
          </w:tcPr>
          <w:p>
            <w:pPr>
              <w:pStyle w:val="13"/>
            </w:pPr>
            <w:r>
              <w:t>≥98%</w:t>
            </w:r>
          </w:p>
        </w:tc>
        <w:tc>
          <w:tcPr>
            <w:tcW w:w="1276" w:type="dxa"/>
            <w:vAlign w:val="center"/>
          </w:tcPr>
          <w:p>
            <w:pPr>
              <w:pStyle w:val="13"/>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运行成本占预算比例</w:t>
            </w:r>
          </w:p>
        </w:tc>
        <w:tc>
          <w:tcPr>
            <w:tcW w:w="5386" w:type="dxa"/>
            <w:vAlign w:val="center"/>
          </w:tcPr>
          <w:p>
            <w:pPr>
              <w:pStyle w:val="13"/>
            </w:pPr>
            <w:r>
              <w:t>运行成本占预算比例</w:t>
            </w:r>
          </w:p>
        </w:tc>
        <w:tc>
          <w:tcPr>
            <w:tcW w:w="2268" w:type="dxa"/>
            <w:vAlign w:val="center"/>
          </w:tcPr>
          <w:p>
            <w:pPr>
              <w:pStyle w:val="13"/>
            </w:pPr>
            <w:r>
              <w:t>≤100%</w:t>
            </w:r>
          </w:p>
        </w:tc>
        <w:tc>
          <w:tcPr>
            <w:tcW w:w="1276" w:type="dxa"/>
            <w:vAlign w:val="center"/>
          </w:tcPr>
          <w:p>
            <w:pPr>
              <w:pStyle w:val="13"/>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线路正常传输率</w:t>
            </w:r>
          </w:p>
        </w:tc>
        <w:tc>
          <w:tcPr>
            <w:tcW w:w="5386" w:type="dxa"/>
            <w:vAlign w:val="center"/>
          </w:tcPr>
          <w:p>
            <w:pPr>
              <w:pStyle w:val="13"/>
            </w:pPr>
            <w:r>
              <w:t>线路正常传输率</w:t>
            </w:r>
          </w:p>
        </w:tc>
        <w:tc>
          <w:tcPr>
            <w:tcW w:w="2268" w:type="dxa"/>
            <w:vAlign w:val="center"/>
          </w:tcPr>
          <w:p>
            <w:pPr>
              <w:pStyle w:val="13"/>
            </w:pPr>
            <w:r>
              <w:t>≥98%</w:t>
            </w:r>
          </w:p>
        </w:tc>
        <w:tc>
          <w:tcPr>
            <w:tcW w:w="1276" w:type="dxa"/>
            <w:vAlign w:val="center"/>
          </w:tcPr>
          <w:p>
            <w:pPr>
              <w:pStyle w:val="13"/>
            </w:pPr>
            <w:r>
              <w:t>根据《场地、其他交通费、网络、固话租赁费请示》的批示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4、法律顾问费绩效目标表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13018326P00032810534T</w:t>
            </w:r>
          </w:p>
        </w:tc>
        <w:tc>
          <w:tcPr>
            <w:tcW w:w="2835" w:type="dxa"/>
            <w:vAlign w:val="center"/>
          </w:tcPr>
          <w:p>
            <w:pPr>
              <w:pStyle w:val="11"/>
            </w:pPr>
            <w:r>
              <w:t>项目名称</w:t>
            </w:r>
          </w:p>
        </w:tc>
        <w:tc>
          <w:tcPr>
            <w:tcW w:w="6095" w:type="dxa"/>
            <w:gridSpan w:val="3"/>
            <w:vAlign w:val="center"/>
          </w:tcPr>
          <w:p>
            <w:pPr>
              <w:pStyle w:val="13"/>
            </w:pPr>
            <w:r>
              <w:t>法律顾问费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用于支付法律顾问费用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1.为提高依法服务能力，聘请专业法律顾问公司提供法律咨询服务。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完成任务比例</w:t>
            </w:r>
          </w:p>
        </w:tc>
        <w:tc>
          <w:tcPr>
            <w:tcW w:w="5386" w:type="dxa"/>
            <w:vAlign w:val="center"/>
          </w:tcPr>
          <w:p>
            <w:pPr>
              <w:pStyle w:val="13"/>
            </w:pPr>
            <w:r>
              <w:t>完成任务比例</w:t>
            </w:r>
          </w:p>
        </w:tc>
        <w:tc>
          <w:tcPr>
            <w:tcW w:w="2268" w:type="dxa"/>
            <w:vAlign w:val="center"/>
          </w:tcPr>
          <w:p>
            <w:pPr>
              <w:pStyle w:val="13"/>
            </w:pPr>
            <w:r>
              <w:t>≥98%</w:t>
            </w:r>
          </w:p>
        </w:tc>
        <w:tc>
          <w:tcPr>
            <w:tcW w:w="1276" w:type="dxa"/>
            <w:vAlign w:val="center"/>
          </w:tcPr>
          <w:p>
            <w:pPr>
              <w:pStyle w:val="13"/>
            </w:pPr>
            <w:r>
              <w:t>根据《法律顾问费请示》的批示</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提供法律建议解决实际问题比例</w:t>
            </w:r>
          </w:p>
        </w:tc>
        <w:tc>
          <w:tcPr>
            <w:tcW w:w="5386" w:type="dxa"/>
            <w:vAlign w:val="center"/>
          </w:tcPr>
          <w:p>
            <w:pPr>
              <w:pStyle w:val="13"/>
            </w:pPr>
            <w:r>
              <w:t>提供法律建议解决实际问题比例</w:t>
            </w:r>
          </w:p>
        </w:tc>
        <w:tc>
          <w:tcPr>
            <w:tcW w:w="2268" w:type="dxa"/>
            <w:vAlign w:val="center"/>
          </w:tcPr>
          <w:p>
            <w:pPr>
              <w:pStyle w:val="13"/>
            </w:pPr>
            <w:r>
              <w:t>≥98%</w:t>
            </w:r>
          </w:p>
        </w:tc>
        <w:tc>
          <w:tcPr>
            <w:tcW w:w="1276" w:type="dxa"/>
            <w:vAlign w:val="center"/>
          </w:tcPr>
          <w:p>
            <w:pPr>
              <w:pStyle w:val="13"/>
            </w:pPr>
            <w:r>
              <w:t>根据《法律顾问费请示》的批示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提供法律咨询及时率</w:t>
            </w:r>
          </w:p>
        </w:tc>
        <w:tc>
          <w:tcPr>
            <w:tcW w:w="5386" w:type="dxa"/>
            <w:vAlign w:val="center"/>
          </w:tcPr>
          <w:p>
            <w:pPr>
              <w:pStyle w:val="13"/>
            </w:pPr>
            <w:r>
              <w:t>提供法律咨询及时率</w:t>
            </w:r>
          </w:p>
        </w:tc>
        <w:tc>
          <w:tcPr>
            <w:tcW w:w="2268" w:type="dxa"/>
            <w:vAlign w:val="center"/>
          </w:tcPr>
          <w:p>
            <w:pPr>
              <w:pStyle w:val="13"/>
            </w:pPr>
            <w:r>
              <w:t>≥98%</w:t>
            </w:r>
          </w:p>
        </w:tc>
        <w:tc>
          <w:tcPr>
            <w:tcW w:w="1276" w:type="dxa"/>
            <w:vAlign w:val="center"/>
          </w:tcPr>
          <w:p>
            <w:pPr>
              <w:pStyle w:val="13"/>
            </w:pPr>
            <w:r>
              <w:t>根据《法律顾问费请示》的批示</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实际支付占预算比例</w:t>
            </w:r>
          </w:p>
        </w:tc>
        <w:tc>
          <w:tcPr>
            <w:tcW w:w="5386" w:type="dxa"/>
            <w:vAlign w:val="center"/>
          </w:tcPr>
          <w:p>
            <w:pPr>
              <w:pStyle w:val="13"/>
            </w:pPr>
            <w:r>
              <w:t>实际支付占预算比例</w:t>
            </w:r>
          </w:p>
        </w:tc>
        <w:tc>
          <w:tcPr>
            <w:tcW w:w="2268" w:type="dxa"/>
            <w:vAlign w:val="center"/>
          </w:tcPr>
          <w:p>
            <w:pPr>
              <w:pStyle w:val="13"/>
            </w:pPr>
            <w:r>
              <w:t>≤100%</w:t>
            </w:r>
          </w:p>
        </w:tc>
        <w:tc>
          <w:tcPr>
            <w:tcW w:w="1276" w:type="dxa"/>
            <w:vAlign w:val="center"/>
          </w:tcPr>
          <w:p>
            <w:pPr>
              <w:pStyle w:val="13"/>
            </w:pPr>
            <w:r>
              <w:t>根据《法律顾问费请示》的批示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法律知识获得率</w:t>
            </w:r>
          </w:p>
        </w:tc>
        <w:tc>
          <w:tcPr>
            <w:tcW w:w="5386" w:type="dxa"/>
            <w:vAlign w:val="center"/>
          </w:tcPr>
          <w:p>
            <w:pPr>
              <w:pStyle w:val="13"/>
            </w:pPr>
            <w:r>
              <w:t>法律知识获得率</w:t>
            </w:r>
          </w:p>
        </w:tc>
        <w:tc>
          <w:tcPr>
            <w:tcW w:w="2268" w:type="dxa"/>
            <w:vAlign w:val="center"/>
          </w:tcPr>
          <w:p>
            <w:pPr>
              <w:pStyle w:val="13"/>
            </w:pPr>
            <w:r>
              <w:t>≥98%</w:t>
            </w:r>
          </w:p>
        </w:tc>
        <w:tc>
          <w:tcPr>
            <w:tcW w:w="1276" w:type="dxa"/>
            <w:vAlign w:val="center"/>
          </w:tcPr>
          <w:p>
            <w:pPr>
              <w:pStyle w:val="13"/>
            </w:pPr>
            <w:r>
              <w:t>根据《法律顾问费请示》的批示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5、工作督导办公经费绩效目标表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13018326P00032810535E</w:t>
            </w:r>
          </w:p>
        </w:tc>
        <w:tc>
          <w:tcPr>
            <w:tcW w:w="2835" w:type="dxa"/>
            <w:vAlign w:val="center"/>
          </w:tcPr>
          <w:p>
            <w:pPr>
              <w:pStyle w:val="11"/>
            </w:pPr>
            <w:r>
              <w:t>项目名称</w:t>
            </w:r>
          </w:p>
        </w:tc>
        <w:tc>
          <w:tcPr>
            <w:tcW w:w="6095" w:type="dxa"/>
            <w:gridSpan w:val="3"/>
            <w:vAlign w:val="center"/>
          </w:tcPr>
          <w:p>
            <w:pPr>
              <w:pStyle w:val="13"/>
            </w:pPr>
            <w:r>
              <w:t>工作督导办公经费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用于支出工作督导等费用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1.为进一步提高我办督导工作能力，为相关人员提供学习、办公及其他工作保障经费。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专项资金使用率</w:t>
            </w:r>
          </w:p>
        </w:tc>
        <w:tc>
          <w:tcPr>
            <w:tcW w:w="5386" w:type="dxa"/>
            <w:vAlign w:val="center"/>
          </w:tcPr>
          <w:p>
            <w:pPr>
              <w:pStyle w:val="13"/>
            </w:pPr>
            <w:r>
              <w:t>用于督导检查资金的使用率</w:t>
            </w:r>
          </w:p>
        </w:tc>
        <w:tc>
          <w:tcPr>
            <w:tcW w:w="2268" w:type="dxa"/>
            <w:vAlign w:val="center"/>
          </w:tcPr>
          <w:p>
            <w:pPr>
              <w:pStyle w:val="13"/>
            </w:pPr>
            <w:r>
              <w:t>≥98%</w:t>
            </w:r>
          </w:p>
        </w:tc>
        <w:tc>
          <w:tcPr>
            <w:tcW w:w="1276" w:type="dxa"/>
            <w:vAlign w:val="center"/>
          </w:tcPr>
          <w:p>
            <w:pPr>
              <w:pStyle w:val="13"/>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相关物品合格率</w:t>
            </w:r>
          </w:p>
        </w:tc>
        <w:tc>
          <w:tcPr>
            <w:tcW w:w="5386" w:type="dxa"/>
            <w:vAlign w:val="center"/>
          </w:tcPr>
          <w:p>
            <w:pPr>
              <w:pStyle w:val="13"/>
            </w:pPr>
            <w:r>
              <w:t>用于学习、工作等资料的合格率</w:t>
            </w:r>
          </w:p>
        </w:tc>
        <w:tc>
          <w:tcPr>
            <w:tcW w:w="2268" w:type="dxa"/>
            <w:vAlign w:val="center"/>
          </w:tcPr>
          <w:p>
            <w:pPr>
              <w:pStyle w:val="13"/>
            </w:pPr>
            <w:r>
              <w:t>≥98%</w:t>
            </w:r>
          </w:p>
        </w:tc>
        <w:tc>
          <w:tcPr>
            <w:tcW w:w="1276" w:type="dxa"/>
            <w:vAlign w:val="center"/>
          </w:tcPr>
          <w:p>
            <w:pPr>
              <w:pStyle w:val="13"/>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督导及时率</w:t>
            </w:r>
          </w:p>
        </w:tc>
        <w:tc>
          <w:tcPr>
            <w:tcW w:w="5386" w:type="dxa"/>
            <w:vAlign w:val="center"/>
          </w:tcPr>
          <w:p>
            <w:pPr>
              <w:pStyle w:val="13"/>
            </w:pPr>
            <w:r>
              <w:t>督导及时率</w:t>
            </w:r>
          </w:p>
        </w:tc>
        <w:tc>
          <w:tcPr>
            <w:tcW w:w="2268" w:type="dxa"/>
            <w:vAlign w:val="center"/>
          </w:tcPr>
          <w:p>
            <w:pPr>
              <w:pStyle w:val="13"/>
            </w:pPr>
            <w:r>
              <w:t>≥95%</w:t>
            </w:r>
          </w:p>
        </w:tc>
        <w:tc>
          <w:tcPr>
            <w:tcW w:w="1276" w:type="dxa"/>
            <w:vAlign w:val="center"/>
          </w:tcPr>
          <w:p>
            <w:pPr>
              <w:pStyle w:val="13"/>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资金使用率</w:t>
            </w:r>
          </w:p>
        </w:tc>
        <w:tc>
          <w:tcPr>
            <w:tcW w:w="5386" w:type="dxa"/>
            <w:vAlign w:val="center"/>
          </w:tcPr>
          <w:p>
            <w:pPr>
              <w:pStyle w:val="13"/>
            </w:pPr>
            <w:r>
              <w:t>支出数额占预算数的比例</w:t>
            </w:r>
          </w:p>
        </w:tc>
        <w:tc>
          <w:tcPr>
            <w:tcW w:w="2268" w:type="dxa"/>
            <w:vAlign w:val="center"/>
          </w:tcPr>
          <w:p>
            <w:pPr>
              <w:pStyle w:val="13"/>
            </w:pPr>
            <w:r>
              <w:t>≤100%</w:t>
            </w:r>
          </w:p>
        </w:tc>
        <w:tc>
          <w:tcPr>
            <w:tcW w:w="1276" w:type="dxa"/>
            <w:vAlign w:val="center"/>
          </w:tcPr>
          <w:p>
            <w:pPr>
              <w:pStyle w:val="13"/>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长期提升能力效果</w:t>
            </w:r>
          </w:p>
        </w:tc>
        <w:tc>
          <w:tcPr>
            <w:tcW w:w="5386" w:type="dxa"/>
            <w:vAlign w:val="center"/>
          </w:tcPr>
          <w:p>
            <w:pPr>
              <w:pStyle w:val="13"/>
            </w:pPr>
            <w:r>
              <w:t>长期提升能力效果</w:t>
            </w:r>
          </w:p>
        </w:tc>
        <w:tc>
          <w:tcPr>
            <w:tcW w:w="2268" w:type="dxa"/>
            <w:vAlign w:val="center"/>
          </w:tcPr>
          <w:p>
            <w:pPr>
              <w:pStyle w:val="13"/>
            </w:pPr>
            <w:r>
              <w:t>≥95%</w:t>
            </w:r>
          </w:p>
        </w:tc>
        <w:tc>
          <w:tcPr>
            <w:tcW w:w="1276" w:type="dxa"/>
            <w:vAlign w:val="center"/>
          </w:tcPr>
          <w:p>
            <w:pPr>
              <w:pStyle w:val="13"/>
            </w:pPr>
            <w:r>
              <w:t>根据《工作督导办公经费请示》的批示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13018326P000328105362</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128.11</w:t>
            </w:r>
          </w:p>
        </w:tc>
        <w:tc>
          <w:tcPr>
            <w:tcW w:w="2835" w:type="dxa"/>
            <w:vAlign w:val="center"/>
          </w:tcPr>
          <w:p>
            <w:pPr>
              <w:pStyle w:val="11"/>
            </w:pPr>
            <w:r>
              <w:t>其中：财政    资金</w:t>
            </w:r>
          </w:p>
        </w:tc>
        <w:tc>
          <w:tcPr>
            <w:tcW w:w="2551" w:type="dxa"/>
            <w:vAlign w:val="center"/>
          </w:tcPr>
          <w:p>
            <w:pPr>
              <w:pStyle w:val="13"/>
            </w:pPr>
            <w:r>
              <w:t>128.11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用于支付劳务派遣、安保人员费用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1.为保障机关安全，提升辅助岗位工作能力，聘请劳务派遣人员和保安人员。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巡逻次数</w:t>
            </w:r>
          </w:p>
        </w:tc>
        <w:tc>
          <w:tcPr>
            <w:tcW w:w="5386" w:type="dxa"/>
            <w:vAlign w:val="center"/>
          </w:tcPr>
          <w:p>
            <w:pPr>
              <w:pStyle w:val="13"/>
            </w:pPr>
            <w:r>
              <w:t>每天巡逻次数</w:t>
            </w:r>
          </w:p>
        </w:tc>
        <w:tc>
          <w:tcPr>
            <w:tcW w:w="2268" w:type="dxa"/>
            <w:vAlign w:val="center"/>
          </w:tcPr>
          <w:p>
            <w:pPr>
              <w:pStyle w:val="13"/>
            </w:pPr>
            <w:r>
              <w:t>≥1次</w:t>
            </w:r>
          </w:p>
        </w:tc>
        <w:tc>
          <w:tcPr>
            <w:tcW w:w="1276" w:type="dxa"/>
            <w:vAlign w:val="center"/>
          </w:tcPr>
          <w:p>
            <w:pPr>
              <w:pStyle w:val="13"/>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≥98%</w:t>
            </w:r>
          </w:p>
        </w:tc>
        <w:tc>
          <w:tcPr>
            <w:tcW w:w="1276" w:type="dxa"/>
            <w:vAlign w:val="center"/>
          </w:tcPr>
          <w:p>
            <w:pPr>
              <w:pStyle w:val="13"/>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保障安全及时率</w:t>
            </w:r>
          </w:p>
        </w:tc>
        <w:tc>
          <w:tcPr>
            <w:tcW w:w="2268" w:type="dxa"/>
            <w:vAlign w:val="center"/>
          </w:tcPr>
          <w:p>
            <w:pPr>
              <w:pStyle w:val="13"/>
            </w:pPr>
            <w:r>
              <w:t>≥98%</w:t>
            </w:r>
          </w:p>
        </w:tc>
        <w:tc>
          <w:tcPr>
            <w:tcW w:w="1276" w:type="dxa"/>
            <w:vAlign w:val="center"/>
          </w:tcPr>
          <w:p>
            <w:pPr>
              <w:pStyle w:val="13"/>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实施成本占预算比例</w:t>
            </w:r>
          </w:p>
        </w:tc>
        <w:tc>
          <w:tcPr>
            <w:tcW w:w="5386" w:type="dxa"/>
            <w:vAlign w:val="center"/>
          </w:tcPr>
          <w:p>
            <w:pPr>
              <w:pStyle w:val="13"/>
            </w:pPr>
            <w:r>
              <w:t>实施成本占预算比例</w:t>
            </w:r>
          </w:p>
        </w:tc>
        <w:tc>
          <w:tcPr>
            <w:tcW w:w="2268" w:type="dxa"/>
            <w:vAlign w:val="center"/>
          </w:tcPr>
          <w:p>
            <w:pPr>
              <w:pStyle w:val="13"/>
            </w:pPr>
            <w:r>
              <w:t>≤100%</w:t>
            </w:r>
          </w:p>
        </w:tc>
        <w:tc>
          <w:tcPr>
            <w:tcW w:w="1276" w:type="dxa"/>
            <w:vAlign w:val="center"/>
          </w:tcPr>
          <w:p>
            <w:pPr>
              <w:pStyle w:val="13"/>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服务岗位出勤率</w:t>
            </w:r>
          </w:p>
        </w:tc>
        <w:tc>
          <w:tcPr>
            <w:tcW w:w="2268" w:type="dxa"/>
            <w:vAlign w:val="center"/>
          </w:tcPr>
          <w:p>
            <w:pPr>
              <w:pStyle w:val="13"/>
            </w:pPr>
            <w:r>
              <w:t>≥98%</w:t>
            </w:r>
          </w:p>
        </w:tc>
        <w:tc>
          <w:tcPr>
            <w:tcW w:w="1276" w:type="dxa"/>
            <w:vAlign w:val="center"/>
          </w:tcPr>
          <w:p>
            <w:pPr>
              <w:pStyle w:val="13"/>
            </w:pPr>
            <w:r>
              <w:t>根据《其他劳务派遣人员请示》的批示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7、食堂外包服务绩效目标表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13018326P00032810537M</w:t>
            </w:r>
          </w:p>
        </w:tc>
        <w:tc>
          <w:tcPr>
            <w:tcW w:w="2835" w:type="dxa"/>
            <w:vAlign w:val="center"/>
          </w:tcPr>
          <w:p>
            <w:pPr>
              <w:pStyle w:val="11"/>
            </w:pPr>
            <w:r>
              <w:t>项目名称</w:t>
            </w:r>
          </w:p>
        </w:tc>
        <w:tc>
          <w:tcPr>
            <w:tcW w:w="6095" w:type="dxa"/>
            <w:gridSpan w:val="3"/>
            <w:vAlign w:val="center"/>
          </w:tcPr>
          <w:p>
            <w:pPr>
              <w:pStyle w:val="13"/>
            </w:pPr>
            <w:r>
              <w:t>食堂外包服务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用于支付食堂费用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1.为做好机关干部职工工勤保障工作，提高专业化管理，确保食品安全。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实际支出数占预算总数的比例</w:t>
            </w:r>
          </w:p>
        </w:tc>
        <w:tc>
          <w:tcPr>
            <w:tcW w:w="5386" w:type="dxa"/>
            <w:vAlign w:val="center"/>
          </w:tcPr>
          <w:p>
            <w:pPr>
              <w:pStyle w:val="13"/>
            </w:pPr>
            <w:r>
              <w:t>实际支出数占预算总数的比例</w:t>
            </w:r>
          </w:p>
        </w:tc>
        <w:tc>
          <w:tcPr>
            <w:tcW w:w="2268" w:type="dxa"/>
            <w:vAlign w:val="center"/>
          </w:tcPr>
          <w:p>
            <w:pPr>
              <w:pStyle w:val="13"/>
            </w:pPr>
            <w:r>
              <w:t>≥98%</w:t>
            </w:r>
          </w:p>
        </w:tc>
        <w:tc>
          <w:tcPr>
            <w:tcW w:w="1276" w:type="dxa"/>
            <w:vAlign w:val="center"/>
          </w:tcPr>
          <w:p>
            <w:pPr>
              <w:pStyle w:val="13"/>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饭菜质量合格率</w:t>
            </w:r>
          </w:p>
        </w:tc>
        <w:tc>
          <w:tcPr>
            <w:tcW w:w="2268" w:type="dxa"/>
            <w:vAlign w:val="center"/>
          </w:tcPr>
          <w:p>
            <w:pPr>
              <w:pStyle w:val="13"/>
            </w:pPr>
            <w:r>
              <w:t>100%</w:t>
            </w:r>
          </w:p>
        </w:tc>
        <w:tc>
          <w:tcPr>
            <w:tcW w:w="1276" w:type="dxa"/>
            <w:vAlign w:val="center"/>
          </w:tcPr>
          <w:p>
            <w:pPr>
              <w:pStyle w:val="13"/>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后勤服务保障率</w:t>
            </w:r>
          </w:p>
        </w:tc>
        <w:tc>
          <w:tcPr>
            <w:tcW w:w="5386" w:type="dxa"/>
            <w:vAlign w:val="center"/>
          </w:tcPr>
          <w:p>
            <w:pPr>
              <w:pStyle w:val="13"/>
            </w:pPr>
            <w:r>
              <w:t>后勤服务保障率</w:t>
            </w:r>
          </w:p>
        </w:tc>
        <w:tc>
          <w:tcPr>
            <w:tcW w:w="2268" w:type="dxa"/>
            <w:vAlign w:val="center"/>
          </w:tcPr>
          <w:p>
            <w:pPr>
              <w:pStyle w:val="13"/>
            </w:pPr>
            <w:r>
              <w:t>≥98%</w:t>
            </w:r>
          </w:p>
        </w:tc>
        <w:tc>
          <w:tcPr>
            <w:tcW w:w="1276" w:type="dxa"/>
            <w:vAlign w:val="center"/>
          </w:tcPr>
          <w:p>
            <w:pPr>
              <w:pStyle w:val="13"/>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实际支付成本占预算成本比例</w:t>
            </w:r>
          </w:p>
        </w:tc>
        <w:tc>
          <w:tcPr>
            <w:tcW w:w="5386" w:type="dxa"/>
            <w:vAlign w:val="center"/>
          </w:tcPr>
          <w:p>
            <w:pPr>
              <w:pStyle w:val="13"/>
            </w:pPr>
            <w:r>
              <w:t>实际支付成本占预算成本比例</w:t>
            </w:r>
          </w:p>
        </w:tc>
        <w:tc>
          <w:tcPr>
            <w:tcW w:w="2268" w:type="dxa"/>
            <w:vAlign w:val="center"/>
          </w:tcPr>
          <w:p>
            <w:pPr>
              <w:pStyle w:val="13"/>
            </w:pPr>
            <w:r>
              <w:t>≤100%</w:t>
            </w:r>
          </w:p>
        </w:tc>
        <w:tc>
          <w:tcPr>
            <w:tcW w:w="1276" w:type="dxa"/>
            <w:vAlign w:val="center"/>
          </w:tcPr>
          <w:p>
            <w:pPr>
              <w:pStyle w:val="13"/>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提供优质服务</w:t>
            </w:r>
          </w:p>
        </w:tc>
        <w:tc>
          <w:tcPr>
            <w:tcW w:w="5386" w:type="dxa"/>
            <w:vAlign w:val="center"/>
          </w:tcPr>
          <w:p>
            <w:pPr>
              <w:pStyle w:val="13"/>
            </w:pPr>
            <w:r>
              <w:t>提供优质服务</w:t>
            </w:r>
          </w:p>
        </w:tc>
        <w:tc>
          <w:tcPr>
            <w:tcW w:w="2268" w:type="dxa"/>
            <w:vAlign w:val="center"/>
          </w:tcPr>
          <w:p>
            <w:pPr>
              <w:pStyle w:val="13"/>
            </w:pPr>
            <w:r>
              <w:t>≥95%</w:t>
            </w:r>
          </w:p>
        </w:tc>
        <w:tc>
          <w:tcPr>
            <w:tcW w:w="1276" w:type="dxa"/>
            <w:vAlign w:val="center"/>
          </w:tcPr>
          <w:p>
            <w:pPr>
              <w:pStyle w:val="13"/>
            </w:pPr>
            <w:r>
              <w:t>根据《机关食堂外包服务请示》的批示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8、水电费绩效目标表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13018326P000328105389</w:t>
            </w:r>
          </w:p>
        </w:tc>
        <w:tc>
          <w:tcPr>
            <w:tcW w:w="2835" w:type="dxa"/>
            <w:vAlign w:val="center"/>
          </w:tcPr>
          <w:p>
            <w:pPr>
              <w:pStyle w:val="11"/>
            </w:pPr>
            <w:r>
              <w:t>项目名称</w:t>
            </w:r>
          </w:p>
        </w:tc>
        <w:tc>
          <w:tcPr>
            <w:tcW w:w="6095" w:type="dxa"/>
            <w:gridSpan w:val="3"/>
            <w:vAlign w:val="center"/>
          </w:tcPr>
          <w:p>
            <w:pPr>
              <w:pStyle w:val="13"/>
            </w:pPr>
            <w:r>
              <w:t>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w:t>
            </w:r>
          </w:p>
        </w:tc>
        <w:tc>
          <w:tcPr>
            <w:tcW w:w="2835" w:type="dxa"/>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用于支付机关大院水电费支出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1.用于支付机关大院日常工作用水用电的费用，保障机关大院正常运转。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保障供给率</w:t>
            </w:r>
          </w:p>
        </w:tc>
        <w:tc>
          <w:tcPr>
            <w:tcW w:w="5386" w:type="dxa"/>
            <w:vAlign w:val="center"/>
          </w:tcPr>
          <w:p>
            <w:pPr>
              <w:pStyle w:val="13"/>
            </w:pPr>
            <w:r>
              <w:t>保障供给率</w:t>
            </w:r>
          </w:p>
        </w:tc>
        <w:tc>
          <w:tcPr>
            <w:tcW w:w="2268" w:type="dxa"/>
            <w:vAlign w:val="center"/>
          </w:tcPr>
          <w:p>
            <w:pPr>
              <w:pStyle w:val="13"/>
            </w:pPr>
            <w:r>
              <w:t>100%</w:t>
            </w:r>
          </w:p>
        </w:tc>
        <w:tc>
          <w:tcPr>
            <w:tcW w:w="1276" w:type="dxa"/>
            <w:vAlign w:val="center"/>
          </w:tcPr>
          <w:p>
            <w:pPr>
              <w:pStyle w:val="13"/>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≥98%</w:t>
            </w:r>
          </w:p>
        </w:tc>
        <w:tc>
          <w:tcPr>
            <w:tcW w:w="1276" w:type="dxa"/>
            <w:vAlign w:val="center"/>
          </w:tcPr>
          <w:p>
            <w:pPr>
              <w:pStyle w:val="13"/>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水电供应及时率</w:t>
            </w:r>
          </w:p>
        </w:tc>
        <w:tc>
          <w:tcPr>
            <w:tcW w:w="5386" w:type="dxa"/>
            <w:vAlign w:val="center"/>
          </w:tcPr>
          <w:p>
            <w:pPr>
              <w:pStyle w:val="13"/>
            </w:pPr>
            <w:r>
              <w:t>水电供应及时率</w:t>
            </w:r>
          </w:p>
        </w:tc>
        <w:tc>
          <w:tcPr>
            <w:tcW w:w="2268" w:type="dxa"/>
            <w:vAlign w:val="center"/>
          </w:tcPr>
          <w:p>
            <w:pPr>
              <w:pStyle w:val="13"/>
            </w:pPr>
            <w:r>
              <w:t>≥98%</w:t>
            </w:r>
          </w:p>
        </w:tc>
        <w:tc>
          <w:tcPr>
            <w:tcW w:w="1276" w:type="dxa"/>
            <w:vAlign w:val="center"/>
          </w:tcPr>
          <w:p>
            <w:pPr>
              <w:pStyle w:val="13"/>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实施成本占预算比例</w:t>
            </w:r>
          </w:p>
        </w:tc>
        <w:tc>
          <w:tcPr>
            <w:tcW w:w="5386" w:type="dxa"/>
            <w:vAlign w:val="center"/>
          </w:tcPr>
          <w:p>
            <w:pPr>
              <w:pStyle w:val="13"/>
            </w:pPr>
            <w:r>
              <w:t>实施成本占预算比例</w:t>
            </w:r>
          </w:p>
        </w:tc>
        <w:tc>
          <w:tcPr>
            <w:tcW w:w="2268" w:type="dxa"/>
            <w:vAlign w:val="center"/>
          </w:tcPr>
          <w:p>
            <w:pPr>
              <w:pStyle w:val="13"/>
            </w:pPr>
            <w:r>
              <w:t>≤100%</w:t>
            </w:r>
          </w:p>
        </w:tc>
        <w:tc>
          <w:tcPr>
            <w:tcW w:w="1276" w:type="dxa"/>
            <w:vAlign w:val="center"/>
          </w:tcPr>
          <w:p>
            <w:pPr>
              <w:pStyle w:val="13"/>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保障相关业务正常开展率</w:t>
            </w:r>
          </w:p>
        </w:tc>
        <w:tc>
          <w:tcPr>
            <w:tcW w:w="2268" w:type="dxa"/>
            <w:vAlign w:val="center"/>
          </w:tcPr>
          <w:p>
            <w:pPr>
              <w:pStyle w:val="13"/>
            </w:pPr>
            <w:r>
              <w:t>≥98%</w:t>
            </w:r>
          </w:p>
        </w:tc>
        <w:tc>
          <w:tcPr>
            <w:tcW w:w="1276" w:type="dxa"/>
            <w:vAlign w:val="center"/>
          </w:tcPr>
          <w:p>
            <w:pPr>
              <w:pStyle w:val="13"/>
            </w:pPr>
            <w:r>
              <w:t>根据《水电费项目请示》的批示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9、政府网站和机关大院维修维护费绩效目标表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13018326P00032810539W</w:t>
            </w:r>
          </w:p>
        </w:tc>
        <w:tc>
          <w:tcPr>
            <w:tcW w:w="2835" w:type="dxa"/>
            <w:vAlign w:val="center"/>
          </w:tcPr>
          <w:p>
            <w:pPr>
              <w:pStyle w:val="11"/>
            </w:pPr>
            <w:r>
              <w:t>项目名称</w:t>
            </w:r>
          </w:p>
        </w:tc>
        <w:tc>
          <w:tcPr>
            <w:tcW w:w="6095" w:type="dxa"/>
            <w:gridSpan w:val="3"/>
            <w:vAlign w:val="center"/>
          </w:tcPr>
          <w:p>
            <w:pPr>
              <w:pStyle w:val="13"/>
            </w:pPr>
            <w:r>
              <w:t>政府网站和机关大院维修维护费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用于支付机关大院维修维护费用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1.保障政府网站维护更新和机关大院各项设施完善，正常运转。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系统正常运行率</w:t>
            </w:r>
          </w:p>
        </w:tc>
        <w:tc>
          <w:tcPr>
            <w:tcW w:w="5386" w:type="dxa"/>
            <w:vAlign w:val="center"/>
          </w:tcPr>
          <w:p>
            <w:pPr>
              <w:pStyle w:val="13"/>
            </w:pPr>
            <w:r>
              <w:t>系统正常运行率</w:t>
            </w:r>
          </w:p>
        </w:tc>
        <w:tc>
          <w:tcPr>
            <w:tcW w:w="2268" w:type="dxa"/>
            <w:vAlign w:val="center"/>
          </w:tcPr>
          <w:p>
            <w:pPr>
              <w:pStyle w:val="13"/>
            </w:pPr>
            <w:r>
              <w:t>≥98%</w:t>
            </w:r>
          </w:p>
        </w:tc>
        <w:tc>
          <w:tcPr>
            <w:tcW w:w="1276" w:type="dxa"/>
            <w:vAlign w:val="center"/>
          </w:tcPr>
          <w:p>
            <w:pPr>
              <w:pStyle w:val="13"/>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系统升级运行合格率</w:t>
            </w:r>
          </w:p>
        </w:tc>
        <w:tc>
          <w:tcPr>
            <w:tcW w:w="5386" w:type="dxa"/>
            <w:vAlign w:val="center"/>
          </w:tcPr>
          <w:p>
            <w:pPr>
              <w:pStyle w:val="13"/>
            </w:pPr>
            <w:r>
              <w:t>系统升级运行合格率</w:t>
            </w:r>
          </w:p>
        </w:tc>
        <w:tc>
          <w:tcPr>
            <w:tcW w:w="2268" w:type="dxa"/>
            <w:vAlign w:val="center"/>
          </w:tcPr>
          <w:p>
            <w:pPr>
              <w:pStyle w:val="13"/>
            </w:pPr>
            <w:r>
              <w:t>≥98%</w:t>
            </w:r>
          </w:p>
        </w:tc>
        <w:tc>
          <w:tcPr>
            <w:tcW w:w="1276" w:type="dxa"/>
            <w:vAlign w:val="center"/>
          </w:tcPr>
          <w:p>
            <w:pPr>
              <w:pStyle w:val="13"/>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故障维护及时率</w:t>
            </w:r>
          </w:p>
        </w:tc>
        <w:tc>
          <w:tcPr>
            <w:tcW w:w="5386" w:type="dxa"/>
            <w:vAlign w:val="center"/>
          </w:tcPr>
          <w:p>
            <w:pPr>
              <w:pStyle w:val="13"/>
            </w:pPr>
            <w:r>
              <w:t>故障维护及时率</w:t>
            </w:r>
          </w:p>
        </w:tc>
        <w:tc>
          <w:tcPr>
            <w:tcW w:w="2268" w:type="dxa"/>
            <w:vAlign w:val="center"/>
          </w:tcPr>
          <w:p>
            <w:pPr>
              <w:pStyle w:val="13"/>
            </w:pPr>
            <w:r>
              <w:t>≥98%</w:t>
            </w:r>
          </w:p>
        </w:tc>
        <w:tc>
          <w:tcPr>
            <w:tcW w:w="1276" w:type="dxa"/>
            <w:vAlign w:val="center"/>
          </w:tcPr>
          <w:p>
            <w:pPr>
              <w:pStyle w:val="13"/>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实施成本占年初预算成本比例</w:t>
            </w:r>
          </w:p>
        </w:tc>
        <w:tc>
          <w:tcPr>
            <w:tcW w:w="5386" w:type="dxa"/>
            <w:vAlign w:val="center"/>
          </w:tcPr>
          <w:p>
            <w:pPr>
              <w:pStyle w:val="13"/>
            </w:pPr>
            <w:r>
              <w:t>实施成本占年初预算成本比例</w:t>
            </w:r>
          </w:p>
        </w:tc>
        <w:tc>
          <w:tcPr>
            <w:tcW w:w="2268" w:type="dxa"/>
            <w:vAlign w:val="center"/>
          </w:tcPr>
          <w:p>
            <w:pPr>
              <w:pStyle w:val="13"/>
            </w:pPr>
            <w:r>
              <w:t>≤100%</w:t>
            </w:r>
          </w:p>
        </w:tc>
        <w:tc>
          <w:tcPr>
            <w:tcW w:w="1276" w:type="dxa"/>
            <w:vAlign w:val="center"/>
          </w:tcPr>
          <w:p>
            <w:pPr>
              <w:pStyle w:val="13"/>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提供优质服务</w:t>
            </w:r>
          </w:p>
        </w:tc>
        <w:tc>
          <w:tcPr>
            <w:tcW w:w="5386" w:type="dxa"/>
            <w:vAlign w:val="center"/>
          </w:tcPr>
          <w:p>
            <w:pPr>
              <w:pStyle w:val="13"/>
            </w:pPr>
            <w:r>
              <w:t>提供优质服务</w:t>
            </w:r>
          </w:p>
        </w:tc>
        <w:tc>
          <w:tcPr>
            <w:tcW w:w="2268" w:type="dxa"/>
            <w:vAlign w:val="center"/>
          </w:tcPr>
          <w:p>
            <w:pPr>
              <w:pStyle w:val="13"/>
            </w:pPr>
            <w:r>
              <w:t>≥98%</w:t>
            </w:r>
          </w:p>
        </w:tc>
        <w:tc>
          <w:tcPr>
            <w:tcW w:w="1276" w:type="dxa"/>
            <w:vAlign w:val="center"/>
          </w:tcPr>
          <w:p>
            <w:pPr>
              <w:pStyle w:val="13"/>
            </w:pPr>
            <w:r>
              <w:t>根据《政府网站和机关大院维修维护费请示》的批示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10、政务公开市长热线金融监管经费绩效目标表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13018326P000328105433</w:t>
            </w:r>
          </w:p>
        </w:tc>
        <w:tc>
          <w:tcPr>
            <w:tcW w:w="2835" w:type="dxa"/>
            <w:vAlign w:val="center"/>
          </w:tcPr>
          <w:p>
            <w:pPr>
              <w:pStyle w:val="11"/>
            </w:pPr>
            <w:r>
              <w:t>项目名称</w:t>
            </w:r>
          </w:p>
        </w:tc>
        <w:tc>
          <w:tcPr>
            <w:tcW w:w="6095" w:type="dxa"/>
            <w:gridSpan w:val="3"/>
            <w:vAlign w:val="center"/>
          </w:tcPr>
          <w:p>
            <w:pPr>
              <w:pStyle w:val="13"/>
            </w:pPr>
            <w:r>
              <w:t>政务公开市长热线金融监管经费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32.70</w:t>
            </w:r>
          </w:p>
        </w:tc>
        <w:tc>
          <w:tcPr>
            <w:tcW w:w="2835" w:type="dxa"/>
            <w:vAlign w:val="center"/>
          </w:tcPr>
          <w:p>
            <w:pPr>
              <w:pStyle w:val="11"/>
            </w:pPr>
            <w:r>
              <w:t>其中：财政    资金</w:t>
            </w:r>
          </w:p>
        </w:tc>
        <w:tc>
          <w:tcPr>
            <w:tcW w:w="2551" w:type="dxa"/>
            <w:vAlign w:val="center"/>
          </w:tcPr>
          <w:p>
            <w:pPr>
              <w:pStyle w:val="13"/>
            </w:pPr>
            <w:r>
              <w:t>32.70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用于市长热线政务公开等办公费用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1.保障政务公开、市长热线工作、金融处非工作正常开展。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非法集资宣传覆盖率</w:t>
            </w:r>
          </w:p>
        </w:tc>
        <w:tc>
          <w:tcPr>
            <w:tcW w:w="5386" w:type="dxa"/>
            <w:vAlign w:val="center"/>
          </w:tcPr>
          <w:p>
            <w:pPr>
              <w:pStyle w:val="13"/>
            </w:pPr>
            <w:r>
              <w:t>接受非法集资宣传的市民占市民比率</w:t>
            </w:r>
          </w:p>
        </w:tc>
        <w:tc>
          <w:tcPr>
            <w:tcW w:w="2268" w:type="dxa"/>
            <w:vAlign w:val="center"/>
          </w:tcPr>
          <w:p>
            <w:pPr>
              <w:pStyle w:val="13"/>
            </w:pPr>
            <w:r>
              <w:t>≥98%</w:t>
            </w:r>
          </w:p>
        </w:tc>
        <w:tc>
          <w:tcPr>
            <w:tcW w:w="1276" w:type="dxa"/>
            <w:vAlign w:val="center"/>
          </w:tcPr>
          <w:p>
            <w:pPr>
              <w:pStyle w:val="13"/>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双随机抽查完成率</w:t>
            </w:r>
          </w:p>
        </w:tc>
        <w:tc>
          <w:tcPr>
            <w:tcW w:w="5386" w:type="dxa"/>
            <w:vAlign w:val="center"/>
          </w:tcPr>
          <w:p>
            <w:pPr>
              <w:pStyle w:val="13"/>
            </w:pPr>
            <w:r>
              <w:t>双随机抽查完成率</w:t>
            </w:r>
          </w:p>
        </w:tc>
        <w:tc>
          <w:tcPr>
            <w:tcW w:w="2268" w:type="dxa"/>
            <w:vAlign w:val="center"/>
          </w:tcPr>
          <w:p>
            <w:pPr>
              <w:pStyle w:val="13"/>
            </w:pPr>
            <w:r>
              <w:t>≥98%</w:t>
            </w:r>
          </w:p>
        </w:tc>
        <w:tc>
          <w:tcPr>
            <w:tcW w:w="1276" w:type="dxa"/>
            <w:vAlign w:val="center"/>
          </w:tcPr>
          <w:p>
            <w:pPr>
              <w:pStyle w:val="13"/>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工作任务完成率</w:t>
            </w:r>
          </w:p>
        </w:tc>
        <w:tc>
          <w:tcPr>
            <w:tcW w:w="5386" w:type="dxa"/>
            <w:vAlign w:val="center"/>
          </w:tcPr>
          <w:p>
            <w:pPr>
              <w:pStyle w:val="13"/>
            </w:pPr>
            <w:r>
              <w:t>工作任务完成率</w:t>
            </w:r>
          </w:p>
        </w:tc>
        <w:tc>
          <w:tcPr>
            <w:tcW w:w="2268" w:type="dxa"/>
            <w:vAlign w:val="center"/>
          </w:tcPr>
          <w:p>
            <w:pPr>
              <w:pStyle w:val="13"/>
            </w:pPr>
            <w:r>
              <w:t>≥98%</w:t>
            </w:r>
          </w:p>
        </w:tc>
        <w:tc>
          <w:tcPr>
            <w:tcW w:w="1276" w:type="dxa"/>
            <w:vAlign w:val="center"/>
          </w:tcPr>
          <w:p>
            <w:pPr>
              <w:pStyle w:val="13"/>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实际支付占预算比例</w:t>
            </w:r>
          </w:p>
        </w:tc>
        <w:tc>
          <w:tcPr>
            <w:tcW w:w="5386" w:type="dxa"/>
            <w:vAlign w:val="center"/>
          </w:tcPr>
          <w:p>
            <w:pPr>
              <w:pStyle w:val="13"/>
            </w:pPr>
            <w:r>
              <w:t>实际支付占预算比例</w:t>
            </w:r>
          </w:p>
        </w:tc>
        <w:tc>
          <w:tcPr>
            <w:tcW w:w="2268" w:type="dxa"/>
            <w:vAlign w:val="center"/>
          </w:tcPr>
          <w:p>
            <w:pPr>
              <w:pStyle w:val="13"/>
            </w:pPr>
            <w:r>
              <w:t>≤100%</w:t>
            </w:r>
          </w:p>
        </w:tc>
        <w:tc>
          <w:tcPr>
            <w:tcW w:w="1276" w:type="dxa"/>
            <w:vAlign w:val="center"/>
          </w:tcPr>
          <w:p>
            <w:pPr>
              <w:pStyle w:val="13"/>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非法集资普及率</w:t>
            </w:r>
          </w:p>
        </w:tc>
        <w:tc>
          <w:tcPr>
            <w:tcW w:w="5386" w:type="dxa"/>
            <w:vAlign w:val="center"/>
          </w:tcPr>
          <w:p>
            <w:pPr>
              <w:pStyle w:val="13"/>
            </w:pPr>
            <w:r>
              <w:t>广泛宣传非法集资活动危害</w:t>
            </w:r>
          </w:p>
        </w:tc>
        <w:tc>
          <w:tcPr>
            <w:tcW w:w="2268" w:type="dxa"/>
            <w:vAlign w:val="center"/>
          </w:tcPr>
          <w:p>
            <w:pPr>
              <w:pStyle w:val="13"/>
            </w:pPr>
            <w:r>
              <w:t>≥98%</w:t>
            </w:r>
          </w:p>
        </w:tc>
        <w:tc>
          <w:tcPr>
            <w:tcW w:w="1276" w:type="dxa"/>
            <w:vAlign w:val="center"/>
          </w:tcPr>
          <w:p>
            <w:pPr>
              <w:pStyle w:val="13"/>
            </w:pPr>
            <w:r>
              <w:t>根据《政务公开大气办金融办经费请示》的批示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群众满意度占总数的比例</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434晋州市人民政府办公室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87.00</w:t>
            </w:r>
          </w:p>
        </w:tc>
        <w:tc>
          <w:tcPr>
            <w:tcW w:w="964" w:type="dxa"/>
            <w:vAlign w:val="center"/>
          </w:tcPr>
          <w:p>
            <w:pPr>
              <w:pStyle w:val="16"/>
            </w:pPr>
            <w:r>
              <w:t>87.00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晋州市人民政府办公室本级小计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87.00</w:t>
            </w:r>
          </w:p>
        </w:tc>
        <w:tc>
          <w:tcPr>
            <w:tcW w:w="964" w:type="dxa"/>
            <w:vAlign w:val="center"/>
          </w:tcPr>
          <w:p>
            <w:pPr>
              <w:pStyle w:val="16"/>
            </w:pPr>
            <w:r>
              <w:t>87.00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23.55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0.20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食堂外包服务</w:t>
            </w:r>
          </w:p>
        </w:tc>
        <w:tc>
          <w:tcPr>
            <w:tcW w:w="964" w:type="dxa"/>
            <w:vAlign w:val="center"/>
          </w:tcPr>
          <w:p>
            <w:pPr>
              <w:pStyle w:val="12"/>
            </w:pPr>
            <w:r>
              <w:t>180.00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85.00</w:t>
            </w:r>
          </w:p>
        </w:tc>
        <w:tc>
          <w:tcPr>
            <w:tcW w:w="964" w:type="dxa"/>
            <w:vAlign w:val="center"/>
          </w:tcPr>
          <w:p>
            <w:pPr>
              <w:pStyle w:val="12"/>
            </w:pPr>
            <w:r>
              <w:t>85.00</w:t>
            </w:r>
          </w:p>
        </w:tc>
        <w:tc>
          <w:tcPr>
            <w:tcW w:w="964" w:type="dxa"/>
            <w:vAlign w:val="center"/>
          </w:tcPr>
          <w:p>
            <w:pPr>
              <w:pStyle w:val="12"/>
            </w:pPr>
            <w:r>
              <w:t>85.00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晋州市人民政府办公室（含所属单位）上年末固定资产金额为751.22万元（详见下表）。本年度拟购置固定资产总额为20.00万元，已按要求列入政府采购预算，详见政府采购预算表。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434晋州市人民政府办公室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751.22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13746.69</w:t>
            </w:r>
          </w:p>
        </w:tc>
        <w:tc>
          <w:tcPr>
            <w:tcW w:w="2835" w:type="dxa"/>
            <w:vAlign w:val="center"/>
          </w:tcPr>
          <w:p>
            <w:pPr>
              <w:pStyle w:val="12"/>
            </w:pPr>
            <w:r>
              <w:t>315.00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13746.69</w:t>
            </w:r>
          </w:p>
        </w:tc>
        <w:tc>
          <w:tcPr>
            <w:tcW w:w="2835" w:type="dxa"/>
            <w:vAlign w:val="center"/>
          </w:tcPr>
          <w:p>
            <w:pPr>
              <w:pStyle w:val="12"/>
            </w:pPr>
            <w:r>
              <w:t>315.00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83.52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1162</w:t>
            </w:r>
          </w:p>
        </w:tc>
        <w:tc>
          <w:tcPr>
            <w:tcW w:w="2835" w:type="dxa"/>
            <w:vAlign w:val="center"/>
          </w:tcPr>
          <w:p>
            <w:pPr>
              <w:pStyle w:val="12"/>
            </w:pPr>
            <w:r>
              <w:t>327.90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7547C2"/>
    <w:multiLevelType w:val="singleLevel"/>
    <w:tmpl w:val="867547C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6B61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42</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2026-03-02T09:40:00Z</dcterms:created>
  <dc:creator>Administrator</dc:creator>
  <cp:lastModifiedBy>Administrator</cp:lastModifiedBy>
  <dcterms:modified xsi:type="dcterms:W3CDTF">2026-03-02T03:34:36Z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