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一、晋州市数据和政务服务局本级收支预算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_Toc_4_4_0000000002</w:instrText>
      </w:r>
      <w:r>
        <w:fldChar w:fldCharType="separate"/>
      </w:r>
      <w:r>
        <w:rPr>
          <w:b w:val="0"/>
        </w:rPr>
        <w:t xml:space="preserve">二、晋州市公共资源交易中心收支预算</w:t>
      </w:r>
      <w:r>
        <w:tab/>
      </w:r>
      <w:r>
        <w:fldChar w:fldCharType="begin"/>
      </w:r>
      <w:r>
        <w:instrText xml:space="preserve">PAGEREF _Toc_4_4_0000000002 \h</w:instrText>
      </w:r>
      <w:r>
        <w:fldChar w:fldCharType="separate"/>
      </w:r>
      <w:r>
        <w:t xml:space="preserve">34</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一、晋州市数据和政务服务局本级收支预算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435001晋州市数据和政务服务局本级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1559.89</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1559.89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7.96</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1559.89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1567.85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7.96</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1567.85</w:t>
            </w:r>
          </w:p>
        </w:tc>
        <w:tc>
          <w:tcPr>
            <w:tcW w:w="4535" w:type="dxa"/>
            <w:vAlign w:val="center"/>
          </w:tcPr>
          <w:p>
            <w:pPr>
              <w:pStyle w:val="单元格样式6"/>
            </w:pPr>
            <w:r>
              <w:t xml:space="preserve">支出总计</w:t>
            </w:r>
          </w:p>
        </w:tc>
        <w:tc>
          <w:tcPr>
            <w:tcW w:w="2126" w:type="dxa"/>
            <w:vAlign w:val="center"/>
          </w:tcPr>
          <w:p>
            <w:pPr>
              <w:pStyle w:val="单元格样式7"/>
            </w:pPr>
            <w:r>
              <w:t xml:space="preserve">1567.85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435001晋州市数据和政务服务局本级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1567.85</w:t>
            </w:r>
          </w:p>
        </w:tc>
        <w:tc>
          <w:tcPr>
            <w:tcW w:w="1134" w:type="dxa"/>
            <w:vAlign w:val="center"/>
          </w:tcPr>
          <w:p>
            <w:pPr>
              <w:pStyle w:val="单元格样式7"/>
            </w:pPr>
            <w:r>
              <w:t xml:space="preserve">1559.89</w:t>
            </w:r>
          </w:p>
        </w:tc>
        <w:tc>
          <w:tcPr>
            <w:tcW w:w="1134" w:type="dxa"/>
            <w:vAlign w:val="center"/>
          </w:tcPr>
          <w:p>
            <w:pPr>
              <w:pStyle w:val="单元格样式7"/>
            </w:pPr>
            <w:r>
              <w:t xml:space="preserve">1559.89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7.96</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1559.89</w:t>
            </w:r>
          </w:p>
        </w:tc>
        <w:tc>
          <w:tcPr>
            <w:tcW w:w="1134" w:type="dxa"/>
            <w:vAlign w:val="center"/>
          </w:tcPr>
          <w:p>
            <w:pPr>
              <w:pStyle w:val="单元格样式4"/>
            </w:pPr>
            <w:r>
              <w:t xml:space="preserve">1559.89</w:t>
            </w:r>
          </w:p>
        </w:tc>
        <w:tc>
          <w:tcPr>
            <w:tcW w:w="1134" w:type="dxa"/>
            <w:vAlign w:val="center"/>
          </w:tcPr>
          <w:p>
            <w:pPr>
              <w:pStyle w:val="单元格样式4"/>
            </w:pPr>
            <w:r>
              <w:t xml:space="preserve">1559.89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1559.89</w:t>
            </w:r>
          </w:p>
        </w:tc>
        <w:tc>
          <w:tcPr>
            <w:tcW w:w="1134" w:type="dxa"/>
            <w:vAlign w:val="center"/>
          </w:tcPr>
          <w:p>
            <w:pPr>
              <w:pStyle w:val="单元格样式4"/>
            </w:pPr>
            <w:r>
              <w:t xml:space="preserve">1559.89</w:t>
            </w:r>
          </w:p>
        </w:tc>
        <w:tc>
          <w:tcPr>
            <w:tcW w:w="1134" w:type="dxa"/>
            <w:vAlign w:val="center"/>
          </w:tcPr>
          <w:p>
            <w:pPr>
              <w:pStyle w:val="单元格样式4"/>
            </w:pPr>
            <w:r>
              <w:t xml:space="preserve">1559.89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2010306</w:t>
            </w:r>
          </w:p>
        </w:tc>
        <w:tc>
          <w:tcPr>
            <w:tcW w:w="1559" w:type="dxa"/>
            <w:vAlign w:val="center"/>
          </w:tcPr>
          <w:p>
            <w:pPr>
              <w:pStyle w:val="单元格样式2"/>
            </w:pPr>
            <w:r>
              <w:t xml:space="preserve">政务公开审批</w:t>
            </w:r>
          </w:p>
        </w:tc>
        <w:tc>
          <w:tcPr>
            <w:tcW w:w="1134" w:type="dxa"/>
            <w:vAlign w:val="center"/>
          </w:tcPr>
          <w:p>
            <w:pPr>
              <w:pStyle w:val="单元格样式4"/>
            </w:pPr>
            <w:r>
              <w:t xml:space="preserve">1559.89</w:t>
            </w:r>
          </w:p>
        </w:tc>
        <w:tc>
          <w:tcPr>
            <w:tcW w:w="1134" w:type="dxa"/>
            <w:vAlign w:val="center"/>
          </w:tcPr>
          <w:p>
            <w:pPr>
              <w:pStyle w:val="单元格样式4"/>
            </w:pPr>
            <w:r>
              <w:t xml:space="preserve">1559.89</w:t>
            </w:r>
          </w:p>
        </w:tc>
        <w:tc>
          <w:tcPr>
            <w:tcW w:w="1134" w:type="dxa"/>
            <w:vAlign w:val="center"/>
          </w:tcPr>
          <w:p>
            <w:pPr>
              <w:pStyle w:val="单元格样式4"/>
            </w:pPr>
            <w:r>
              <w:t xml:space="preserve">1559.89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7.96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7.96</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7.96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7.96</w:t>
            </w: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7.96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7.96</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435001晋州市数据和政务服务局本级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1567.85</w:t>
            </w:r>
          </w:p>
        </w:tc>
        <w:tc>
          <w:tcPr>
            <w:tcW w:w="1361" w:type="dxa"/>
            <w:vAlign w:val="center"/>
          </w:tcPr>
          <w:p>
            <w:pPr>
              <w:pStyle w:val="单元格样式7"/>
            </w:pPr>
            <w:r>
              <w:t xml:space="preserve">889.73</w:t>
            </w:r>
          </w:p>
        </w:tc>
        <w:tc>
          <w:tcPr>
            <w:tcW w:w="1361" w:type="dxa"/>
            <w:vAlign w:val="center"/>
          </w:tcPr>
          <w:p>
            <w:pPr>
              <w:pStyle w:val="单元格样式7"/>
            </w:pPr>
            <w:r>
              <w:t xml:space="preserve">678.12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1559.89</w:t>
            </w:r>
          </w:p>
        </w:tc>
        <w:tc>
          <w:tcPr>
            <w:tcW w:w="1361" w:type="dxa"/>
            <w:vAlign w:val="center"/>
          </w:tcPr>
          <w:p>
            <w:pPr>
              <w:pStyle w:val="单元格样式4"/>
            </w:pPr>
            <w:r>
              <w:t xml:space="preserve">889.73</w:t>
            </w:r>
          </w:p>
        </w:tc>
        <w:tc>
          <w:tcPr>
            <w:tcW w:w="1361" w:type="dxa"/>
            <w:vAlign w:val="center"/>
          </w:tcPr>
          <w:p>
            <w:pPr>
              <w:pStyle w:val="单元格样式4"/>
            </w:pPr>
            <w:r>
              <w:t xml:space="preserve">670.16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1559.89</w:t>
            </w:r>
          </w:p>
        </w:tc>
        <w:tc>
          <w:tcPr>
            <w:tcW w:w="1361" w:type="dxa"/>
            <w:vAlign w:val="center"/>
          </w:tcPr>
          <w:p>
            <w:pPr>
              <w:pStyle w:val="单元格样式4"/>
            </w:pPr>
            <w:r>
              <w:t xml:space="preserve">889.73</w:t>
            </w:r>
          </w:p>
        </w:tc>
        <w:tc>
          <w:tcPr>
            <w:tcW w:w="1361" w:type="dxa"/>
            <w:vAlign w:val="center"/>
          </w:tcPr>
          <w:p>
            <w:pPr>
              <w:pStyle w:val="单元格样式4"/>
            </w:pPr>
            <w:r>
              <w:t xml:space="preserve">670.16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2010306</w:t>
            </w:r>
          </w:p>
        </w:tc>
        <w:tc>
          <w:tcPr>
            <w:tcW w:w="4535" w:type="dxa"/>
            <w:vAlign w:val="center"/>
          </w:tcPr>
          <w:p>
            <w:pPr>
              <w:pStyle w:val="单元格样式2"/>
            </w:pPr>
            <w:r>
              <w:t xml:space="preserve">政务公开审批</w:t>
            </w:r>
          </w:p>
        </w:tc>
        <w:tc>
          <w:tcPr>
            <w:tcW w:w="1361" w:type="dxa"/>
            <w:vAlign w:val="center"/>
          </w:tcPr>
          <w:p>
            <w:pPr>
              <w:pStyle w:val="单元格样式4"/>
            </w:pPr>
            <w:r>
              <w:t xml:space="preserve">1559.89</w:t>
            </w:r>
          </w:p>
        </w:tc>
        <w:tc>
          <w:tcPr>
            <w:tcW w:w="1361" w:type="dxa"/>
            <w:vAlign w:val="center"/>
          </w:tcPr>
          <w:p>
            <w:pPr>
              <w:pStyle w:val="单元格样式4"/>
            </w:pPr>
            <w:r>
              <w:t xml:space="preserve">889.73</w:t>
            </w:r>
          </w:p>
        </w:tc>
        <w:tc>
          <w:tcPr>
            <w:tcW w:w="1361" w:type="dxa"/>
            <w:vAlign w:val="center"/>
          </w:tcPr>
          <w:p>
            <w:pPr>
              <w:pStyle w:val="单元格样式4"/>
            </w:pPr>
            <w:r>
              <w:t xml:space="preserve">670.16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7.96</w:t>
            </w:r>
          </w:p>
        </w:tc>
        <w:tc>
          <w:tcPr>
            <w:tcW w:w="1361" w:type="dxa"/>
            <w:vAlign w:val="center"/>
          </w:tcPr>
          <w:p>
            <w:pPr>
              <w:pStyle w:val="单元格样式4"/>
            </w:pPr>
          </w:p>
        </w:tc>
        <w:tc>
          <w:tcPr>
            <w:tcW w:w="1361" w:type="dxa"/>
            <w:vAlign w:val="center"/>
          </w:tcPr>
          <w:p>
            <w:pPr>
              <w:pStyle w:val="单元格样式4"/>
            </w:pPr>
            <w:r>
              <w:t xml:space="preserve">7.96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7.96</w:t>
            </w:r>
          </w:p>
        </w:tc>
        <w:tc>
          <w:tcPr>
            <w:tcW w:w="1361" w:type="dxa"/>
            <w:vAlign w:val="center"/>
          </w:tcPr>
          <w:p>
            <w:pPr>
              <w:pStyle w:val="单元格样式4"/>
            </w:pPr>
          </w:p>
        </w:tc>
        <w:tc>
          <w:tcPr>
            <w:tcW w:w="1361" w:type="dxa"/>
            <w:vAlign w:val="center"/>
          </w:tcPr>
          <w:p>
            <w:pPr>
              <w:pStyle w:val="单元格样式4"/>
            </w:pPr>
            <w:r>
              <w:t xml:space="preserve">7.96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7.96</w:t>
            </w:r>
          </w:p>
        </w:tc>
        <w:tc>
          <w:tcPr>
            <w:tcW w:w="1361" w:type="dxa"/>
            <w:vAlign w:val="center"/>
          </w:tcPr>
          <w:p>
            <w:pPr>
              <w:pStyle w:val="单元格样式4"/>
            </w:pPr>
          </w:p>
        </w:tc>
        <w:tc>
          <w:tcPr>
            <w:tcW w:w="1361" w:type="dxa"/>
            <w:vAlign w:val="center"/>
          </w:tcPr>
          <w:p>
            <w:pPr>
              <w:pStyle w:val="单元格样式4"/>
            </w:pPr>
            <w:r>
              <w:t xml:space="preserve">7.96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435001晋州市数据和政务服务局本级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1559.89</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1559.89</w:t>
            </w:r>
          </w:p>
        </w:tc>
        <w:tc>
          <w:tcPr>
            <w:tcW w:w="1474" w:type="dxa"/>
            <w:vAlign w:val="center"/>
          </w:tcPr>
          <w:p>
            <w:pPr>
              <w:pStyle w:val="单元格样式4"/>
            </w:pPr>
            <w:r>
              <w:t xml:space="preserve">1559.89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7.96</w:t>
            </w:r>
          </w:p>
        </w:tc>
        <w:tc>
          <w:tcPr>
            <w:tcW w:w="1474" w:type="dxa"/>
            <w:vAlign w:val="center"/>
          </w:tcPr>
          <w:p>
            <w:pPr>
              <w:pStyle w:val="单元格样式4"/>
            </w:pPr>
          </w:p>
        </w:tc>
        <w:tc>
          <w:tcPr>
            <w:tcW w:w="1474" w:type="dxa"/>
            <w:vAlign w:val="center"/>
          </w:tcPr>
          <w:p>
            <w:pPr>
              <w:pStyle w:val="单元格样式4"/>
            </w:pPr>
            <w:r>
              <w:t xml:space="preserve">7.96</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1559.89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1567.85</w:t>
            </w:r>
          </w:p>
        </w:tc>
        <w:tc>
          <w:tcPr>
            <w:tcW w:w="1474" w:type="dxa"/>
            <w:vAlign w:val="center"/>
          </w:tcPr>
          <w:p>
            <w:pPr>
              <w:pStyle w:val="单元格样式7"/>
            </w:pPr>
            <w:r>
              <w:t xml:space="preserve">1559.89</w:t>
            </w:r>
          </w:p>
        </w:tc>
        <w:tc>
          <w:tcPr>
            <w:tcW w:w="1474" w:type="dxa"/>
            <w:vAlign w:val="center"/>
          </w:tcPr>
          <w:p>
            <w:pPr>
              <w:pStyle w:val="单元格样式7"/>
            </w:pPr>
            <w:r>
              <w:t xml:space="preserve">7.96</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7.96</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7.96</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1567.85</w:t>
            </w:r>
          </w:p>
        </w:tc>
        <w:tc>
          <w:tcPr>
            <w:tcW w:w="3402" w:type="dxa"/>
            <w:vAlign w:val="center"/>
          </w:tcPr>
          <w:p>
            <w:pPr>
              <w:pStyle w:val="单元格样式6"/>
            </w:pPr>
            <w:r>
              <w:t xml:space="preserve">支出总计</w:t>
            </w:r>
          </w:p>
        </w:tc>
        <w:tc>
          <w:tcPr>
            <w:tcW w:w="1474" w:type="dxa"/>
            <w:vAlign w:val="center"/>
          </w:tcPr>
          <w:p>
            <w:pPr>
              <w:pStyle w:val="单元格样式7"/>
            </w:pPr>
            <w:r>
              <w:t xml:space="preserve">1567.85</w:t>
            </w:r>
          </w:p>
        </w:tc>
        <w:tc>
          <w:tcPr>
            <w:tcW w:w="1474" w:type="dxa"/>
            <w:vAlign w:val="center"/>
          </w:tcPr>
          <w:p>
            <w:pPr>
              <w:pStyle w:val="单元格样式7"/>
            </w:pPr>
            <w:r>
              <w:t xml:space="preserve">1559.89</w:t>
            </w:r>
          </w:p>
        </w:tc>
        <w:tc>
          <w:tcPr>
            <w:tcW w:w="1474" w:type="dxa"/>
            <w:vAlign w:val="center"/>
          </w:tcPr>
          <w:p>
            <w:pPr>
              <w:pStyle w:val="单元格样式7"/>
            </w:pPr>
            <w:r>
              <w:t xml:space="preserve">7.96</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435001晋州市数据和政务服务局本级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1559.89</w:t>
            </w:r>
          </w:p>
        </w:tc>
        <w:tc>
          <w:tcPr>
            <w:tcW w:w="2551" w:type="dxa"/>
            <w:vAlign w:val="center"/>
          </w:tcPr>
          <w:p>
            <w:pPr>
              <w:pStyle w:val="单元格样式7"/>
            </w:pPr>
            <w:r>
              <w:t xml:space="preserve">889.73</w:t>
            </w:r>
          </w:p>
        </w:tc>
        <w:tc>
          <w:tcPr>
            <w:tcW w:w="2551" w:type="dxa"/>
            <w:vAlign w:val="center"/>
          </w:tcPr>
          <w:p>
            <w:pPr>
              <w:pStyle w:val="单元格样式7"/>
            </w:pPr>
            <w:r>
              <w:t xml:space="preserve">670.16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1559.89</w:t>
            </w:r>
          </w:p>
        </w:tc>
        <w:tc>
          <w:tcPr>
            <w:tcW w:w="2551" w:type="dxa"/>
            <w:vAlign w:val="center"/>
          </w:tcPr>
          <w:p>
            <w:pPr>
              <w:pStyle w:val="单元格样式4"/>
            </w:pPr>
            <w:r>
              <w:t xml:space="preserve">889.73</w:t>
            </w:r>
          </w:p>
        </w:tc>
        <w:tc>
          <w:tcPr>
            <w:tcW w:w="2551" w:type="dxa"/>
            <w:vAlign w:val="center"/>
          </w:tcPr>
          <w:p>
            <w:pPr>
              <w:pStyle w:val="单元格样式4"/>
            </w:pPr>
            <w:r>
              <w:t xml:space="preserve">670.16</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1559.89</w:t>
            </w:r>
          </w:p>
        </w:tc>
        <w:tc>
          <w:tcPr>
            <w:tcW w:w="2551" w:type="dxa"/>
            <w:vAlign w:val="center"/>
          </w:tcPr>
          <w:p>
            <w:pPr>
              <w:pStyle w:val="单元格样式4"/>
            </w:pPr>
            <w:r>
              <w:t xml:space="preserve">889.73</w:t>
            </w:r>
          </w:p>
        </w:tc>
        <w:tc>
          <w:tcPr>
            <w:tcW w:w="2551" w:type="dxa"/>
            <w:vAlign w:val="center"/>
          </w:tcPr>
          <w:p>
            <w:pPr>
              <w:pStyle w:val="单元格样式4"/>
            </w:pPr>
            <w:r>
              <w:t xml:space="preserve">670.16</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2010306</w:t>
            </w:r>
          </w:p>
        </w:tc>
        <w:tc>
          <w:tcPr>
            <w:tcW w:w="4535" w:type="dxa"/>
            <w:vAlign w:val="center"/>
          </w:tcPr>
          <w:p>
            <w:pPr>
              <w:pStyle w:val="单元格样式2"/>
            </w:pPr>
            <w:r>
              <w:t xml:space="preserve">政务公开审批</w:t>
            </w:r>
          </w:p>
        </w:tc>
        <w:tc>
          <w:tcPr>
            <w:tcW w:w="2551" w:type="dxa"/>
            <w:vAlign w:val="center"/>
          </w:tcPr>
          <w:p>
            <w:pPr>
              <w:pStyle w:val="单元格样式4"/>
            </w:pPr>
            <w:r>
              <w:t xml:space="preserve">1559.89</w:t>
            </w:r>
          </w:p>
        </w:tc>
        <w:tc>
          <w:tcPr>
            <w:tcW w:w="2551" w:type="dxa"/>
            <w:vAlign w:val="center"/>
          </w:tcPr>
          <w:p>
            <w:pPr>
              <w:pStyle w:val="单元格样式4"/>
            </w:pPr>
            <w:r>
              <w:t xml:space="preserve">889.73</w:t>
            </w:r>
          </w:p>
        </w:tc>
        <w:tc>
          <w:tcPr>
            <w:tcW w:w="2551" w:type="dxa"/>
            <w:vAlign w:val="center"/>
          </w:tcPr>
          <w:p>
            <w:pPr>
              <w:pStyle w:val="单元格样式4"/>
            </w:pPr>
            <w:r>
              <w:t xml:space="preserve">670.16</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435001晋州市数据和政务服务局本级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889.73</w:t>
            </w:r>
          </w:p>
        </w:tc>
        <w:tc>
          <w:tcPr>
            <w:tcW w:w="2551" w:type="dxa"/>
            <w:vAlign w:val="center"/>
          </w:tcPr>
          <w:p>
            <w:pPr>
              <w:pStyle w:val="单元格样式7"/>
            </w:pPr>
            <w:r>
              <w:t xml:space="preserve">774.66</w:t>
            </w:r>
          </w:p>
        </w:tc>
        <w:tc>
          <w:tcPr>
            <w:tcW w:w="2551" w:type="dxa"/>
            <w:vAlign w:val="center"/>
          </w:tcPr>
          <w:p>
            <w:pPr>
              <w:pStyle w:val="单元格样式7"/>
            </w:pPr>
            <w:r>
              <w:t xml:space="preserve">115.07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772.30</w:t>
            </w:r>
          </w:p>
        </w:tc>
        <w:tc>
          <w:tcPr>
            <w:tcW w:w="2551" w:type="dxa"/>
            <w:vAlign w:val="center"/>
          </w:tcPr>
          <w:p>
            <w:pPr>
              <w:pStyle w:val="单元格样式4"/>
            </w:pPr>
            <w:r>
              <w:t xml:space="preserve">772.30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277.93</w:t>
            </w:r>
          </w:p>
        </w:tc>
        <w:tc>
          <w:tcPr>
            <w:tcW w:w="2551" w:type="dxa"/>
            <w:vAlign w:val="center"/>
          </w:tcPr>
          <w:p>
            <w:pPr>
              <w:pStyle w:val="单元格样式4"/>
            </w:pPr>
            <w:r>
              <w:t xml:space="preserve">277.93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78.66</w:t>
            </w:r>
          </w:p>
        </w:tc>
        <w:tc>
          <w:tcPr>
            <w:tcW w:w="2551" w:type="dxa"/>
            <w:vAlign w:val="center"/>
          </w:tcPr>
          <w:p>
            <w:pPr>
              <w:pStyle w:val="单元格样式4"/>
            </w:pPr>
            <w:r>
              <w:t xml:space="preserve">78.66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52.49</w:t>
            </w:r>
          </w:p>
        </w:tc>
        <w:tc>
          <w:tcPr>
            <w:tcW w:w="2551" w:type="dxa"/>
            <w:vAlign w:val="center"/>
          </w:tcPr>
          <w:p>
            <w:pPr>
              <w:pStyle w:val="单元格样式4"/>
            </w:pPr>
            <w:r>
              <w:t xml:space="preserve">52.49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141.26</w:t>
            </w:r>
          </w:p>
        </w:tc>
        <w:tc>
          <w:tcPr>
            <w:tcW w:w="2551" w:type="dxa"/>
            <w:vAlign w:val="center"/>
          </w:tcPr>
          <w:p>
            <w:pPr>
              <w:pStyle w:val="单元格样式4"/>
            </w:pPr>
            <w:r>
              <w:t xml:space="preserve">141.26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76.75</w:t>
            </w:r>
          </w:p>
        </w:tc>
        <w:tc>
          <w:tcPr>
            <w:tcW w:w="2551" w:type="dxa"/>
            <w:vAlign w:val="center"/>
          </w:tcPr>
          <w:p>
            <w:pPr>
              <w:pStyle w:val="单元格样式4"/>
            </w:pPr>
            <w:r>
              <w:t xml:space="preserve">76.75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31.88</w:t>
            </w:r>
          </w:p>
        </w:tc>
        <w:tc>
          <w:tcPr>
            <w:tcW w:w="2551" w:type="dxa"/>
            <w:vAlign w:val="center"/>
          </w:tcPr>
          <w:p>
            <w:pPr>
              <w:pStyle w:val="单元格样式4"/>
            </w:pPr>
            <w:r>
              <w:t xml:space="preserve">31.88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16.20</w:t>
            </w:r>
          </w:p>
        </w:tc>
        <w:tc>
          <w:tcPr>
            <w:tcW w:w="2551" w:type="dxa"/>
            <w:vAlign w:val="center"/>
          </w:tcPr>
          <w:p>
            <w:pPr>
              <w:pStyle w:val="单元格样式4"/>
            </w:pPr>
            <w:r>
              <w:t xml:space="preserve">16.20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4.54</w:t>
            </w:r>
          </w:p>
        </w:tc>
        <w:tc>
          <w:tcPr>
            <w:tcW w:w="2551" w:type="dxa"/>
            <w:vAlign w:val="center"/>
          </w:tcPr>
          <w:p>
            <w:pPr>
              <w:pStyle w:val="单元格样式4"/>
            </w:pPr>
            <w:r>
              <w:t xml:space="preserve">4.54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61.84</w:t>
            </w:r>
          </w:p>
        </w:tc>
        <w:tc>
          <w:tcPr>
            <w:tcW w:w="2551" w:type="dxa"/>
            <w:vAlign w:val="center"/>
          </w:tcPr>
          <w:p>
            <w:pPr>
              <w:pStyle w:val="单元格样式4"/>
            </w:pPr>
            <w:r>
              <w:t xml:space="preserve">61.84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30.75</w:t>
            </w:r>
          </w:p>
        </w:tc>
        <w:tc>
          <w:tcPr>
            <w:tcW w:w="2551" w:type="dxa"/>
            <w:vAlign w:val="center"/>
          </w:tcPr>
          <w:p>
            <w:pPr>
              <w:pStyle w:val="单元格样式4"/>
            </w:pPr>
            <w:r>
              <w:t xml:space="preserve">30.75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115.07</w:t>
            </w:r>
          </w:p>
        </w:tc>
        <w:tc>
          <w:tcPr>
            <w:tcW w:w="2551" w:type="dxa"/>
            <w:vAlign w:val="center"/>
          </w:tcPr>
          <w:p>
            <w:pPr>
              <w:pStyle w:val="单元格样式4"/>
            </w:pPr>
          </w:p>
        </w:tc>
        <w:tc>
          <w:tcPr>
            <w:tcW w:w="2551" w:type="dxa"/>
            <w:vAlign w:val="center"/>
          </w:tcPr>
          <w:p>
            <w:pPr>
              <w:pStyle w:val="单元格样式4"/>
            </w:pPr>
            <w:r>
              <w:t xml:space="preserve">115.07</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14.36</w:t>
            </w:r>
          </w:p>
        </w:tc>
        <w:tc>
          <w:tcPr>
            <w:tcW w:w="2551" w:type="dxa"/>
            <w:vAlign w:val="center"/>
          </w:tcPr>
          <w:p>
            <w:pPr>
              <w:pStyle w:val="单元格样式4"/>
            </w:pPr>
          </w:p>
        </w:tc>
        <w:tc>
          <w:tcPr>
            <w:tcW w:w="2551" w:type="dxa"/>
            <w:vAlign w:val="center"/>
          </w:tcPr>
          <w:p>
            <w:pPr>
              <w:pStyle w:val="单元格样式4"/>
            </w:pPr>
            <w:r>
              <w:t xml:space="preserve">14.36</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0.93</w:t>
            </w:r>
          </w:p>
        </w:tc>
        <w:tc>
          <w:tcPr>
            <w:tcW w:w="2551" w:type="dxa"/>
            <w:vAlign w:val="center"/>
          </w:tcPr>
          <w:p>
            <w:pPr>
              <w:pStyle w:val="单元格样式4"/>
            </w:pPr>
          </w:p>
        </w:tc>
        <w:tc>
          <w:tcPr>
            <w:tcW w:w="2551" w:type="dxa"/>
            <w:vAlign w:val="center"/>
          </w:tcPr>
          <w:p>
            <w:pPr>
              <w:pStyle w:val="单元格样式4"/>
            </w:pPr>
            <w:r>
              <w:t xml:space="preserve">0.93</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6.20</w:t>
            </w:r>
          </w:p>
        </w:tc>
        <w:tc>
          <w:tcPr>
            <w:tcW w:w="2551" w:type="dxa"/>
            <w:vAlign w:val="center"/>
          </w:tcPr>
          <w:p>
            <w:pPr>
              <w:pStyle w:val="单元格样式4"/>
            </w:pPr>
          </w:p>
        </w:tc>
        <w:tc>
          <w:tcPr>
            <w:tcW w:w="2551" w:type="dxa"/>
            <w:vAlign w:val="center"/>
          </w:tcPr>
          <w:p>
            <w:pPr>
              <w:pStyle w:val="单元格样式4"/>
            </w:pPr>
            <w:r>
              <w:t xml:space="preserve">6.20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14.19</w:t>
            </w:r>
          </w:p>
        </w:tc>
        <w:tc>
          <w:tcPr>
            <w:tcW w:w="2551" w:type="dxa"/>
            <w:vAlign w:val="center"/>
          </w:tcPr>
          <w:p>
            <w:pPr>
              <w:pStyle w:val="单元格样式4"/>
            </w:pPr>
          </w:p>
        </w:tc>
        <w:tc>
          <w:tcPr>
            <w:tcW w:w="2551" w:type="dxa"/>
            <w:vAlign w:val="center"/>
          </w:tcPr>
          <w:p>
            <w:pPr>
              <w:pStyle w:val="单元格样式4"/>
            </w:pPr>
            <w:r>
              <w:t xml:space="preserve">14.19</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35.00</w:t>
            </w:r>
          </w:p>
        </w:tc>
        <w:tc>
          <w:tcPr>
            <w:tcW w:w="2551" w:type="dxa"/>
            <w:vAlign w:val="center"/>
          </w:tcPr>
          <w:p>
            <w:pPr>
              <w:pStyle w:val="单元格样式4"/>
            </w:pP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5.77</w:t>
            </w:r>
          </w:p>
        </w:tc>
        <w:tc>
          <w:tcPr>
            <w:tcW w:w="2551" w:type="dxa"/>
            <w:vAlign w:val="center"/>
          </w:tcPr>
          <w:p>
            <w:pPr>
              <w:pStyle w:val="单元格样式4"/>
            </w:pPr>
          </w:p>
        </w:tc>
        <w:tc>
          <w:tcPr>
            <w:tcW w:w="2551" w:type="dxa"/>
            <w:vAlign w:val="center"/>
          </w:tcPr>
          <w:p>
            <w:pPr>
              <w:pStyle w:val="单元格样式4"/>
            </w:pPr>
            <w:r>
              <w:t xml:space="preserve">5.77</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9.70</w:t>
            </w:r>
          </w:p>
        </w:tc>
        <w:tc>
          <w:tcPr>
            <w:tcW w:w="2551" w:type="dxa"/>
            <w:vAlign w:val="center"/>
          </w:tcPr>
          <w:p>
            <w:pPr>
              <w:pStyle w:val="单元格样式4"/>
            </w:pPr>
          </w:p>
        </w:tc>
        <w:tc>
          <w:tcPr>
            <w:tcW w:w="2551" w:type="dxa"/>
            <w:vAlign w:val="center"/>
          </w:tcPr>
          <w:p>
            <w:pPr>
              <w:pStyle w:val="单元格样式4"/>
            </w:pPr>
            <w:r>
              <w:t xml:space="preserve">9.70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16.32</w:t>
            </w:r>
          </w:p>
        </w:tc>
        <w:tc>
          <w:tcPr>
            <w:tcW w:w="2551" w:type="dxa"/>
            <w:vAlign w:val="center"/>
          </w:tcPr>
          <w:p>
            <w:pPr>
              <w:pStyle w:val="单元格样式4"/>
            </w:pPr>
          </w:p>
        </w:tc>
        <w:tc>
          <w:tcPr>
            <w:tcW w:w="2551" w:type="dxa"/>
            <w:vAlign w:val="center"/>
          </w:tcPr>
          <w:p>
            <w:pPr>
              <w:pStyle w:val="单元格样式4"/>
            </w:pPr>
            <w:r>
              <w:t xml:space="preserve">16.32</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12.60</w:t>
            </w:r>
          </w:p>
        </w:tc>
        <w:tc>
          <w:tcPr>
            <w:tcW w:w="2551" w:type="dxa"/>
            <w:vAlign w:val="center"/>
          </w:tcPr>
          <w:p>
            <w:pPr>
              <w:pStyle w:val="单元格样式4"/>
            </w:pPr>
          </w:p>
        </w:tc>
        <w:tc>
          <w:tcPr>
            <w:tcW w:w="2551" w:type="dxa"/>
            <w:vAlign w:val="center"/>
          </w:tcPr>
          <w:p>
            <w:pPr>
              <w:pStyle w:val="单元格样式4"/>
            </w:pPr>
            <w:r>
              <w:t xml:space="preserve">12.60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2.36</w:t>
            </w:r>
          </w:p>
        </w:tc>
        <w:tc>
          <w:tcPr>
            <w:tcW w:w="2551" w:type="dxa"/>
            <w:vAlign w:val="center"/>
          </w:tcPr>
          <w:p>
            <w:pPr>
              <w:pStyle w:val="单元格样式4"/>
            </w:pPr>
            <w:r>
              <w:t xml:space="preserve">2.36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2.36</w:t>
            </w:r>
          </w:p>
        </w:tc>
        <w:tc>
          <w:tcPr>
            <w:tcW w:w="2551" w:type="dxa"/>
            <w:vAlign w:val="center"/>
          </w:tcPr>
          <w:p>
            <w:pPr>
              <w:pStyle w:val="单元格样式4"/>
            </w:pPr>
            <w:r>
              <w:t xml:space="preserve">2.36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435001晋州市数据和政务服务局本级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7.96</w:t>
            </w:r>
          </w:p>
        </w:tc>
        <w:tc>
          <w:tcPr>
            <w:tcW w:w="2551" w:type="dxa"/>
            <w:vAlign w:val="center"/>
          </w:tcPr>
          <w:p>
            <w:pPr>
              <w:pStyle w:val="单元格样式7"/>
            </w:pPr>
          </w:p>
        </w:tc>
        <w:tc>
          <w:tcPr>
            <w:tcW w:w="2551" w:type="dxa"/>
            <w:vAlign w:val="center"/>
          </w:tcPr>
          <w:p>
            <w:pPr>
              <w:pStyle w:val="单元格样式7"/>
            </w:pPr>
            <w:r>
              <w:t xml:space="preserve">7.96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7.96</w:t>
            </w:r>
          </w:p>
        </w:tc>
        <w:tc>
          <w:tcPr>
            <w:tcW w:w="2551" w:type="dxa"/>
            <w:vAlign w:val="center"/>
          </w:tcPr>
          <w:p>
            <w:pPr>
              <w:pStyle w:val="单元格样式4"/>
            </w:pPr>
          </w:p>
        </w:tc>
        <w:tc>
          <w:tcPr>
            <w:tcW w:w="2551" w:type="dxa"/>
            <w:vAlign w:val="center"/>
          </w:tcPr>
          <w:p>
            <w:pPr>
              <w:pStyle w:val="单元格样式4"/>
            </w:pPr>
            <w:r>
              <w:t xml:space="preserve">7.96</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7.96</w:t>
            </w:r>
          </w:p>
        </w:tc>
        <w:tc>
          <w:tcPr>
            <w:tcW w:w="2551" w:type="dxa"/>
            <w:vAlign w:val="center"/>
          </w:tcPr>
          <w:p>
            <w:pPr>
              <w:pStyle w:val="单元格样式4"/>
            </w:pPr>
          </w:p>
        </w:tc>
        <w:tc>
          <w:tcPr>
            <w:tcW w:w="2551" w:type="dxa"/>
            <w:vAlign w:val="center"/>
          </w:tcPr>
          <w:p>
            <w:pPr>
              <w:pStyle w:val="单元格样式4"/>
            </w:pPr>
            <w:r>
              <w:t xml:space="preserve">7.96</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7.96</w:t>
            </w:r>
          </w:p>
        </w:tc>
        <w:tc>
          <w:tcPr>
            <w:tcW w:w="2551" w:type="dxa"/>
            <w:vAlign w:val="center"/>
          </w:tcPr>
          <w:p>
            <w:pPr>
              <w:pStyle w:val="单元格样式4"/>
            </w:pPr>
          </w:p>
        </w:tc>
        <w:tc>
          <w:tcPr>
            <w:tcW w:w="2551" w:type="dxa"/>
            <w:vAlign w:val="center"/>
          </w:tcPr>
          <w:p>
            <w:pPr>
              <w:pStyle w:val="单元格样式4"/>
            </w:pPr>
            <w:r>
              <w:t xml:space="preserve">7.96</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435001晋州市数据和政务服务局本级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435001晋州市数据和政务服务局本级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9.70</w:t>
            </w:r>
          </w:p>
        </w:tc>
        <w:tc>
          <w:tcPr>
            <w:tcW w:w="2381" w:type="dxa"/>
            <w:vAlign w:val="center"/>
          </w:tcPr>
          <w:p>
            <w:pPr>
              <w:pStyle w:val="单元格样式7"/>
            </w:pPr>
            <w:r>
              <w:t xml:space="preserve">9.70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9.70</w:t>
            </w:r>
          </w:p>
        </w:tc>
        <w:tc>
          <w:tcPr>
            <w:tcW w:w="2381" w:type="dxa"/>
            <w:vAlign w:val="center"/>
          </w:tcPr>
          <w:p>
            <w:pPr>
              <w:pStyle w:val="单元格样式4"/>
            </w:pPr>
            <w:r>
              <w:t xml:space="preserve">9.70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9.70</w:t>
            </w:r>
          </w:p>
        </w:tc>
        <w:tc>
          <w:tcPr>
            <w:tcW w:w="2381" w:type="dxa"/>
            <w:vAlign w:val="center"/>
          </w:tcPr>
          <w:p>
            <w:pPr>
              <w:pStyle w:val="单元格样式4"/>
            </w:pPr>
            <w:r>
              <w:t xml:space="preserve">9.70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晋州市数据和政务服务局本级2026年单位预算信息公开情况说明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按照《中华人民共和国预算法》、《地方预决算公开操作规程》和《关于进一步推进预算公开工作的实施意见》规定，现将晋州市数据和政务服务局本级2026年单位预算公开如下：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贯彻落实中央、省和石家庄市关于推进政府职能转变和“放管服”改革、行政审批制度改革、政务服务管理、公共资源交易管理、社会信用体系建设有关方针政策和法律法规，制定有关政策措施并组织实施。承担市政府推进政府职能转变和“放管服”改革协调小组办公室的日常工作。</w:t>
      </w:r>
    </w:p>
    <w:p>
      <w:pPr>
        <w:pStyle w:val="插入文本样式-插入单位职责文件"/>
      </w:pPr>
      <w:r>
        <w:t xml:space="preserve">（二）负责规范全市行政审批行为，创新和完善相关工作体制机制。推进简政放权，清理和规范各类行政许可等管理事项；承担市行政审批制度改革领导小组办公室日常工作。</w:t>
      </w:r>
    </w:p>
    <w:p>
      <w:pPr>
        <w:pStyle w:val="插入文本样式-插入单位职责文件"/>
      </w:pPr>
      <w:r>
        <w:t xml:space="preserve">（三）负责公共资源交易监督管理工作。拟订全市公共资源交易管理制度和规则并组织实施，编制公共资源交易目录，建设公共资源交易电子平台，推进公共资源交易领域信用体系建设；负责监督市公共资源交易项目进场交易，并对场内交易活动进行监督，将发现的违法违规问题移送有关部门处理；协调开展市公共资源交易活动的联动执法。</w:t>
      </w:r>
    </w:p>
    <w:p>
      <w:pPr>
        <w:pStyle w:val="插入文本样式-插入单位职责文件"/>
      </w:pPr>
      <w:r>
        <w:t xml:space="preserve">（四）负责投资项目、商事登记、市场服务、文教体卫、社会事务、住建交通、农林蓄水、经贸商务、城市管理等方面行政审批事项的办理及相关行政性收费，并承担相应的法律责任。</w:t>
      </w:r>
    </w:p>
    <w:p>
      <w:pPr>
        <w:pStyle w:val="插入文本样式-插入单位职责文件"/>
      </w:pPr>
      <w:r>
        <w:t xml:space="preserve">（五）负责协调派驻部门行政审批事项的办理工作，规范、管理和监督派驻部门行政审批行为。</w:t>
      </w:r>
    </w:p>
    <w:p>
      <w:pPr>
        <w:pStyle w:val="插入文本样式-插入单位职责文件"/>
      </w:pPr>
      <w:r>
        <w:t xml:space="preserve">（六）负责对行政审批、政务服务事项流程进行规范和优化，推进审批服务便民化、标准化建设。</w:t>
      </w:r>
    </w:p>
    <w:p>
      <w:pPr>
        <w:pStyle w:val="插入文本样式-插入单位职责文件"/>
      </w:pPr>
      <w:r>
        <w:t xml:space="preserve">（七）会同有关部门，做好行政审批、政务服务、公共资源交易监督、政务服务平台建设，推行政务服务事项网上办理，形成管理机构、实体大厅、网上平台“三位一体”的政务服务管理模式；推行全市电子证照库建设；负责智慧晋州建设工作。</w:t>
      </w:r>
    </w:p>
    <w:p>
      <w:pPr>
        <w:pStyle w:val="插入文本样式-插入单位职责文件"/>
      </w:pPr>
      <w:r>
        <w:t xml:space="preserve">（八）负责全市社会信用体系建设。拟订社会信用体系发展规划和年度工作要点；推动健全信用法规制度和标准体系；负责信用信息数据库建设，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pPr>
        <w:pStyle w:val="插入文本样式-插入单位职责文件"/>
      </w:pPr>
      <w:r>
        <w:t xml:space="preserve">（九）负责对全市行政审批、政务服务行为进行监督检查，对窗口工作人员进行日常管理、教育培训和检查考核。</w:t>
      </w:r>
    </w:p>
    <w:p>
      <w:pPr>
        <w:pStyle w:val="插入文本样式-插入单位职责文件"/>
      </w:pPr>
      <w:r>
        <w:t xml:space="preserve">（十）负责市直部门已划转行政许可事项涉及的现场勘验、审图、联合验收等工作。</w:t>
      </w:r>
    </w:p>
    <w:p>
      <w:pPr>
        <w:pStyle w:val="插入文本样式-插入单位职责文件"/>
      </w:pPr>
      <w:r>
        <w:t xml:space="preserve">（十一）负责行政审批信息化工作。负责市级行政审批信息资料的保管、整理、统计、编目和定期检查工作。</w:t>
      </w:r>
    </w:p>
    <w:p>
      <w:pPr>
        <w:pStyle w:val="插入文本样式-插入单位职责文件"/>
      </w:pPr>
      <w:r>
        <w:t xml:space="preserve">（十二）指导各乡镇和开发区的行政审批工作。</w:t>
      </w:r>
    </w:p>
    <w:p>
      <w:pPr>
        <w:pStyle w:val="插入文本样式-插入单位职责文件"/>
      </w:pPr>
      <w:r>
        <w:t xml:space="preserve">（十三）负责推动政务服务事项网上办理，协同推进政务服务同一事项，同一编码，同一网上技术规范。负责政府服务数据采集、汇聚、开放、共享，建设全市政务平台事项库，构建一体化在线政务服务平台，推进在线政务服务平台规范化、标准化、集约化建设，编制公开政务数据目录并及时动态更新，打破“信息孤岛”，实现政务数据、公共数据的互联互通，为提升政府治理水平、促进保障和改善民生提供数据资源保障服务。</w:t>
      </w:r>
    </w:p>
    <w:p>
      <w:pPr>
        <w:pStyle w:val="插入文本样式-插入单位职责文件"/>
      </w:pPr>
      <w:r>
        <w:t xml:space="preserve">（十四）完成市委、市政府交办的其他任务。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晋州市数据和政务服务局本级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1567.85万元，其中：一般公共预算收入1559.89万元，基金预算收入0.00万元，国有资本经营预算收入0.00万元，财政专户核拨收入0.00万元，单位资金收入0.00万元，上年结转结余7.96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晋州市数据和政务服务局本级年度单位预算中支出预算的总体情况。2026年支出预算1567.85万元，其中基本支出889.73万元，包括人员经费774.66万元和日常公用经费115.07万元；项目支出678.12万元，主要为便民服务中心公共卫生费、个体工商专网费、水电费及运行维护和保洁费、乡村便民服务站（室）网络租费、项目建设评审费、信用联合办公经费、业务培训及印制宣传费、运行维护费、其他劳务派遣人员、（业务费）；预计下年使用的单位资金结余0.00万元。委托业务费共计安排162.50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1567.85万元，较2025年预算增加34.34万元，其中：基本支出增加28.48万元，主要为2026年度人员增加，相应的日常基本经费支出增加。项目支出增加5.86万元，主要为其他劳务派遣人员费用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2026年，我单位机关运行经费共计安排115.07万元，主要用于日常维修、办公用房水电费、办公用房取暖费、办公用房物业管理费等日常运行支出。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9.70万元，其中因公出国（境）费0.00万元；公务用车购置及运维费9.70万元（其中：公务用车购置费为0.00万元，公务用车运维费9.70万元)；公务接待费0.00万元。与2025年相比减少0.30万元，增减变化的主要原因是为压减开支，公车运行维护费减少。</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1、（业务费）绩效目标表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13018326P00032810199Y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（业务费）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用于便民服务中心办公经费支出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1.目标内容公共水电费支出、清洁卫生管理费用、维护保养费、设备日常运行等开支，确保便民服务中心功能得以充分发挥。</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服务人次</w:t>
            </w:r>
          </w:p>
        </w:tc>
        <w:tc>
          <w:tcPr>
            <w:tcW w:w="5386" w:type="dxa"/>
            <w:vAlign w:val="center"/>
          </w:tcPr>
          <w:p>
            <w:pPr>
              <w:pStyle w:val="单元格样式2"/>
            </w:pPr>
            <w:r>
              <w:t xml:space="preserve">每个工作日服务办事群众人数。</w:t>
            </w:r>
          </w:p>
        </w:tc>
        <w:tc>
          <w:tcPr>
            <w:tcW w:w="2268" w:type="dxa"/>
            <w:vAlign w:val="center"/>
          </w:tcPr>
          <w:p>
            <w:pPr>
              <w:pStyle w:val="单元格样式2"/>
            </w:pPr>
            <w:r>
              <w:t xml:space="preserve">≥1000 人次</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提供的服务达到的标准、水平和效</w:t>
            </w:r>
          </w:p>
        </w:tc>
        <w:tc>
          <w:tcPr>
            <w:tcW w:w="5386" w:type="dxa"/>
            <w:vAlign w:val="center"/>
          </w:tcPr>
          <w:p>
            <w:pPr>
              <w:pStyle w:val="单元格样式2"/>
            </w:pPr>
            <w:r>
              <w:t xml:space="preserve">为企业和群众提供方便。</w:t>
            </w:r>
          </w:p>
        </w:tc>
        <w:tc>
          <w:tcPr>
            <w:tcW w:w="2268" w:type="dxa"/>
            <w:vAlign w:val="center"/>
          </w:tcPr>
          <w:p>
            <w:pPr>
              <w:pStyle w:val="单元格样式2"/>
            </w:pPr>
            <w:r>
              <w:t xml:space="preserve">提高服务</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服务群众按规定时效完成。</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1.5 万元</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产出对社会发展带来的影响和效果</w:t>
            </w:r>
          </w:p>
        </w:tc>
        <w:tc>
          <w:tcPr>
            <w:tcW w:w="5386" w:type="dxa"/>
            <w:vAlign w:val="center"/>
          </w:tcPr>
          <w:p>
            <w:pPr>
              <w:pStyle w:val="单元格样式2"/>
            </w:pPr>
            <w:r>
              <w:t xml:space="preserve">确保便民服务中心功能得以充分发挥。</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社会公众或服务对象满意度</w:t>
            </w:r>
          </w:p>
        </w:tc>
        <w:tc>
          <w:tcPr>
            <w:tcW w:w="5386" w:type="dxa"/>
            <w:vAlign w:val="center"/>
          </w:tcPr>
          <w:p>
            <w:pPr>
              <w:pStyle w:val="单元格样式2"/>
            </w:pPr>
            <w:r>
              <w:t xml:space="preserve">社会公众或服务对象及群众对该项目实施效果非常满意</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2、便民服务中心公共卫生费绩效目标表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13018326P00032810198B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便民服务中心公共卫生费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用于支付便民服务中心的公共卫生费。</w:t>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1.为提高便民服务中心基本公共卫生服务水平，创造一个舒适、干净、整洁的公共场所。</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公共卫生服务达标率</w:t>
            </w:r>
          </w:p>
        </w:tc>
        <w:tc>
          <w:tcPr>
            <w:tcW w:w="5386" w:type="dxa"/>
            <w:vAlign w:val="center"/>
          </w:tcPr>
          <w:p>
            <w:pPr>
              <w:pStyle w:val="单元格样式2"/>
            </w:pPr>
            <w:r>
              <w:t xml:space="preserve">公共卫生服务设施达标率</w:t>
            </w:r>
          </w:p>
        </w:tc>
        <w:tc>
          <w:tcPr>
            <w:tcW w:w="2268" w:type="dxa"/>
            <w:vAlign w:val="center"/>
          </w:tcPr>
          <w:p>
            <w:pPr>
              <w:pStyle w:val="单元格样式2"/>
            </w:pPr>
            <w:r>
              <w:t xml:space="preserve">≥90 %</w:t>
            </w:r>
          </w:p>
        </w:tc>
        <w:tc>
          <w:tcPr>
            <w:tcW w:w="1276" w:type="dxa"/>
            <w:vAlign w:val="center"/>
          </w:tcPr>
          <w:p>
            <w:pPr>
              <w:pStyle w:val="单元格样式2"/>
            </w:pPr>
            <w:r>
              <w:t xml:space="preserve"> 便民服务中心公共卫生经费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公共卫生干净整洁</w:t>
            </w:r>
          </w:p>
        </w:tc>
        <w:tc>
          <w:tcPr>
            <w:tcW w:w="5386" w:type="dxa"/>
            <w:vAlign w:val="center"/>
          </w:tcPr>
          <w:p>
            <w:pPr>
              <w:pStyle w:val="单元格样式2"/>
            </w:pPr>
            <w:r>
              <w:t xml:space="preserve"> 便民服务中心整体环境舒适整洁。</w:t>
            </w:r>
          </w:p>
        </w:tc>
        <w:tc>
          <w:tcPr>
            <w:tcW w:w="2268" w:type="dxa"/>
            <w:vAlign w:val="center"/>
          </w:tcPr>
          <w:p>
            <w:pPr>
              <w:pStyle w:val="单元格样式2"/>
            </w:pPr>
            <w:r>
              <w:t xml:space="preserve">公共卫生水平整体提高</w:t>
            </w:r>
          </w:p>
        </w:tc>
        <w:tc>
          <w:tcPr>
            <w:tcW w:w="1276" w:type="dxa"/>
            <w:vAlign w:val="center"/>
          </w:tcPr>
          <w:p>
            <w:pPr>
              <w:pStyle w:val="单元格样式2"/>
            </w:pPr>
            <w:r>
              <w:t xml:space="preserve"> 便民服务中心公共卫生经费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≥80%</w:t>
            </w:r>
          </w:p>
        </w:tc>
        <w:tc>
          <w:tcPr>
            <w:tcW w:w="1276" w:type="dxa"/>
            <w:vAlign w:val="center"/>
          </w:tcPr>
          <w:p>
            <w:pPr>
              <w:pStyle w:val="单元格样式2"/>
            </w:pPr>
            <w:r>
              <w:t xml:space="preserve"> 便民服务中心公共卫生经费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19.2 万元</w:t>
            </w:r>
          </w:p>
        </w:tc>
        <w:tc>
          <w:tcPr>
            <w:tcW w:w="1276" w:type="dxa"/>
            <w:vAlign w:val="center"/>
          </w:tcPr>
          <w:p>
            <w:pPr>
              <w:pStyle w:val="单元格样式2"/>
            </w:pPr>
            <w:r>
              <w:t xml:space="preserve"> 便民服务中心公共卫生经费</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提升公共服务水平和质量</w:t>
            </w:r>
          </w:p>
        </w:tc>
        <w:tc>
          <w:tcPr>
            <w:tcW w:w="5386" w:type="dxa"/>
            <w:vAlign w:val="center"/>
          </w:tcPr>
          <w:p>
            <w:pPr>
              <w:pStyle w:val="单元格样式2"/>
            </w:pPr>
            <w:r>
              <w:t xml:space="preserve">提升公共服务水平和质量</w:t>
            </w:r>
          </w:p>
        </w:tc>
        <w:tc>
          <w:tcPr>
            <w:tcW w:w="2268" w:type="dxa"/>
            <w:vAlign w:val="center"/>
          </w:tcPr>
          <w:p>
            <w:pPr>
              <w:pStyle w:val="单元格样式2"/>
            </w:pPr>
            <w:r>
              <w:t xml:space="preserve">≥80%</w:t>
            </w:r>
          </w:p>
        </w:tc>
        <w:tc>
          <w:tcPr>
            <w:tcW w:w="1276" w:type="dxa"/>
            <w:vAlign w:val="center"/>
          </w:tcPr>
          <w:p>
            <w:pPr>
              <w:pStyle w:val="单元格样式2"/>
            </w:pPr>
            <w:r>
              <w:t xml:space="preserve"> 便民服务中心公共卫生经费</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社会公众或服务对象满意度</w:t>
            </w:r>
          </w:p>
        </w:tc>
        <w:tc>
          <w:tcPr>
            <w:tcW w:w="5386" w:type="dxa"/>
            <w:vAlign w:val="center"/>
          </w:tcPr>
          <w:p>
            <w:pPr>
              <w:pStyle w:val="单元格样式2"/>
            </w:pPr>
            <w:r>
              <w:t xml:space="preserve">社会公众或服务对象及群众对该项目实施效果非常满意</w:t>
            </w:r>
          </w:p>
        </w:tc>
        <w:tc>
          <w:tcPr>
            <w:tcW w:w="2268" w:type="dxa"/>
            <w:vAlign w:val="center"/>
          </w:tcPr>
          <w:p>
            <w:pPr>
              <w:pStyle w:val="单元格样式2"/>
            </w:pPr>
            <w:r>
              <w:t xml:space="preserve">≥90 %</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3、个体工商专网费绩效目标表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13018326P000328101964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个体工商专网费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支付12条"工商专网"线路的网络租费</w:t>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1.主要用于在市便民服务中心及11个乡镇（开发区）便民服务站分设""个体工商登记窗口""，共用12条""工商专网""线路暨河北省经济户籍库的正常使用。</w:t>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服务人次</w:t>
            </w:r>
          </w:p>
        </w:tc>
        <w:tc>
          <w:tcPr>
            <w:tcW w:w="5386" w:type="dxa"/>
            <w:vAlign w:val="center"/>
          </w:tcPr>
          <w:p>
            <w:pPr>
              <w:pStyle w:val="单元格样式2"/>
            </w:pPr>
            <w:r>
              <w:t xml:space="preserve">每个工作日服务办事群众1000人次</w:t>
            </w:r>
          </w:p>
        </w:tc>
        <w:tc>
          <w:tcPr>
            <w:tcW w:w="2268" w:type="dxa"/>
            <w:vAlign w:val="center"/>
          </w:tcPr>
          <w:p>
            <w:pPr>
              <w:pStyle w:val="单元格样式2"/>
            </w:pPr>
            <w:r>
              <w:t xml:space="preserve">≥1000 人次</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提供的服务达到的标准、水平和效果</w:t>
            </w:r>
          </w:p>
        </w:tc>
        <w:tc>
          <w:tcPr>
            <w:tcW w:w="5386" w:type="dxa"/>
            <w:vAlign w:val="center"/>
          </w:tcPr>
          <w:p>
            <w:pPr>
              <w:pStyle w:val="单元格样式2"/>
            </w:pPr>
            <w:r>
              <w:t xml:space="preserve">“工商专网”的有效使用，做到简化办事程序、提高工作效率、降低行政成本。</w:t>
            </w:r>
          </w:p>
        </w:tc>
        <w:tc>
          <w:tcPr>
            <w:tcW w:w="2268" w:type="dxa"/>
            <w:vAlign w:val="center"/>
          </w:tcPr>
          <w:p>
            <w:pPr>
              <w:pStyle w:val="单元格样式2"/>
            </w:pPr>
            <w:r>
              <w:t xml:space="preserve">≥80%</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服务群众按规定时效完成。</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5.76 万元</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单位的工作正常运转率</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社会公众或服务对象满意度</w:t>
            </w:r>
          </w:p>
        </w:tc>
        <w:tc>
          <w:tcPr>
            <w:tcW w:w="5386" w:type="dxa"/>
            <w:vAlign w:val="center"/>
          </w:tcPr>
          <w:p>
            <w:pPr>
              <w:pStyle w:val="单元格样式2"/>
            </w:pPr>
            <w:r>
              <w:t xml:space="preserve">社会公众或服务对象及群众对该项目实施效果非常满意</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4、晋州市拖欠企业账款项目（晋州市数据和政务服务局货物类、服务类）绩效目标表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13018325P00006411457P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晋州市拖欠企业账款项目（晋州市数据和政务服务局货物类、服务类）</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偿还数政局拖欠企业50万元以下货物和服务类账款，共计146笔，金额合计673.1454万元。</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1.偿还数政局拖欠企业50万元以下货物和服务类账款，共计146笔，金额合计673.1454万元。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拖欠企业账款笔数</w:t>
            </w:r>
          </w:p>
        </w:tc>
        <w:tc>
          <w:tcPr>
            <w:tcW w:w="5386" w:type="dxa"/>
            <w:vAlign w:val="center"/>
          </w:tcPr>
          <w:p>
            <w:pPr>
              <w:pStyle w:val="单元格样式2"/>
            </w:pPr>
            <w:r>
              <w:t xml:space="preserve">拖欠企业账款笔数</w:t>
            </w:r>
          </w:p>
        </w:tc>
        <w:tc>
          <w:tcPr>
            <w:tcW w:w="2268" w:type="dxa"/>
            <w:vAlign w:val="center"/>
          </w:tcPr>
          <w:p>
            <w:pPr>
              <w:pStyle w:val="单元格样式2"/>
            </w:pPr>
            <w:r>
              <w:t xml:space="preserve">146个</w:t>
            </w:r>
          </w:p>
        </w:tc>
        <w:tc>
          <w:tcPr>
            <w:tcW w:w="1276" w:type="dxa"/>
            <w:vAlign w:val="center"/>
          </w:tcPr>
          <w:p>
            <w:pPr>
              <w:pStyle w:val="单元格样式2"/>
            </w:pPr>
            <w:r>
              <w:t xml:space="preserve">关于申请拨付机关、全额事业单位50万元以下工程款专项债资金的请示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财政拨款保障率</w:t>
            </w:r>
          </w:p>
        </w:tc>
        <w:tc>
          <w:tcPr>
            <w:tcW w:w="5386" w:type="dxa"/>
            <w:vAlign w:val="center"/>
          </w:tcPr>
          <w:p>
            <w:pPr>
              <w:pStyle w:val="单元格样式2"/>
            </w:pPr>
            <w:r>
              <w:t xml:space="preserve">财政拨款保障率</w:t>
            </w:r>
          </w:p>
        </w:tc>
        <w:tc>
          <w:tcPr>
            <w:tcW w:w="2268" w:type="dxa"/>
            <w:vAlign w:val="center"/>
          </w:tcPr>
          <w:p>
            <w:pPr>
              <w:pStyle w:val="单元格样式2"/>
            </w:pPr>
            <w:r>
              <w:t xml:space="preserve">100%</w:t>
            </w:r>
          </w:p>
        </w:tc>
        <w:tc>
          <w:tcPr>
            <w:tcW w:w="1276" w:type="dxa"/>
            <w:vAlign w:val="center"/>
          </w:tcPr>
          <w:p>
            <w:pPr>
              <w:pStyle w:val="单元格样式2"/>
            </w:pPr>
            <w:r>
              <w:t xml:space="preserve">关于申请拨付机关、全额事业单位50万元以下工程款专项债资金的请示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账款到位时间</w:t>
            </w:r>
          </w:p>
        </w:tc>
        <w:tc>
          <w:tcPr>
            <w:tcW w:w="5386" w:type="dxa"/>
            <w:vAlign w:val="center"/>
          </w:tcPr>
          <w:p>
            <w:pPr>
              <w:pStyle w:val="单元格样式2"/>
            </w:pPr>
            <w:r>
              <w:t xml:space="preserve">账款到位时间</w:t>
            </w:r>
          </w:p>
        </w:tc>
        <w:tc>
          <w:tcPr>
            <w:tcW w:w="2268" w:type="dxa"/>
            <w:vAlign w:val="center"/>
          </w:tcPr>
          <w:p>
            <w:pPr>
              <w:pStyle w:val="单元格样式2"/>
            </w:pPr>
            <w:r>
              <w:t xml:space="preserve">2025年8月31日之前</w:t>
            </w:r>
          </w:p>
        </w:tc>
        <w:tc>
          <w:tcPr>
            <w:tcW w:w="1276" w:type="dxa"/>
            <w:vAlign w:val="center"/>
          </w:tcPr>
          <w:p>
            <w:pPr>
              <w:pStyle w:val="单元格样式2"/>
            </w:pPr>
            <w:r>
              <w:t xml:space="preserve">关于申请拨付机关、全额事业单位50万元以下工程款专项债资金的请示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本次下达企业账款数</w:t>
            </w:r>
          </w:p>
        </w:tc>
        <w:tc>
          <w:tcPr>
            <w:tcW w:w="5386" w:type="dxa"/>
            <w:vAlign w:val="center"/>
          </w:tcPr>
          <w:p>
            <w:pPr>
              <w:pStyle w:val="单元格样式2"/>
            </w:pPr>
            <w:r>
              <w:t xml:space="preserve">本次下达企业账款数</w:t>
            </w:r>
          </w:p>
        </w:tc>
        <w:tc>
          <w:tcPr>
            <w:tcW w:w="2268" w:type="dxa"/>
            <w:vAlign w:val="center"/>
          </w:tcPr>
          <w:p>
            <w:pPr>
              <w:pStyle w:val="单元格样式2"/>
            </w:pPr>
            <w:r>
              <w:t xml:space="preserve">6731454元</w:t>
            </w:r>
          </w:p>
        </w:tc>
        <w:tc>
          <w:tcPr>
            <w:tcW w:w="1276" w:type="dxa"/>
            <w:vAlign w:val="center"/>
          </w:tcPr>
          <w:p>
            <w:pPr>
              <w:pStyle w:val="单元格样式2"/>
            </w:pPr>
            <w:r>
              <w:t xml:space="preserve">关于申请拨付机关、全额事业单位50万元以下工程款专项债资金的请示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及时偿还拖欠账款，维护社会稳定</w:t>
            </w:r>
          </w:p>
        </w:tc>
        <w:tc>
          <w:tcPr>
            <w:tcW w:w="5386" w:type="dxa"/>
            <w:vAlign w:val="center"/>
          </w:tcPr>
          <w:p>
            <w:pPr>
              <w:pStyle w:val="单元格样式2"/>
            </w:pPr>
            <w:r>
              <w:t xml:space="preserve">及时偿还拖欠账款，维护社会稳定</w:t>
            </w:r>
          </w:p>
        </w:tc>
        <w:tc>
          <w:tcPr>
            <w:tcW w:w="2268" w:type="dxa"/>
            <w:vAlign w:val="center"/>
          </w:tcPr>
          <w:p>
            <w:pPr>
              <w:pStyle w:val="单元格样式2"/>
            </w:pPr>
            <w:r>
              <w:t xml:space="preserve">有效推动</w:t>
            </w:r>
          </w:p>
        </w:tc>
        <w:tc>
          <w:tcPr>
            <w:tcW w:w="1276" w:type="dxa"/>
            <w:vAlign w:val="center"/>
          </w:tcPr>
          <w:p>
            <w:pPr>
              <w:pStyle w:val="单元格样式2"/>
            </w:pPr>
            <w:r>
              <w:t xml:space="preserve">调查问卷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w:t>
            </w:r>
          </w:p>
        </w:tc>
        <w:tc>
          <w:tcPr>
            <w:tcW w:w="5386" w:type="dxa"/>
            <w:vAlign w:val="center"/>
          </w:tcPr>
          <w:p>
            <w:pPr>
              <w:pStyle w:val="单元格样式2"/>
            </w:pPr>
            <w:r>
              <w:t xml:space="preserve">企业满意度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5、其他劳务派遣人员绩效目标表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13018326P00032810194W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其他劳务派遣人员</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支付劳务派遣人员的工资、各类保险、培训等。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1.目标内容保证劳务派遣人员的工资、各种保险等相关费用，便于工作的顺利开展。</w:t>
            </w:r>
          </w:p>
          <w:p>
            <w:pPr>
              <w:pStyle w:val="单元格样式2"/>
            </w:pP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实际发放工资人数</w:t>
            </w:r>
          </w:p>
        </w:tc>
        <w:tc>
          <w:tcPr>
            <w:tcW w:w="5386" w:type="dxa"/>
            <w:vAlign w:val="center"/>
          </w:tcPr>
          <w:p>
            <w:pPr>
              <w:pStyle w:val="单元格样式2"/>
            </w:pPr>
            <w:r>
              <w:t xml:space="preserve"> 实际发放工资人数</w:t>
            </w:r>
          </w:p>
        </w:tc>
        <w:tc>
          <w:tcPr>
            <w:tcW w:w="2268" w:type="dxa"/>
            <w:vAlign w:val="center"/>
          </w:tcPr>
          <w:p>
            <w:pPr>
              <w:pStyle w:val="单元格样式2"/>
            </w:pPr>
            <w:r>
              <w:t xml:space="preserve">39 人</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保障工作质量</w:t>
            </w:r>
          </w:p>
        </w:tc>
        <w:tc>
          <w:tcPr>
            <w:tcW w:w="5386" w:type="dxa"/>
            <w:vAlign w:val="center"/>
          </w:tcPr>
          <w:p>
            <w:pPr>
              <w:pStyle w:val="单元格样式2"/>
            </w:pPr>
            <w:r>
              <w:t xml:space="preserve">保障工作质量</w:t>
            </w:r>
          </w:p>
        </w:tc>
        <w:tc>
          <w:tcPr>
            <w:tcW w:w="2268" w:type="dxa"/>
            <w:vAlign w:val="center"/>
          </w:tcPr>
          <w:p>
            <w:pPr>
              <w:pStyle w:val="单元格样式2"/>
            </w:pPr>
            <w:r>
              <w:t xml:space="preserve">≥90%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162.5 万元</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业务保障能力持续提升</w:t>
            </w:r>
          </w:p>
        </w:tc>
        <w:tc>
          <w:tcPr>
            <w:tcW w:w="5386" w:type="dxa"/>
            <w:vAlign w:val="center"/>
          </w:tcPr>
          <w:p>
            <w:pPr>
              <w:pStyle w:val="单元格样式2"/>
            </w:pPr>
            <w:r>
              <w:t xml:space="preserve">为工作人员提供良好的办公环境，保障业务开展</w:t>
            </w:r>
          </w:p>
        </w:tc>
        <w:tc>
          <w:tcPr>
            <w:tcW w:w="2268" w:type="dxa"/>
            <w:vAlign w:val="center"/>
          </w:tcPr>
          <w:p>
            <w:pPr>
              <w:pStyle w:val="单元格样式2"/>
            </w:pPr>
            <w:r>
              <w:t xml:space="preserve">正常运转</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39名劳务派遣</w:t>
            </w:r>
          </w:p>
        </w:tc>
        <w:tc>
          <w:tcPr>
            <w:tcW w:w="5386" w:type="dxa"/>
            <w:vAlign w:val="center"/>
          </w:tcPr>
          <w:p>
            <w:pPr>
              <w:pStyle w:val="单元格样式2"/>
            </w:pPr>
            <w:r>
              <w:t xml:space="preserve">本单位劳务派遣人员满意人数比上本单位劳务派遣总人数，测算对项目实施效果的满意程度。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6、水电费及运行维护和保洁费绩效目标表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13018326P00032810192M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水电费及运行维护和保洁费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支付便民服务中心水电费、清洁卫生管理费用、维修维护及保养费、保洁费、设备日常运行费等。</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1.保证便民服务中心正常运行，所需的公共水电费支出、清洁卫生管理费用、维修维护及保养费、保洁费、设备日常运行、日常开支等开支。</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用电保障办公面积</w:t>
            </w:r>
          </w:p>
        </w:tc>
        <w:tc>
          <w:tcPr>
            <w:tcW w:w="5386" w:type="dxa"/>
            <w:vAlign w:val="center"/>
          </w:tcPr>
          <w:p>
            <w:pPr>
              <w:pStyle w:val="单元格样式2"/>
            </w:pPr>
            <w:r>
              <w:t xml:space="preserve">用电保障办公面积</w:t>
            </w:r>
          </w:p>
        </w:tc>
        <w:tc>
          <w:tcPr>
            <w:tcW w:w="2268" w:type="dxa"/>
            <w:vAlign w:val="center"/>
          </w:tcPr>
          <w:p>
            <w:pPr>
              <w:pStyle w:val="单元格样式2"/>
            </w:pPr>
            <w:r>
              <w:t xml:space="preserve">≥14000平方米</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提供的服务达到的标准、水平和效果</w:t>
            </w:r>
          </w:p>
        </w:tc>
        <w:tc>
          <w:tcPr>
            <w:tcW w:w="5386" w:type="dxa"/>
            <w:vAlign w:val="center"/>
          </w:tcPr>
          <w:p>
            <w:pPr>
              <w:pStyle w:val="单元格样式2"/>
            </w:pPr>
            <w:r>
              <w:t xml:space="preserve">保障日常运转，建设现代化工作环境，提高社会群众的满意度。</w:t>
            </w:r>
          </w:p>
        </w:tc>
        <w:tc>
          <w:tcPr>
            <w:tcW w:w="2268" w:type="dxa"/>
            <w:vAlign w:val="center"/>
          </w:tcPr>
          <w:p>
            <w:pPr>
              <w:pStyle w:val="单元格样式2"/>
            </w:pPr>
            <w:r>
              <w:t xml:space="preserve">≥80 %</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工作开展及时性</w:t>
            </w:r>
          </w:p>
        </w:tc>
        <w:tc>
          <w:tcPr>
            <w:tcW w:w="5386" w:type="dxa"/>
            <w:vAlign w:val="center"/>
          </w:tcPr>
          <w:p>
            <w:pPr>
              <w:pStyle w:val="单元格样式2"/>
            </w:pPr>
            <w:r>
              <w:t xml:space="preserve">工作开展及时性</w:t>
            </w:r>
          </w:p>
        </w:tc>
        <w:tc>
          <w:tcPr>
            <w:tcW w:w="2268" w:type="dxa"/>
            <w:vAlign w:val="center"/>
          </w:tcPr>
          <w:p>
            <w:pPr>
              <w:pStyle w:val="单元格样式2"/>
            </w:pPr>
            <w:r>
              <w:t xml:space="preserve">≥80 %</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110万元</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满足正常办公需求</w:t>
            </w:r>
          </w:p>
        </w:tc>
        <w:tc>
          <w:tcPr>
            <w:tcW w:w="5386" w:type="dxa"/>
            <w:vAlign w:val="center"/>
          </w:tcPr>
          <w:p>
            <w:pPr>
              <w:pStyle w:val="单元格样式2"/>
            </w:pPr>
            <w:r>
              <w:t xml:space="preserve">保障人员正常办公</w:t>
            </w:r>
          </w:p>
        </w:tc>
        <w:tc>
          <w:tcPr>
            <w:tcW w:w="2268" w:type="dxa"/>
            <w:vAlign w:val="center"/>
          </w:tcPr>
          <w:p>
            <w:pPr>
              <w:pStyle w:val="单元格样式2"/>
            </w:pPr>
            <w:r>
              <w:t xml:space="preserve"> 正常工作</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≥80 %</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7、乡村便民服务站（室）网络租费绩效目标表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13018326P000328101912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乡村便民服务站（室）网络租费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支付乡村便民服务室网络租费</w:t>
            </w:r>
            <w:r>
              <w:tab/>
            </w:r>
            <w:r>
              <w:tab/>
            </w:r>
            <w:r>
              <w:tab/>
            </w:r>
          </w:p>
          <w:p>
            <w:pPr>
              <w:pStyle w:val="单元格样式2"/>
            </w:pP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1.11个乡镇（开发区）便民服务站和224个村级便民服务室，网络租费</w:t>
            </w:r>
            <w:r>
              <w:tab/>
            </w:r>
            <w:r>
              <w:tab/>
            </w:r>
            <w:r>
              <w:tab/>
            </w:r>
          </w:p>
          <w:p>
            <w:pPr>
              <w:pStyle w:val="单元格样式2"/>
            </w:pP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服务人次</w:t>
            </w:r>
          </w:p>
        </w:tc>
        <w:tc>
          <w:tcPr>
            <w:tcW w:w="5386" w:type="dxa"/>
            <w:vAlign w:val="center"/>
          </w:tcPr>
          <w:p>
            <w:pPr>
              <w:pStyle w:val="单元格样式2"/>
            </w:pPr>
            <w:r>
              <w:t xml:space="preserve">每个工作日服务办事群众1000人次</w:t>
            </w:r>
          </w:p>
        </w:tc>
        <w:tc>
          <w:tcPr>
            <w:tcW w:w="2268" w:type="dxa"/>
            <w:vAlign w:val="center"/>
          </w:tcPr>
          <w:p>
            <w:pPr>
              <w:pStyle w:val="单元格样式2"/>
            </w:pPr>
            <w:r>
              <w:t xml:space="preserve">≥1000 人次</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提供的服务达到的标准、水平和效果</w:t>
            </w:r>
          </w:p>
        </w:tc>
        <w:tc>
          <w:tcPr>
            <w:tcW w:w="5386" w:type="dxa"/>
            <w:vAlign w:val="center"/>
          </w:tcPr>
          <w:p>
            <w:pPr>
              <w:pStyle w:val="单元格样式2"/>
            </w:pPr>
            <w:r>
              <w:t xml:space="preserve">电子政务应用建设整体水平也在不断提高，信息网站功能逐步完善，群众满意。</w:t>
            </w:r>
          </w:p>
        </w:tc>
        <w:tc>
          <w:tcPr>
            <w:tcW w:w="2268" w:type="dxa"/>
            <w:vAlign w:val="center"/>
          </w:tcPr>
          <w:p>
            <w:pPr>
              <w:pStyle w:val="单元格样式2"/>
            </w:pPr>
            <w:r>
              <w:t xml:space="preserve">≥80%</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服务群众按规定时效完成。</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27.09 万元</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本单位的工作正常运转率</w:t>
            </w:r>
          </w:p>
        </w:tc>
        <w:tc>
          <w:tcPr>
            <w:tcW w:w="2268" w:type="dxa"/>
            <w:vAlign w:val="center"/>
          </w:tcPr>
          <w:p>
            <w:pPr>
              <w:pStyle w:val="单元格样式2"/>
            </w:pPr>
            <w:r>
              <w:t xml:space="preserve">≥80%</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社会公众或服务对象满意度</w:t>
            </w:r>
          </w:p>
        </w:tc>
        <w:tc>
          <w:tcPr>
            <w:tcW w:w="5386" w:type="dxa"/>
            <w:vAlign w:val="center"/>
          </w:tcPr>
          <w:p>
            <w:pPr>
              <w:pStyle w:val="单元格样式2"/>
            </w:pPr>
            <w:r>
              <w:t xml:space="preserve">社会公众或服务对象及群众对该项目实施效果非常满意</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8、项目建设评审费绩效目标表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13018326P000328101770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项目建设评审费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支付项目评估评审费。</w:t>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1.主要用于评估（审查）咨询服务，用于项目申请报告评估、可行性研究报告、社会稳定风险评估、初步设计（概算）评估、节能评估。</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项目评审金额</w:t>
            </w:r>
          </w:p>
        </w:tc>
        <w:tc>
          <w:tcPr>
            <w:tcW w:w="5386" w:type="dxa"/>
            <w:vAlign w:val="center"/>
          </w:tcPr>
          <w:p>
            <w:pPr>
              <w:pStyle w:val="单元格样式2"/>
            </w:pPr>
            <w:r>
              <w:t xml:space="preserve">项目评审费用</w:t>
            </w:r>
          </w:p>
        </w:tc>
        <w:tc>
          <w:tcPr>
            <w:tcW w:w="2268" w:type="dxa"/>
            <w:vAlign w:val="center"/>
          </w:tcPr>
          <w:p>
            <w:pPr>
              <w:pStyle w:val="单元格样式2"/>
            </w:pPr>
            <w:r>
              <w:t xml:space="preserve">180万元</w:t>
            </w:r>
          </w:p>
        </w:tc>
        <w:tc>
          <w:tcPr>
            <w:tcW w:w="1276" w:type="dxa"/>
            <w:vAlign w:val="center"/>
          </w:tcPr>
          <w:p>
            <w:pPr>
              <w:pStyle w:val="单元格样式2"/>
            </w:pPr>
            <w:r>
              <w:t xml:space="preserve"> 项目建设评审费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数据质量</w:t>
            </w:r>
          </w:p>
        </w:tc>
        <w:tc>
          <w:tcPr>
            <w:tcW w:w="5386" w:type="dxa"/>
            <w:vAlign w:val="center"/>
          </w:tcPr>
          <w:p>
            <w:pPr>
              <w:pStyle w:val="单元格样式2"/>
            </w:pPr>
            <w:r>
              <w:t xml:space="preserve">项目评审数据质量</w:t>
            </w:r>
          </w:p>
        </w:tc>
        <w:tc>
          <w:tcPr>
            <w:tcW w:w="2268" w:type="dxa"/>
            <w:vAlign w:val="center"/>
          </w:tcPr>
          <w:p>
            <w:pPr>
              <w:pStyle w:val="单元格样式2"/>
            </w:pPr>
            <w:r>
              <w:t xml:space="preserve">≥90 %</w:t>
            </w:r>
          </w:p>
        </w:tc>
        <w:tc>
          <w:tcPr>
            <w:tcW w:w="1276" w:type="dxa"/>
            <w:vAlign w:val="center"/>
          </w:tcPr>
          <w:p>
            <w:pPr>
              <w:pStyle w:val="单元格样式2"/>
            </w:pPr>
            <w:r>
              <w:t xml:space="preserve"> 项目建设评审费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按规定时效完成各类项目评审。</w:t>
            </w:r>
          </w:p>
        </w:tc>
        <w:tc>
          <w:tcPr>
            <w:tcW w:w="2268" w:type="dxa"/>
            <w:vAlign w:val="center"/>
          </w:tcPr>
          <w:p>
            <w:pPr>
              <w:pStyle w:val="单元格样式2"/>
            </w:pPr>
            <w:r>
              <w:t xml:space="preserve">≥90 %</w:t>
            </w:r>
          </w:p>
        </w:tc>
        <w:tc>
          <w:tcPr>
            <w:tcW w:w="1276" w:type="dxa"/>
            <w:vAlign w:val="center"/>
          </w:tcPr>
          <w:p>
            <w:pPr>
              <w:pStyle w:val="单元格样式2"/>
            </w:pPr>
            <w:r>
              <w:t xml:space="preserve"> 项目建设评审费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评审总经费</w:t>
            </w:r>
          </w:p>
        </w:tc>
        <w:tc>
          <w:tcPr>
            <w:tcW w:w="5386" w:type="dxa"/>
            <w:vAlign w:val="center"/>
          </w:tcPr>
          <w:p>
            <w:pPr>
              <w:pStyle w:val="单元格样式2"/>
            </w:pPr>
            <w:r>
              <w:t xml:space="preserve">评审总经费</w:t>
            </w:r>
          </w:p>
        </w:tc>
        <w:tc>
          <w:tcPr>
            <w:tcW w:w="2268" w:type="dxa"/>
            <w:vAlign w:val="center"/>
          </w:tcPr>
          <w:p>
            <w:pPr>
              <w:pStyle w:val="单元格样式2"/>
            </w:pPr>
            <w:r>
              <w:t xml:space="preserve">180 万元</w:t>
            </w:r>
          </w:p>
        </w:tc>
        <w:tc>
          <w:tcPr>
            <w:tcW w:w="1276" w:type="dxa"/>
            <w:vAlign w:val="center"/>
          </w:tcPr>
          <w:p>
            <w:pPr>
              <w:pStyle w:val="单元格样式2"/>
            </w:pPr>
            <w:r>
              <w:t xml:space="preserve"> 项目建设评审费</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产出对社会发展带来的影响和效果</w:t>
            </w:r>
          </w:p>
        </w:tc>
        <w:tc>
          <w:tcPr>
            <w:tcW w:w="5386" w:type="dxa"/>
            <w:vAlign w:val="center"/>
          </w:tcPr>
          <w:p>
            <w:pPr>
              <w:pStyle w:val="单元格样式2"/>
            </w:pPr>
            <w:r>
              <w:t xml:space="preserve">控制了不合理费用项目的列支、社会稳定工作等方面取得了良好的效果，用严谨、合理、公正、科学、准确的评审结果影响和促进了项目单位加强自身投资管理</w:t>
            </w:r>
          </w:p>
        </w:tc>
        <w:tc>
          <w:tcPr>
            <w:tcW w:w="2268" w:type="dxa"/>
            <w:vAlign w:val="center"/>
          </w:tcPr>
          <w:p>
            <w:pPr>
              <w:pStyle w:val="单元格样式2"/>
            </w:pPr>
            <w:r>
              <w:t xml:space="preserve">保证工作正常进行</w:t>
            </w:r>
          </w:p>
        </w:tc>
        <w:tc>
          <w:tcPr>
            <w:tcW w:w="1276" w:type="dxa"/>
            <w:vAlign w:val="center"/>
          </w:tcPr>
          <w:p>
            <w:pPr>
              <w:pStyle w:val="单元格样式2"/>
            </w:pPr>
            <w:r>
              <w:t xml:space="preserve"> 项目建设评审费</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社会公众或服务对象满意度</w:t>
            </w:r>
          </w:p>
        </w:tc>
        <w:tc>
          <w:tcPr>
            <w:tcW w:w="5386" w:type="dxa"/>
            <w:vAlign w:val="center"/>
          </w:tcPr>
          <w:p>
            <w:pPr>
              <w:pStyle w:val="单元格样式2"/>
            </w:pPr>
            <w:r>
              <w:t xml:space="preserve">社会公众或服务对象及群众对该项目实施效果非常满意</w:t>
            </w:r>
          </w:p>
        </w:tc>
        <w:tc>
          <w:tcPr>
            <w:tcW w:w="2268" w:type="dxa"/>
            <w:vAlign w:val="center"/>
          </w:tcPr>
          <w:p>
            <w:pPr>
              <w:pStyle w:val="单元格样式2"/>
            </w:pPr>
            <w:r>
              <w:t xml:space="preserve">≥80%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9、信用联合办公经费绩效目标表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13018326P00032810190E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信用联合办公经费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用于支付信用协会的办公经费。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1.信用联合会承担着国家级“信用大数据”监测和配合石家庄市创建国家级信用建设示范城市诸多任务，为保障信用创建工作持续开展的办公经费。</w:t>
            </w:r>
            <w:r>
              <w:tab/>
            </w:r>
            <w:r>
              <w:tab/>
            </w:r>
            <w:r>
              <w:tab/>
            </w:r>
          </w:p>
          <w:p>
            <w:pPr>
              <w:pStyle w:val="单元格样式2"/>
            </w:pP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宣传资料印刷册数</w:t>
            </w:r>
          </w:p>
        </w:tc>
        <w:tc>
          <w:tcPr>
            <w:tcW w:w="5386" w:type="dxa"/>
            <w:vAlign w:val="center"/>
          </w:tcPr>
          <w:p>
            <w:pPr>
              <w:pStyle w:val="单元格样式2"/>
            </w:pPr>
            <w:r>
              <w:t xml:space="preserve">宣传资料印刷册数</w:t>
            </w:r>
          </w:p>
        </w:tc>
        <w:tc>
          <w:tcPr>
            <w:tcW w:w="2268" w:type="dxa"/>
            <w:vAlign w:val="center"/>
          </w:tcPr>
          <w:p>
            <w:pPr>
              <w:pStyle w:val="单元格样式2"/>
            </w:pPr>
            <w:r>
              <w:t xml:space="preserve">≥10000 份</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群众工作中心任务完成率</w:t>
            </w:r>
          </w:p>
        </w:tc>
        <w:tc>
          <w:tcPr>
            <w:tcW w:w="5386" w:type="dxa"/>
            <w:vAlign w:val="center"/>
          </w:tcPr>
          <w:p>
            <w:pPr>
              <w:pStyle w:val="单元格样式2"/>
            </w:pPr>
            <w:r>
              <w:t xml:space="preserve">群众工作中心任务完成率</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完成日常工作</w:t>
            </w:r>
          </w:p>
        </w:tc>
        <w:tc>
          <w:tcPr>
            <w:tcW w:w="5386" w:type="dxa"/>
            <w:vAlign w:val="center"/>
          </w:tcPr>
          <w:p>
            <w:pPr>
              <w:pStyle w:val="单元格样式2"/>
            </w:pPr>
            <w:r>
              <w:t xml:space="preserve">日常工作情况</w:t>
            </w:r>
          </w:p>
        </w:tc>
        <w:tc>
          <w:tcPr>
            <w:tcW w:w="2268" w:type="dxa"/>
            <w:vAlign w:val="center"/>
          </w:tcPr>
          <w:p>
            <w:pPr>
              <w:pStyle w:val="单元格样式2"/>
            </w:pPr>
            <w:r>
              <w:t xml:space="preserve">及时完成工作</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运行保障成本</w:t>
            </w:r>
          </w:p>
        </w:tc>
        <w:tc>
          <w:tcPr>
            <w:tcW w:w="5386" w:type="dxa"/>
            <w:vAlign w:val="center"/>
          </w:tcPr>
          <w:p>
            <w:pPr>
              <w:pStyle w:val="单元格样式2"/>
            </w:pPr>
            <w:r>
              <w:t xml:space="preserve">运行保障成本</w:t>
            </w:r>
          </w:p>
        </w:tc>
        <w:tc>
          <w:tcPr>
            <w:tcW w:w="2268" w:type="dxa"/>
            <w:vAlign w:val="center"/>
          </w:tcPr>
          <w:p>
            <w:pPr>
              <w:pStyle w:val="单元格样式2"/>
            </w:pPr>
            <w:r>
              <w:t xml:space="preserve">5万元</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满足正常办公需求</w:t>
            </w:r>
          </w:p>
        </w:tc>
        <w:tc>
          <w:tcPr>
            <w:tcW w:w="5386" w:type="dxa"/>
            <w:vAlign w:val="center"/>
          </w:tcPr>
          <w:p>
            <w:pPr>
              <w:pStyle w:val="单元格样式2"/>
            </w:pPr>
            <w:r>
              <w:t xml:space="preserve">保障人员正常办公</w:t>
            </w:r>
          </w:p>
        </w:tc>
        <w:tc>
          <w:tcPr>
            <w:tcW w:w="2268" w:type="dxa"/>
            <w:vAlign w:val="center"/>
          </w:tcPr>
          <w:p>
            <w:pPr>
              <w:pStyle w:val="单元格样式2"/>
            </w:pPr>
            <w:r>
              <w:t xml:space="preserve">正常办公</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10、业务培训及印制宣传费绩效目标表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13018326P00032810185L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业务培训及印制宣传费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用于支付审批业务培训及宣传费以及为企业和群众提供免费复印等。</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便民利民的原则，市级行政机关在保留审批权限的同时，乡镇行政机关可同时实施办理或委托办理，为规范行政审批权限的运行，定期去乡镇开展审批业务培训及宣传，同时为使企业和群众办事更方便、更省心，提供免费复印等便民利企</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宣传品数量</w:t>
            </w:r>
          </w:p>
        </w:tc>
        <w:tc>
          <w:tcPr>
            <w:tcW w:w="5386" w:type="dxa"/>
            <w:vAlign w:val="center"/>
          </w:tcPr>
          <w:p>
            <w:pPr>
              <w:pStyle w:val="单元格样式2"/>
            </w:pPr>
            <w:r>
              <w:t xml:space="preserve">宣传品数量</w:t>
            </w:r>
          </w:p>
        </w:tc>
        <w:tc>
          <w:tcPr>
            <w:tcW w:w="2268" w:type="dxa"/>
            <w:vAlign w:val="center"/>
          </w:tcPr>
          <w:p>
            <w:pPr>
              <w:pStyle w:val="单元格样式2"/>
            </w:pPr>
            <w:r>
              <w:t xml:space="preserve">≥20000份</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提供的服务达到的标准、水平和效</w:t>
            </w:r>
          </w:p>
        </w:tc>
        <w:tc>
          <w:tcPr>
            <w:tcW w:w="5386" w:type="dxa"/>
            <w:vAlign w:val="center"/>
          </w:tcPr>
          <w:p>
            <w:pPr>
              <w:pStyle w:val="单元格样式2"/>
            </w:pPr>
            <w:r>
              <w:t xml:space="preserve">为企业和群众提供方便。</w:t>
            </w:r>
          </w:p>
        </w:tc>
        <w:tc>
          <w:tcPr>
            <w:tcW w:w="2268" w:type="dxa"/>
            <w:vAlign w:val="center"/>
          </w:tcPr>
          <w:p>
            <w:pPr>
              <w:pStyle w:val="单元格样式2"/>
            </w:pPr>
            <w:r>
              <w:t xml:space="preserve">提高服务</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服务群众按规定时效完成。</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13 万元</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单位的工作正常运转率</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11、运行维护费绩效目标表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13018326P000328101745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运行维护费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146.11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146.11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用于支付便民服务中心网络租费、系统维护费费、乡镇便民服务设备维护费、网络安全服务费等网络相关费用。</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证机关事务正常运转，推进网上审批自动化和办公化，中心网络系统的维护管理和技术指导，操作系统、安全系统的日常检测、维护及数据更新和网络建设。网络租费、系统等保费、乡镇便民服务设备维护费、网络安全服务费等相关费用。</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服务人次</w:t>
            </w:r>
          </w:p>
        </w:tc>
        <w:tc>
          <w:tcPr>
            <w:tcW w:w="5386" w:type="dxa"/>
            <w:vAlign w:val="center"/>
          </w:tcPr>
          <w:p>
            <w:pPr>
              <w:pStyle w:val="单元格样式2"/>
            </w:pPr>
            <w:r>
              <w:t xml:space="preserve">每个工作日服务办事群众1000人次</w:t>
            </w:r>
          </w:p>
        </w:tc>
        <w:tc>
          <w:tcPr>
            <w:tcW w:w="2268" w:type="dxa"/>
            <w:vAlign w:val="center"/>
          </w:tcPr>
          <w:p>
            <w:pPr>
              <w:pStyle w:val="单元格样式2"/>
            </w:pPr>
            <w:r>
              <w:t xml:space="preserve">≥1000 人次</w:t>
            </w:r>
          </w:p>
        </w:tc>
        <w:tc>
          <w:tcPr>
            <w:tcW w:w="1276" w:type="dxa"/>
            <w:vAlign w:val="center"/>
          </w:tcPr>
          <w:p>
            <w:pPr>
              <w:pStyle w:val="单元格样式2"/>
            </w:pPr>
            <w:r>
              <w:t xml:space="preserve"> 运行维护费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提供的服务达到的标准、水平和效果</w:t>
            </w:r>
          </w:p>
        </w:tc>
        <w:tc>
          <w:tcPr>
            <w:tcW w:w="5386" w:type="dxa"/>
            <w:vAlign w:val="center"/>
          </w:tcPr>
          <w:p>
            <w:pPr>
              <w:pStyle w:val="单元格样式2"/>
            </w:pPr>
            <w:r>
              <w:t xml:space="preserve">电子政务应用建设整体水平也在不断提高，信息网站功能逐步完善，群众满意。</w:t>
            </w:r>
          </w:p>
        </w:tc>
        <w:tc>
          <w:tcPr>
            <w:tcW w:w="2268" w:type="dxa"/>
            <w:vAlign w:val="center"/>
          </w:tcPr>
          <w:p>
            <w:pPr>
              <w:pStyle w:val="单元格样式2"/>
            </w:pPr>
            <w:r>
              <w:t xml:space="preserve">≥80%</w:t>
            </w:r>
          </w:p>
        </w:tc>
        <w:tc>
          <w:tcPr>
            <w:tcW w:w="1276" w:type="dxa"/>
            <w:vAlign w:val="center"/>
          </w:tcPr>
          <w:p>
            <w:pPr>
              <w:pStyle w:val="单元格样式2"/>
            </w:pPr>
            <w:r>
              <w:t xml:space="preserve"> 运行维护费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服务群众按规定时效完成。</w:t>
            </w:r>
          </w:p>
        </w:tc>
        <w:tc>
          <w:tcPr>
            <w:tcW w:w="2268" w:type="dxa"/>
            <w:vAlign w:val="center"/>
          </w:tcPr>
          <w:p>
            <w:pPr>
              <w:pStyle w:val="单元格样式2"/>
            </w:pPr>
            <w:r>
              <w:t xml:space="preserve">≥90%</w:t>
            </w:r>
          </w:p>
        </w:tc>
        <w:tc>
          <w:tcPr>
            <w:tcW w:w="1276" w:type="dxa"/>
            <w:vAlign w:val="center"/>
          </w:tcPr>
          <w:p>
            <w:pPr>
              <w:pStyle w:val="单元格样式2"/>
            </w:pPr>
            <w:r>
              <w:t xml:space="preserve"> 运行维护费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146.11 万元</w:t>
            </w:r>
          </w:p>
        </w:tc>
        <w:tc>
          <w:tcPr>
            <w:tcW w:w="1276" w:type="dxa"/>
            <w:vAlign w:val="center"/>
          </w:tcPr>
          <w:p>
            <w:pPr>
              <w:pStyle w:val="单元格样式2"/>
            </w:pPr>
            <w:r>
              <w:t xml:space="preserve"> 运行维护费</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确保本单位的工作正常运转</w:t>
            </w:r>
          </w:p>
        </w:tc>
        <w:tc>
          <w:tcPr>
            <w:tcW w:w="2268" w:type="dxa"/>
            <w:vAlign w:val="center"/>
          </w:tcPr>
          <w:p>
            <w:pPr>
              <w:pStyle w:val="单元格样式2"/>
            </w:pPr>
            <w:r>
              <w:t xml:space="preserve">工作正常运转</w:t>
            </w:r>
          </w:p>
        </w:tc>
        <w:tc>
          <w:tcPr>
            <w:tcW w:w="1276" w:type="dxa"/>
            <w:vAlign w:val="center"/>
          </w:tcPr>
          <w:p>
            <w:pPr>
              <w:pStyle w:val="单元格样式2"/>
            </w:pPr>
            <w:r>
              <w:t xml:space="preserve"> 运行维护费</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社会公众或服务对象满意度</w:t>
            </w:r>
          </w:p>
        </w:tc>
        <w:tc>
          <w:tcPr>
            <w:tcW w:w="5386" w:type="dxa"/>
            <w:vAlign w:val="center"/>
          </w:tcPr>
          <w:p>
            <w:pPr>
              <w:pStyle w:val="单元格样式2"/>
            </w:pPr>
            <w:r>
              <w:t xml:space="preserve">社会公众或服务对象及群众对该项目实施效果非常满意</w:t>
            </w:r>
          </w:p>
        </w:tc>
        <w:tc>
          <w:tcPr>
            <w:tcW w:w="2268" w:type="dxa"/>
            <w:vAlign w:val="center"/>
          </w:tcPr>
          <w:p>
            <w:pPr>
              <w:pStyle w:val="单元格样式2"/>
            </w:pPr>
            <w:r>
              <w:t xml:space="preserve">≥90%</w:t>
            </w:r>
          </w:p>
        </w:tc>
        <w:tc>
          <w:tcPr>
            <w:tcW w:w="1276" w:type="dxa"/>
            <w:vAlign w:val="center"/>
          </w:tcPr>
          <w:p>
            <w:pPr>
              <w:pStyle w:val="单元格样式2"/>
            </w:pPr>
            <w:r>
              <w:t xml:space="preserve"> 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435001晋州市数据和政务服务局本级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187.00</w:t>
            </w:r>
          </w:p>
        </w:tc>
        <w:tc>
          <w:tcPr>
            <w:tcW w:w="964" w:type="dxa"/>
            <w:vAlign w:val="center"/>
          </w:tcPr>
          <w:p>
            <w:pPr>
              <w:pStyle w:val="单元格样式7"/>
            </w:pPr>
            <w:r>
              <w:t xml:space="preserve">187.00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187.00</w:t>
            </w:r>
          </w:p>
        </w:tc>
      </w:tr>
      <w:tr>
        <w:tblPrEx>
          <w:jc w:val="center"/>
          <w:tblLayout w:type="fixed"/>
        </w:tblPrEx>
        <w:trPr>
          <w:jc w:val="center"/>
        </w:trPr>
        <w:tc>
          <w:tcPr>
            <w:tcW w:w="1701" w:type="dxa"/>
            <w:vAlign w:val="center"/>
          </w:tcPr>
          <w:p>
            <w:pPr>
              <w:pStyle w:val="单元格样式6"/>
            </w:pPr>
            <w:r>
              <w:t xml:space="preserve">晋州市数据和政务服务局本级小计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187.00</w:t>
            </w:r>
          </w:p>
        </w:tc>
        <w:tc>
          <w:tcPr>
            <w:tcW w:w="964" w:type="dxa"/>
            <w:vAlign w:val="center"/>
          </w:tcPr>
          <w:p>
            <w:pPr>
              <w:pStyle w:val="单元格样式7"/>
            </w:pPr>
            <w:r>
              <w:t xml:space="preserve">187.00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187.00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24.28</w:t>
            </w:r>
          </w:p>
        </w:tc>
        <w:tc>
          <w:tcPr>
            <w:tcW w:w="1134" w:type="dxa"/>
            <w:vAlign w:val="center"/>
          </w:tcPr>
          <w:p>
            <w:pPr>
              <w:pStyle w:val="单元格样式2"/>
            </w:pPr>
            <w:r>
              <w:t xml:space="preserve">其他办公设备</w:t>
            </w:r>
          </w:p>
        </w:tc>
        <w:tc>
          <w:tcPr>
            <w:tcW w:w="1134" w:type="dxa"/>
            <w:vAlign w:val="center"/>
          </w:tcPr>
          <w:p>
            <w:pPr>
              <w:pStyle w:val="单元格样式2"/>
            </w:pPr>
            <w:r>
              <w:t xml:space="preserve">A02029900</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7.00</w:t>
            </w:r>
          </w:p>
        </w:tc>
        <w:tc>
          <w:tcPr>
            <w:tcW w:w="964" w:type="dxa"/>
            <w:vAlign w:val="center"/>
          </w:tcPr>
          <w:p>
            <w:pPr>
              <w:pStyle w:val="单元格样式4"/>
            </w:pPr>
            <w:r>
              <w:t xml:space="preserve">7.00</w:t>
            </w:r>
          </w:p>
        </w:tc>
        <w:tc>
          <w:tcPr>
            <w:tcW w:w="964" w:type="dxa"/>
            <w:vAlign w:val="center"/>
          </w:tcPr>
          <w:p>
            <w:pPr>
              <w:pStyle w:val="单元格样式4"/>
            </w:pPr>
            <w:r>
              <w:t xml:space="preserve">7.00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7.00</w:t>
            </w:r>
          </w:p>
        </w:tc>
      </w:tr>
      <w:tr>
        <w:tblPrEx>
          <w:jc w:val="center"/>
          <w:tblLayout w:type="fixed"/>
        </w:tblPrEx>
        <w:trPr>
          <w:jc w:val="center"/>
        </w:trPr>
        <w:tc>
          <w:tcPr>
            <w:tcW w:w="1701" w:type="dxa"/>
            <w:vAlign w:val="center"/>
          </w:tcPr>
          <w:p>
            <w:pPr>
              <w:pStyle w:val="单元格样式2"/>
            </w:pPr>
            <w:r>
              <w:t xml:space="preserve">项目建设评审费</w:t>
            </w:r>
          </w:p>
        </w:tc>
        <w:tc>
          <w:tcPr>
            <w:tcW w:w="964" w:type="dxa"/>
            <w:vAlign w:val="center"/>
          </w:tcPr>
          <w:p>
            <w:pPr>
              <w:pStyle w:val="单元格样式4"/>
            </w:pPr>
            <w:r>
              <w:t xml:space="preserve">180.00</w:t>
            </w:r>
          </w:p>
        </w:tc>
        <w:tc>
          <w:tcPr>
            <w:tcW w:w="1134" w:type="dxa"/>
            <w:vAlign w:val="center"/>
          </w:tcPr>
          <w:p>
            <w:pPr>
              <w:pStyle w:val="单元格样式2"/>
            </w:pPr>
            <w:r>
              <w:t xml:space="preserve">评审咨询服务</w:t>
            </w:r>
          </w:p>
        </w:tc>
        <w:tc>
          <w:tcPr>
            <w:tcW w:w="1134" w:type="dxa"/>
            <w:vAlign w:val="center"/>
          </w:tcPr>
          <w:p>
            <w:pPr>
              <w:pStyle w:val="单元格样式2"/>
            </w:pPr>
            <w:r>
              <w:t xml:space="preserve">C20030900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80.00</w:t>
            </w:r>
          </w:p>
        </w:tc>
        <w:tc>
          <w:tcPr>
            <w:tcW w:w="964" w:type="dxa"/>
            <w:vAlign w:val="center"/>
          </w:tcPr>
          <w:p>
            <w:pPr>
              <w:pStyle w:val="单元格样式4"/>
            </w:pPr>
            <w:r>
              <w:t xml:space="preserve">80.00</w:t>
            </w:r>
          </w:p>
        </w:tc>
        <w:tc>
          <w:tcPr>
            <w:tcW w:w="964" w:type="dxa"/>
            <w:vAlign w:val="center"/>
          </w:tcPr>
          <w:p>
            <w:pPr>
              <w:pStyle w:val="单元格样式4"/>
            </w:pPr>
            <w:r>
              <w:t xml:space="preserve">80.00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80.00</w:t>
            </w:r>
          </w:p>
        </w:tc>
      </w:tr>
      <w:tr>
        <w:tblPrEx>
          <w:jc w:val="center"/>
          <w:tblLayout w:type="fixed"/>
        </w:tblPrEx>
        <w:trPr>
          <w:jc w:val="center"/>
        </w:trPr>
        <w:tc>
          <w:tcPr>
            <w:tcW w:w="1701" w:type="dxa"/>
            <w:vAlign w:val="center"/>
          </w:tcPr>
          <w:p>
            <w:pPr>
              <w:pStyle w:val="单元格样式2"/>
            </w:pPr>
            <w:r>
              <w:t xml:space="preserve">项目建设评审费</w:t>
            </w:r>
          </w:p>
        </w:tc>
        <w:tc>
          <w:tcPr>
            <w:tcW w:w="964" w:type="dxa"/>
            <w:vAlign w:val="center"/>
          </w:tcPr>
          <w:p>
            <w:pPr>
              <w:pStyle w:val="单元格样式4"/>
            </w:pPr>
            <w:r>
              <w:t xml:space="preserve">180.00</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100.00</w:t>
            </w:r>
          </w:p>
        </w:tc>
        <w:tc>
          <w:tcPr>
            <w:tcW w:w="964" w:type="dxa"/>
            <w:vAlign w:val="center"/>
          </w:tcPr>
          <w:p>
            <w:pPr>
              <w:pStyle w:val="单元格样式4"/>
            </w:pPr>
            <w:r>
              <w:t xml:space="preserve">100.00</w:t>
            </w:r>
          </w:p>
        </w:tc>
        <w:tc>
          <w:tcPr>
            <w:tcW w:w="964" w:type="dxa"/>
            <w:vAlign w:val="center"/>
          </w:tcPr>
          <w:p>
            <w:pPr>
              <w:pStyle w:val="单元格样式4"/>
            </w:pPr>
            <w:r>
              <w:t xml:space="preserve">100.00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晋州市数据和政务服务局本级上年末固定资产金额为3356.92万元（详见下表）。本年度拟购置固定资产总额为0.00万元，已按要求列入政府采购预算，详见政府采购预算表。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435001晋州市数据和政务服务局本级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3356.92</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4</w:t>
            </w:r>
          </w:p>
        </w:tc>
        <w:tc>
          <w:tcPr>
            <w:tcW w:w="2835" w:type="dxa"/>
            <w:vAlign w:val="center"/>
          </w:tcPr>
          <w:p>
            <w:pPr>
              <w:pStyle w:val="单元格样式4"/>
            </w:pPr>
            <w:r>
              <w:t xml:space="preserve">42.88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w:t>
            </w:r>
          </w:p>
        </w:tc>
        <w:tc>
          <w:tcPr>
            <w:tcW w:w="2835" w:type="dxa"/>
            <w:vAlign w:val="center"/>
          </w:tcPr>
          <w:p>
            <w:pPr>
              <w:pStyle w:val="单元格样式4"/>
            </w:pPr>
            <w:r>
              <w:t xml:space="preserve">3314.04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 w:name="_Toc_4_4_0000000002"/>
      <w:r>
        <w:rPr>
          <w:rFonts w:ascii="方正小标宋_GBK" w:eastAsia="方正小标宋_GBK" w:hAnsi="方正小标宋_GBK" w:cs="方正小标宋_GBK"/>
          <w:b w:val="0"/>
          <w:color w:val="000000"/>
          <w:sz w:val="44"/>
        </w:rPr>
        <w:t xml:space="preserve">二、晋州市公共资源交易中心收支预算</w:t>
      </w:r>
      <w:bookmarkEnd w:id="1"/>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435003晋州市公共资源交易中心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161.31</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161.31</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161.31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161.31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161.31</w:t>
            </w:r>
          </w:p>
        </w:tc>
        <w:tc>
          <w:tcPr>
            <w:tcW w:w="4535" w:type="dxa"/>
            <w:vAlign w:val="center"/>
          </w:tcPr>
          <w:p>
            <w:pPr>
              <w:pStyle w:val="单元格样式6"/>
            </w:pPr>
            <w:r>
              <w:t xml:space="preserve">支出总计</w:t>
            </w:r>
          </w:p>
        </w:tc>
        <w:tc>
          <w:tcPr>
            <w:tcW w:w="2126" w:type="dxa"/>
            <w:vAlign w:val="center"/>
          </w:tcPr>
          <w:p>
            <w:pPr>
              <w:pStyle w:val="单元格样式7"/>
            </w:pPr>
            <w:r>
              <w:t xml:space="preserve">161.31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435003晋州市公共资源交易中心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161.31</w:t>
            </w:r>
          </w:p>
        </w:tc>
        <w:tc>
          <w:tcPr>
            <w:tcW w:w="1134" w:type="dxa"/>
            <w:vAlign w:val="center"/>
          </w:tcPr>
          <w:p>
            <w:pPr>
              <w:pStyle w:val="单元格样式7"/>
            </w:pPr>
            <w:r>
              <w:t xml:space="preserve">161.31</w:t>
            </w:r>
          </w:p>
        </w:tc>
        <w:tc>
          <w:tcPr>
            <w:tcW w:w="1134" w:type="dxa"/>
            <w:vAlign w:val="center"/>
          </w:tcPr>
          <w:p>
            <w:pPr>
              <w:pStyle w:val="单元格样式7"/>
            </w:pPr>
            <w:r>
              <w:t xml:space="preserve">161.31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161.31</w:t>
            </w:r>
          </w:p>
        </w:tc>
        <w:tc>
          <w:tcPr>
            <w:tcW w:w="1134" w:type="dxa"/>
            <w:vAlign w:val="center"/>
          </w:tcPr>
          <w:p>
            <w:pPr>
              <w:pStyle w:val="单元格样式4"/>
            </w:pPr>
            <w:r>
              <w:t xml:space="preserve">161.31</w:t>
            </w:r>
          </w:p>
        </w:tc>
        <w:tc>
          <w:tcPr>
            <w:tcW w:w="1134" w:type="dxa"/>
            <w:vAlign w:val="center"/>
          </w:tcPr>
          <w:p>
            <w:pPr>
              <w:pStyle w:val="单元格样式4"/>
            </w:pPr>
            <w:r>
              <w:t xml:space="preserve">161.31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161.31</w:t>
            </w:r>
          </w:p>
        </w:tc>
        <w:tc>
          <w:tcPr>
            <w:tcW w:w="1134" w:type="dxa"/>
            <w:vAlign w:val="center"/>
          </w:tcPr>
          <w:p>
            <w:pPr>
              <w:pStyle w:val="单元格样式4"/>
            </w:pPr>
            <w:r>
              <w:t xml:space="preserve">161.31</w:t>
            </w:r>
          </w:p>
        </w:tc>
        <w:tc>
          <w:tcPr>
            <w:tcW w:w="1134" w:type="dxa"/>
            <w:vAlign w:val="center"/>
          </w:tcPr>
          <w:p>
            <w:pPr>
              <w:pStyle w:val="单元格样式4"/>
            </w:pPr>
            <w:r>
              <w:t xml:space="preserve">161.31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2010306</w:t>
            </w:r>
          </w:p>
        </w:tc>
        <w:tc>
          <w:tcPr>
            <w:tcW w:w="1559" w:type="dxa"/>
            <w:vAlign w:val="center"/>
          </w:tcPr>
          <w:p>
            <w:pPr>
              <w:pStyle w:val="单元格样式2"/>
            </w:pPr>
            <w:r>
              <w:t xml:space="preserve">政务公开审批</w:t>
            </w:r>
          </w:p>
        </w:tc>
        <w:tc>
          <w:tcPr>
            <w:tcW w:w="1134" w:type="dxa"/>
            <w:vAlign w:val="center"/>
          </w:tcPr>
          <w:p>
            <w:pPr>
              <w:pStyle w:val="单元格样式4"/>
            </w:pPr>
            <w:r>
              <w:t xml:space="preserve">161.31</w:t>
            </w:r>
          </w:p>
        </w:tc>
        <w:tc>
          <w:tcPr>
            <w:tcW w:w="1134" w:type="dxa"/>
            <w:vAlign w:val="center"/>
          </w:tcPr>
          <w:p>
            <w:pPr>
              <w:pStyle w:val="单元格样式4"/>
            </w:pPr>
            <w:r>
              <w:t xml:space="preserve">161.31</w:t>
            </w:r>
          </w:p>
        </w:tc>
        <w:tc>
          <w:tcPr>
            <w:tcW w:w="1134" w:type="dxa"/>
            <w:vAlign w:val="center"/>
          </w:tcPr>
          <w:p>
            <w:pPr>
              <w:pStyle w:val="单元格样式4"/>
            </w:pPr>
            <w:r>
              <w:t xml:space="preserve">161.31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435003晋州市公共资源交易中心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161.31</w:t>
            </w:r>
          </w:p>
        </w:tc>
        <w:tc>
          <w:tcPr>
            <w:tcW w:w="1361" w:type="dxa"/>
            <w:vAlign w:val="center"/>
          </w:tcPr>
          <w:p>
            <w:pPr>
              <w:pStyle w:val="单元格样式7"/>
            </w:pPr>
            <w:r>
              <w:t xml:space="preserve">145.31</w:t>
            </w:r>
          </w:p>
        </w:tc>
        <w:tc>
          <w:tcPr>
            <w:tcW w:w="1361" w:type="dxa"/>
            <w:vAlign w:val="center"/>
          </w:tcPr>
          <w:p>
            <w:pPr>
              <w:pStyle w:val="单元格样式7"/>
            </w:pPr>
            <w:r>
              <w:t xml:space="preserve">16.00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161.31</w:t>
            </w:r>
          </w:p>
        </w:tc>
        <w:tc>
          <w:tcPr>
            <w:tcW w:w="1361" w:type="dxa"/>
            <w:vAlign w:val="center"/>
          </w:tcPr>
          <w:p>
            <w:pPr>
              <w:pStyle w:val="单元格样式4"/>
            </w:pPr>
            <w:r>
              <w:t xml:space="preserve">145.31</w:t>
            </w:r>
          </w:p>
        </w:tc>
        <w:tc>
          <w:tcPr>
            <w:tcW w:w="1361" w:type="dxa"/>
            <w:vAlign w:val="center"/>
          </w:tcPr>
          <w:p>
            <w:pPr>
              <w:pStyle w:val="单元格样式4"/>
            </w:pPr>
            <w:r>
              <w:t xml:space="preserve">16.00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161.31</w:t>
            </w:r>
          </w:p>
        </w:tc>
        <w:tc>
          <w:tcPr>
            <w:tcW w:w="1361" w:type="dxa"/>
            <w:vAlign w:val="center"/>
          </w:tcPr>
          <w:p>
            <w:pPr>
              <w:pStyle w:val="单元格样式4"/>
            </w:pPr>
            <w:r>
              <w:t xml:space="preserve">145.31</w:t>
            </w:r>
          </w:p>
        </w:tc>
        <w:tc>
          <w:tcPr>
            <w:tcW w:w="1361" w:type="dxa"/>
            <w:vAlign w:val="center"/>
          </w:tcPr>
          <w:p>
            <w:pPr>
              <w:pStyle w:val="单元格样式4"/>
            </w:pPr>
            <w:r>
              <w:t xml:space="preserve">16.00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2010306</w:t>
            </w:r>
          </w:p>
        </w:tc>
        <w:tc>
          <w:tcPr>
            <w:tcW w:w="4535" w:type="dxa"/>
            <w:vAlign w:val="center"/>
          </w:tcPr>
          <w:p>
            <w:pPr>
              <w:pStyle w:val="单元格样式2"/>
            </w:pPr>
            <w:r>
              <w:t xml:space="preserve">政务公开审批</w:t>
            </w:r>
          </w:p>
        </w:tc>
        <w:tc>
          <w:tcPr>
            <w:tcW w:w="1361" w:type="dxa"/>
            <w:vAlign w:val="center"/>
          </w:tcPr>
          <w:p>
            <w:pPr>
              <w:pStyle w:val="单元格样式4"/>
            </w:pPr>
            <w:r>
              <w:t xml:space="preserve">161.31</w:t>
            </w:r>
          </w:p>
        </w:tc>
        <w:tc>
          <w:tcPr>
            <w:tcW w:w="1361" w:type="dxa"/>
            <w:vAlign w:val="center"/>
          </w:tcPr>
          <w:p>
            <w:pPr>
              <w:pStyle w:val="单元格样式4"/>
            </w:pPr>
            <w:r>
              <w:t xml:space="preserve">145.31</w:t>
            </w:r>
          </w:p>
        </w:tc>
        <w:tc>
          <w:tcPr>
            <w:tcW w:w="1361" w:type="dxa"/>
            <w:vAlign w:val="center"/>
          </w:tcPr>
          <w:p>
            <w:pPr>
              <w:pStyle w:val="单元格样式4"/>
            </w:pPr>
            <w:r>
              <w:t xml:space="preserve">16.00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435003晋州市公共资源交易中心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161.31</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161.31</w:t>
            </w:r>
          </w:p>
        </w:tc>
        <w:tc>
          <w:tcPr>
            <w:tcW w:w="1474" w:type="dxa"/>
            <w:vAlign w:val="center"/>
          </w:tcPr>
          <w:p>
            <w:pPr>
              <w:pStyle w:val="单元格样式4"/>
            </w:pPr>
            <w:r>
              <w:t xml:space="preserve">161.31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161.31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161.31</w:t>
            </w:r>
          </w:p>
        </w:tc>
        <w:tc>
          <w:tcPr>
            <w:tcW w:w="1474" w:type="dxa"/>
            <w:vAlign w:val="center"/>
          </w:tcPr>
          <w:p>
            <w:pPr>
              <w:pStyle w:val="单元格样式7"/>
            </w:pPr>
            <w:r>
              <w:t xml:space="preserve">161.31</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161.31</w:t>
            </w:r>
          </w:p>
        </w:tc>
        <w:tc>
          <w:tcPr>
            <w:tcW w:w="3402" w:type="dxa"/>
            <w:vAlign w:val="center"/>
          </w:tcPr>
          <w:p>
            <w:pPr>
              <w:pStyle w:val="单元格样式6"/>
            </w:pPr>
            <w:r>
              <w:t xml:space="preserve">支出总计</w:t>
            </w:r>
          </w:p>
        </w:tc>
        <w:tc>
          <w:tcPr>
            <w:tcW w:w="1474" w:type="dxa"/>
            <w:vAlign w:val="center"/>
          </w:tcPr>
          <w:p>
            <w:pPr>
              <w:pStyle w:val="单元格样式7"/>
            </w:pPr>
            <w:r>
              <w:t xml:space="preserve">161.31</w:t>
            </w:r>
          </w:p>
        </w:tc>
        <w:tc>
          <w:tcPr>
            <w:tcW w:w="1474" w:type="dxa"/>
            <w:vAlign w:val="center"/>
          </w:tcPr>
          <w:p>
            <w:pPr>
              <w:pStyle w:val="单元格样式7"/>
            </w:pPr>
            <w:r>
              <w:t xml:space="preserve">161.31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435003晋州市公共资源交易中心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161.31</w:t>
            </w:r>
          </w:p>
        </w:tc>
        <w:tc>
          <w:tcPr>
            <w:tcW w:w="2551" w:type="dxa"/>
            <w:vAlign w:val="center"/>
          </w:tcPr>
          <w:p>
            <w:pPr>
              <w:pStyle w:val="单元格样式7"/>
            </w:pPr>
            <w:r>
              <w:t xml:space="preserve">145.31</w:t>
            </w:r>
          </w:p>
        </w:tc>
        <w:tc>
          <w:tcPr>
            <w:tcW w:w="2551" w:type="dxa"/>
            <w:vAlign w:val="center"/>
          </w:tcPr>
          <w:p>
            <w:pPr>
              <w:pStyle w:val="单元格样式7"/>
            </w:pPr>
            <w:r>
              <w:t xml:space="preserve">16.00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161.31</w:t>
            </w:r>
          </w:p>
        </w:tc>
        <w:tc>
          <w:tcPr>
            <w:tcW w:w="2551" w:type="dxa"/>
            <w:vAlign w:val="center"/>
          </w:tcPr>
          <w:p>
            <w:pPr>
              <w:pStyle w:val="单元格样式4"/>
            </w:pPr>
            <w:r>
              <w:t xml:space="preserve">145.31</w:t>
            </w:r>
          </w:p>
        </w:tc>
        <w:tc>
          <w:tcPr>
            <w:tcW w:w="2551" w:type="dxa"/>
            <w:vAlign w:val="center"/>
          </w:tcPr>
          <w:p>
            <w:pPr>
              <w:pStyle w:val="单元格样式4"/>
            </w:pPr>
            <w:r>
              <w:t xml:space="preserve">16.00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161.31</w:t>
            </w:r>
          </w:p>
        </w:tc>
        <w:tc>
          <w:tcPr>
            <w:tcW w:w="2551" w:type="dxa"/>
            <w:vAlign w:val="center"/>
          </w:tcPr>
          <w:p>
            <w:pPr>
              <w:pStyle w:val="单元格样式4"/>
            </w:pPr>
            <w:r>
              <w:t xml:space="preserve">145.31</w:t>
            </w:r>
          </w:p>
        </w:tc>
        <w:tc>
          <w:tcPr>
            <w:tcW w:w="2551" w:type="dxa"/>
            <w:vAlign w:val="center"/>
          </w:tcPr>
          <w:p>
            <w:pPr>
              <w:pStyle w:val="单元格样式4"/>
            </w:pPr>
            <w:r>
              <w:t xml:space="preserve">16.00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2010306</w:t>
            </w:r>
          </w:p>
        </w:tc>
        <w:tc>
          <w:tcPr>
            <w:tcW w:w="4535" w:type="dxa"/>
            <w:vAlign w:val="center"/>
          </w:tcPr>
          <w:p>
            <w:pPr>
              <w:pStyle w:val="单元格样式2"/>
            </w:pPr>
            <w:r>
              <w:t xml:space="preserve">政务公开审批</w:t>
            </w:r>
          </w:p>
        </w:tc>
        <w:tc>
          <w:tcPr>
            <w:tcW w:w="2551" w:type="dxa"/>
            <w:vAlign w:val="center"/>
          </w:tcPr>
          <w:p>
            <w:pPr>
              <w:pStyle w:val="单元格样式4"/>
            </w:pPr>
            <w:r>
              <w:t xml:space="preserve">161.31</w:t>
            </w:r>
          </w:p>
        </w:tc>
        <w:tc>
          <w:tcPr>
            <w:tcW w:w="2551" w:type="dxa"/>
            <w:vAlign w:val="center"/>
          </w:tcPr>
          <w:p>
            <w:pPr>
              <w:pStyle w:val="单元格样式4"/>
            </w:pPr>
            <w:r>
              <w:t xml:space="preserve">145.31</w:t>
            </w:r>
          </w:p>
        </w:tc>
        <w:tc>
          <w:tcPr>
            <w:tcW w:w="2551" w:type="dxa"/>
            <w:vAlign w:val="center"/>
          </w:tcPr>
          <w:p>
            <w:pPr>
              <w:pStyle w:val="单元格样式4"/>
            </w:pPr>
            <w:r>
              <w:t xml:space="preserve">16.00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435003晋州市公共资源交易中心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145.31</w:t>
            </w:r>
          </w:p>
        </w:tc>
        <w:tc>
          <w:tcPr>
            <w:tcW w:w="2551" w:type="dxa"/>
            <w:vAlign w:val="center"/>
          </w:tcPr>
          <w:p>
            <w:pPr>
              <w:pStyle w:val="单元格样式7"/>
            </w:pPr>
            <w:r>
              <w:t xml:space="preserve">132.45</w:t>
            </w:r>
          </w:p>
        </w:tc>
        <w:tc>
          <w:tcPr>
            <w:tcW w:w="2551" w:type="dxa"/>
            <w:vAlign w:val="center"/>
          </w:tcPr>
          <w:p>
            <w:pPr>
              <w:pStyle w:val="单元格样式7"/>
            </w:pPr>
            <w:r>
              <w:t xml:space="preserve">12.86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132.45</w:t>
            </w:r>
          </w:p>
        </w:tc>
        <w:tc>
          <w:tcPr>
            <w:tcW w:w="2551" w:type="dxa"/>
            <w:vAlign w:val="center"/>
          </w:tcPr>
          <w:p>
            <w:pPr>
              <w:pStyle w:val="单元格样式4"/>
            </w:pPr>
            <w:r>
              <w:t xml:space="preserve">132.45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50.58</w:t>
            </w:r>
          </w:p>
        </w:tc>
        <w:tc>
          <w:tcPr>
            <w:tcW w:w="2551" w:type="dxa"/>
            <w:vAlign w:val="center"/>
          </w:tcPr>
          <w:p>
            <w:pPr>
              <w:pStyle w:val="单元格样式4"/>
            </w:pPr>
            <w:r>
              <w:t xml:space="preserve">50.58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6.37</w:t>
            </w:r>
          </w:p>
        </w:tc>
        <w:tc>
          <w:tcPr>
            <w:tcW w:w="2551" w:type="dxa"/>
            <w:vAlign w:val="center"/>
          </w:tcPr>
          <w:p>
            <w:pPr>
              <w:pStyle w:val="单元格样式4"/>
            </w:pPr>
            <w:r>
              <w:t xml:space="preserve">6.37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41.37</w:t>
            </w:r>
          </w:p>
        </w:tc>
        <w:tc>
          <w:tcPr>
            <w:tcW w:w="2551" w:type="dxa"/>
            <w:vAlign w:val="center"/>
          </w:tcPr>
          <w:p>
            <w:pPr>
              <w:pStyle w:val="单元格样式4"/>
            </w:pPr>
            <w:r>
              <w:t xml:space="preserve">41.37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13.73</w:t>
            </w:r>
          </w:p>
        </w:tc>
        <w:tc>
          <w:tcPr>
            <w:tcW w:w="2551" w:type="dxa"/>
            <w:vAlign w:val="center"/>
          </w:tcPr>
          <w:p>
            <w:pPr>
              <w:pStyle w:val="单元格样式4"/>
            </w:pPr>
            <w:r>
              <w:t xml:space="preserve">13.73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5.52</w:t>
            </w:r>
          </w:p>
        </w:tc>
        <w:tc>
          <w:tcPr>
            <w:tcW w:w="2551" w:type="dxa"/>
            <w:vAlign w:val="center"/>
          </w:tcPr>
          <w:p>
            <w:pPr>
              <w:pStyle w:val="单元格样式4"/>
            </w:pPr>
            <w:r>
              <w:t xml:space="preserve">5.52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2.81</w:t>
            </w:r>
          </w:p>
        </w:tc>
        <w:tc>
          <w:tcPr>
            <w:tcW w:w="2551" w:type="dxa"/>
            <w:vAlign w:val="center"/>
          </w:tcPr>
          <w:p>
            <w:pPr>
              <w:pStyle w:val="单元格样式4"/>
            </w:pPr>
            <w:r>
              <w:t xml:space="preserve">2.81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1.04</w:t>
            </w:r>
          </w:p>
        </w:tc>
        <w:tc>
          <w:tcPr>
            <w:tcW w:w="2551" w:type="dxa"/>
            <w:vAlign w:val="center"/>
          </w:tcPr>
          <w:p>
            <w:pPr>
              <w:pStyle w:val="单元格样式4"/>
            </w:pPr>
            <w:r>
              <w:t xml:space="preserve">1.04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11.03</w:t>
            </w:r>
          </w:p>
        </w:tc>
        <w:tc>
          <w:tcPr>
            <w:tcW w:w="2551" w:type="dxa"/>
            <w:vAlign w:val="center"/>
          </w:tcPr>
          <w:p>
            <w:pPr>
              <w:pStyle w:val="单元格样式4"/>
            </w:pPr>
            <w:r>
              <w:t xml:space="preserve">11.03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12.86</w:t>
            </w:r>
          </w:p>
        </w:tc>
        <w:tc>
          <w:tcPr>
            <w:tcW w:w="2551" w:type="dxa"/>
            <w:vAlign w:val="center"/>
          </w:tcPr>
          <w:p>
            <w:pPr>
              <w:pStyle w:val="单元格样式4"/>
            </w:pPr>
          </w:p>
        </w:tc>
        <w:tc>
          <w:tcPr>
            <w:tcW w:w="2551" w:type="dxa"/>
            <w:vAlign w:val="center"/>
          </w:tcPr>
          <w:p>
            <w:pPr>
              <w:pStyle w:val="单元格样式4"/>
            </w:pPr>
            <w:r>
              <w:t xml:space="preserve">12.86</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1.98</w:t>
            </w:r>
          </w:p>
        </w:tc>
        <w:tc>
          <w:tcPr>
            <w:tcW w:w="2551" w:type="dxa"/>
            <w:vAlign w:val="center"/>
          </w:tcPr>
          <w:p>
            <w:pPr>
              <w:pStyle w:val="单元格样式4"/>
            </w:pPr>
          </w:p>
        </w:tc>
        <w:tc>
          <w:tcPr>
            <w:tcW w:w="2551" w:type="dxa"/>
            <w:vAlign w:val="center"/>
          </w:tcPr>
          <w:p>
            <w:pPr>
              <w:pStyle w:val="单元格样式4"/>
            </w:pPr>
            <w:r>
              <w:t xml:space="preserve">1.98</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0.11</w:t>
            </w:r>
          </w:p>
        </w:tc>
        <w:tc>
          <w:tcPr>
            <w:tcW w:w="2551" w:type="dxa"/>
            <w:vAlign w:val="center"/>
          </w:tcPr>
          <w:p>
            <w:pPr>
              <w:pStyle w:val="单元格样式4"/>
            </w:pPr>
          </w:p>
        </w:tc>
        <w:tc>
          <w:tcPr>
            <w:tcW w:w="2551" w:type="dxa"/>
            <w:vAlign w:val="center"/>
          </w:tcPr>
          <w:p>
            <w:pPr>
              <w:pStyle w:val="单元格样式4"/>
            </w:pPr>
            <w:r>
              <w:t xml:space="preserve">0.11</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0.88</w:t>
            </w:r>
          </w:p>
        </w:tc>
        <w:tc>
          <w:tcPr>
            <w:tcW w:w="2551" w:type="dxa"/>
            <w:vAlign w:val="center"/>
          </w:tcPr>
          <w:p>
            <w:pPr>
              <w:pStyle w:val="单元格样式4"/>
            </w:pPr>
          </w:p>
        </w:tc>
        <w:tc>
          <w:tcPr>
            <w:tcW w:w="2551" w:type="dxa"/>
            <w:vAlign w:val="center"/>
          </w:tcPr>
          <w:p>
            <w:pPr>
              <w:pStyle w:val="单元格样式4"/>
            </w:pPr>
            <w:r>
              <w:t xml:space="preserve">0.88</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0.33</w:t>
            </w:r>
          </w:p>
        </w:tc>
        <w:tc>
          <w:tcPr>
            <w:tcW w:w="2551" w:type="dxa"/>
            <w:vAlign w:val="center"/>
          </w:tcPr>
          <w:p>
            <w:pPr>
              <w:pStyle w:val="单元格样式4"/>
            </w:pPr>
          </w:p>
        </w:tc>
        <w:tc>
          <w:tcPr>
            <w:tcW w:w="2551" w:type="dxa"/>
            <w:vAlign w:val="center"/>
          </w:tcPr>
          <w:p>
            <w:pPr>
              <w:pStyle w:val="单元格样式4"/>
            </w:pPr>
            <w:r>
              <w:t xml:space="preserve">0.33</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1.03</w:t>
            </w:r>
          </w:p>
        </w:tc>
        <w:tc>
          <w:tcPr>
            <w:tcW w:w="2551" w:type="dxa"/>
            <w:vAlign w:val="center"/>
          </w:tcPr>
          <w:p>
            <w:pPr>
              <w:pStyle w:val="单元格样式4"/>
            </w:pPr>
          </w:p>
        </w:tc>
        <w:tc>
          <w:tcPr>
            <w:tcW w:w="2551" w:type="dxa"/>
            <w:vAlign w:val="center"/>
          </w:tcPr>
          <w:p>
            <w:pPr>
              <w:pStyle w:val="单元格样式4"/>
            </w:pPr>
            <w:r>
              <w:t xml:space="preserve">1.03</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6.39</w:t>
            </w:r>
          </w:p>
        </w:tc>
        <w:tc>
          <w:tcPr>
            <w:tcW w:w="2551" w:type="dxa"/>
            <w:vAlign w:val="center"/>
          </w:tcPr>
          <w:p>
            <w:pPr>
              <w:pStyle w:val="单元格样式4"/>
            </w:pPr>
          </w:p>
        </w:tc>
        <w:tc>
          <w:tcPr>
            <w:tcW w:w="2551" w:type="dxa"/>
            <w:vAlign w:val="center"/>
          </w:tcPr>
          <w:p>
            <w:pPr>
              <w:pStyle w:val="单元格样式4"/>
            </w:pPr>
            <w:r>
              <w:t xml:space="preserve">6.39</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2.14</w:t>
            </w:r>
          </w:p>
        </w:tc>
        <w:tc>
          <w:tcPr>
            <w:tcW w:w="2551" w:type="dxa"/>
            <w:vAlign w:val="center"/>
          </w:tcPr>
          <w:p>
            <w:pPr>
              <w:pStyle w:val="单元格样式4"/>
            </w:pPr>
          </w:p>
        </w:tc>
        <w:tc>
          <w:tcPr>
            <w:tcW w:w="2551" w:type="dxa"/>
            <w:vAlign w:val="center"/>
          </w:tcPr>
          <w:p>
            <w:pPr>
              <w:pStyle w:val="单元格样式4"/>
            </w:pPr>
            <w:r>
              <w:t xml:space="preserve">2.14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435003晋州市公共资源交易中心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435003晋州市公共资源交易中心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435003晋州市公共资源交易中心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晋州市公共资源交易中心2026年单位预算信息公开情况说明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按照《中华人民共和国预算法》、《地方预决算公开操作规程》和《关于进一步推进预算公开工作的实施意见》规定，现将晋州市公共资源交易中心2026年单位预算公开如下：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贯彻落实公共资源交易相关政策及法律法规，制定公共资源交易场内交易工作流程及现场管理制度，负责工程建设项目招投标、土地使用权出让、政府采购、国有产权交易、医疗设备采购等相关公共资源交易活动的组织实施。</w:t>
      </w:r>
    </w:p>
    <w:p>
      <w:pPr>
        <w:pStyle w:val="插入文本样式-插入单位职责文件"/>
      </w:pPr>
      <w:r>
        <w:t xml:space="preserve">（二）依法依规为进入公共资源交易平台的各类公共资源交易活动提供场所、设施和服务；组织平台内交易活动，维护交易现场秩序；在相关行政部门监督下，负责从评标（评审）专家库中随机抽取专家相关工作。</w:t>
      </w:r>
    </w:p>
    <w:p>
      <w:pPr>
        <w:pStyle w:val="插入文本样式-插入单位职责文件"/>
      </w:pPr>
      <w:r>
        <w:t xml:space="preserve">（三）负责收集、存储和发布各类公共资源交易信息，为市场主体提供信息咨询服务；记录、整理、保存交易过程相关资料；负责公共资源交易情况统计、分析、上报。</w:t>
      </w:r>
    </w:p>
    <w:p>
      <w:pPr>
        <w:pStyle w:val="插入文本样式-插入单位职责文件"/>
      </w:pPr>
      <w:r>
        <w:t xml:space="preserve">（四）配合执法机关进行监督与执法。</w:t>
      </w:r>
    </w:p>
    <w:p>
      <w:pPr>
        <w:pStyle w:val="插入文本样式-插入单位职责文件"/>
      </w:pPr>
      <w:r>
        <w:t xml:space="preserve">（五） 配合有关部门核验公共资源交易主体、从业人员的资质、资格并提供相关服务；协助建立公共资源交易从业者信誉评价制度和公共资源交易信用评价体系。</w:t>
      </w:r>
    </w:p>
    <w:p>
      <w:pPr>
        <w:pStyle w:val="插入文本样式-插入单位职责文件"/>
      </w:pPr>
      <w:r>
        <w:t xml:space="preserve">（六）代收代退相关保证金。</w:t>
      </w:r>
    </w:p>
    <w:p>
      <w:pPr>
        <w:pStyle w:val="插入文本样式-插入单位职责文件"/>
      </w:pPr>
      <w:r>
        <w:t xml:space="preserve">（七）完成市政府交办的其他任务。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晋州市公共资源交易中心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161.31万元，其中：一般公共预算收入161.31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晋州市公共资源交易中心年度单位预算中支出预算的总体情况。2026年支出预算161.31万元，其中基本支出145.31万元，包括人员经费132.45万元和日常公用经费12.86万元；项目支出16.00万元，主要为土地拍卖公示公证 ；预计下年使用的单位资金结余0.00万元。委托业务费共计安排0.00万元，主要用于因技术原因确需对外委托的辅助性工作和确有必要对外委托开展咨询、评审、规划等工作。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2026年预算收支安排161.31万元，较2025年预算增加25.14万元，其中：基本支出增加19.14万元，主要为  人员增加 。项目支出增加6.00万元，主要为土地拍卖业务增多。预计下年使用的单位资金结余增加0.00万元。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2026年，我单位机关运行经费共计安排12.86万元，主要用于日常维修、办公用房水电费、办公用房取暖费、办公用房物业管理费等日常运行支出。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没有三公经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1、(业务费）绩效目标表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13018326P00032810503K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(业务费）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公共资源交易中心开评标电脑、远程评标系统及监控系统正常维护费用。</w:t>
            </w:r>
            <w:r>
              <w:tab/>
            </w:r>
            <w:r>
              <w:tab/>
            </w:r>
            <w:r>
              <w:tab/>
            </w:r>
            <w:r>
              <w:tab/>
            </w:r>
            <w:r>
              <w:tab/>
            </w:r>
          </w:p>
          <w:p>
            <w:pPr>
              <w:pStyle w:val="单元格样式2"/>
            </w:pP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1.公共资源交易中心开评标电脑、远程评标系统及监控系统正常维护，保障交易中心交易功能得以充分发挥</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服务人次</w:t>
            </w:r>
          </w:p>
        </w:tc>
        <w:tc>
          <w:tcPr>
            <w:tcW w:w="5386" w:type="dxa"/>
            <w:vAlign w:val="center"/>
          </w:tcPr>
          <w:p>
            <w:pPr>
              <w:pStyle w:val="单元格样式2"/>
            </w:pPr>
            <w:r>
              <w:t xml:space="preserve">每个工作日服务办事对象及评标专家人数。</w:t>
            </w:r>
          </w:p>
        </w:tc>
        <w:tc>
          <w:tcPr>
            <w:tcW w:w="2268" w:type="dxa"/>
            <w:vAlign w:val="center"/>
          </w:tcPr>
          <w:p>
            <w:pPr>
              <w:pStyle w:val="单元格样式2"/>
            </w:pPr>
            <w:r>
              <w:t xml:space="preserve">≥100人次</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提供的服务达到的标准、水平和效</w:t>
            </w:r>
          </w:p>
        </w:tc>
        <w:tc>
          <w:tcPr>
            <w:tcW w:w="5386" w:type="dxa"/>
            <w:vAlign w:val="center"/>
          </w:tcPr>
          <w:p>
            <w:pPr>
              <w:pStyle w:val="单元格样式2"/>
            </w:pPr>
            <w:r>
              <w:t xml:space="preserve">为企业和群众提供方便。</w:t>
            </w:r>
          </w:p>
        </w:tc>
        <w:tc>
          <w:tcPr>
            <w:tcW w:w="2268" w:type="dxa"/>
            <w:vAlign w:val="center"/>
          </w:tcPr>
          <w:p>
            <w:pPr>
              <w:pStyle w:val="单元格样式2"/>
            </w:pPr>
            <w:r>
              <w:t xml:space="preserve">提高服务</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服务企业按规定时效完成。</w:t>
            </w:r>
          </w:p>
        </w:tc>
        <w:tc>
          <w:tcPr>
            <w:tcW w:w="2268" w:type="dxa"/>
            <w:vAlign w:val="center"/>
          </w:tcPr>
          <w:p>
            <w:pPr>
              <w:pStyle w:val="单元格样式2"/>
            </w:pPr>
            <w:r>
              <w:t xml:space="preserve">≥90%</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6万</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社会公众或服务对象满意度</w:t>
            </w:r>
          </w:p>
        </w:tc>
        <w:tc>
          <w:tcPr>
            <w:tcW w:w="5386" w:type="dxa"/>
            <w:vAlign w:val="center"/>
          </w:tcPr>
          <w:p>
            <w:pPr>
              <w:pStyle w:val="单元格样式2"/>
            </w:pPr>
            <w:r>
              <w:t xml:space="preserve">社会公众或服务对象及群众对该项目实施效果非常满意</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2、土地出让公示公证费绩效目标表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13018326P00032810460N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土地出让公示公证费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土地拍卖公示公证费。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1.土地出让流程中及时媒体报刊中公示和法律公证使土地拍卖正常有序进行。</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土地拍卖数量</w:t>
            </w:r>
          </w:p>
        </w:tc>
        <w:tc>
          <w:tcPr>
            <w:tcW w:w="5386" w:type="dxa"/>
            <w:vAlign w:val="center"/>
          </w:tcPr>
          <w:p>
            <w:pPr>
              <w:pStyle w:val="单元格样式2"/>
            </w:pPr>
            <w:r>
              <w:t xml:space="preserve">确保完成2024年土地拍卖数量</w:t>
            </w:r>
          </w:p>
        </w:tc>
        <w:tc>
          <w:tcPr>
            <w:tcW w:w="2268" w:type="dxa"/>
            <w:vAlign w:val="center"/>
          </w:tcPr>
          <w:p>
            <w:pPr>
              <w:pStyle w:val="单元格样式2"/>
            </w:pPr>
            <w:r>
              <w:t xml:space="preserve">≥25块</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提高土地招投标的服务水平</w:t>
            </w:r>
          </w:p>
        </w:tc>
        <w:tc>
          <w:tcPr>
            <w:tcW w:w="5386" w:type="dxa"/>
            <w:vAlign w:val="center"/>
          </w:tcPr>
          <w:p>
            <w:pPr>
              <w:pStyle w:val="单元格样式2"/>
            </w:pPr>
            <w:r>
              <w:t xml:space="preserve">提高土地招投标的服务水平</w:t>
            </w:r>
          </w:p>
        </w:tc>
        <w:tc>
          <w:tcPr>
            <w:tcW w:w="2268" w:type="dxa"/>
            <w:vAlign w:val="center"/>
          </w:tcPr>
          <w:p>
            <w:pPr>
              <w:pStyle w:val="单元格样式2"/>
            </w:pPr>
            <w:r>
              <w:t xml:space="preserve">≥90%</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按上级规定时间完成土地拍卖任务</w:t>
            </w:r>
          </w:p>
        </w:tc>
        <w:tc>
          <w:tcPr>
            <w:tcW w:w="2268" w:type="dxa"/>
            <w:vAlign w:val="center"/>
          </w:tcPr>
          <w:p>
            <w:pPr>
              <w:pStyle w:val="单元格样式2"/>
            </w:pPr>
            <w:r>
              <w:t xml:space="preserve">≥90%</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工作正常运转完成</w:t>
            </w:r>
          </w:p>
        </w:tc>
        <w:tc>
          <w:tcPr>
            <w:tcW w:w="5386" w:type="dxa"/>
            <w:vAlign w:val="center"/>
          </w:tcPr>
          <w:p>
            <w:pPr>
              <w:pStyle w:val="单元格样式2"/>
            </w:pPr>
            <w:r>
              <w:t xml:space="preserve">确保本单位土地拍卖工作正常运转</w:t>
            </w:r>
          </w:p>
        </w:tc>
        <w:tc>
          <w:tcPr>
            <w:tcW w:w="2268" w:type="dxa"/>
            <w:vAlign w:val="center"/>
          </w:tcPr>
          <w:p>
            <w:pPr>
              <w:pStyle w:val="单元格样式2"/>
            </w:pPr>
            <w:r>
              <w:t xml:space="preserve">工作正常运转</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将公共资源交易中心建设成土地拍卖功能齐全、安全性高的交易中心</w:t>
            </w:r>
          </w:p>
        </w:tc>
        <w:tc>
          <w:tcPr>
            <w:tcW w:w="5386" w:type="dxa"/>
            <w:vAlign w:val="center"/>
          </w:tcPr>
          <w:p>
            <w:pPr>
              <w:pStyle w:val="单元格样式2"/>
            </w:pPr>
            <w:r>
              <w:t xml:space="preserve">将公共资源交易中心建设成土地拍卖功能齐全、安全性高的交易中心</w:t>
            </w:r>
          </w:p>
        </w:tc>
        <w:tc>
          <w:tcPr>
            <w:tcW w:w="2268" w:type="dxa"/>
            <w:vAlign w:val="center"/>
          </w:tcPr>
          <w:p>
            <w:pPr>
              <w:pStyle w:val="单元格样式2"/>
            </w:pPr>
            <w:r>
              <w:t xml:space="preserve">中心工作可持续发展</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435003晋州市公共资源交易中心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0.90</w:t>
            </w:r>
          </w:p>
        </w:tc>
        <w:tc>
          <w:tcPr>
            <w:tcW w:w="964" w:type="dxa"/>
            <w:vAlign w:val="center"/>
          </w:tcPr>
          <w:p>
            <w:pPr>
              <w:pStyle w:val="单元格样式7"/>
            </w:pPr>
            <w:r>
              <w:t xml:space="preserve">0.90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0.90</w:t>
            </w:r>
          </w:p>
        </w:tc>
      </w:tr>
      <w:tr>
        <w:tblPrEx>
          <w:jc w:val="center"/>
          <w:tblLayout w:type="fixed"/>
        </w:tblPrEx>
        <w:trPr>
          <w:jc w:val="center"/>
        </w:trPr>
        <w:tc>
          <w:tcPr>
            <w:tcW w:w="1701" w:type="dxa"/>
            <w:vAlign w:val="center"/>
          </w:tcPr>
          <w:p>
            <w:pPr>
              <w:pStyle w:val="单元格样式6"/>
            </w:pPr>
            <w:r>
              <w:t xml:space="preserve">晋州市公共资源交易中心小计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0.90</w:t>
            </w:r>
          </w:p>
        </w:tc>
        <w:tc>
          <w:tcPr>
            <w:tcW w:w="964" w:type="dxa"/>
            <w:vAlign w:val="center"/>
          </w:tcPr>
          <w:p>
            <w:pPr>
              <w:pStyle w:val="单元格样式7"/>
            </w:pPr>
            <w:r>
              <w:t xml:space="preserve">0.90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0.90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3.30</w:t>
            </w:r>
          </w:p>
        </w:tc>
        <w:tc>
          <w:tcPr>
            <w:tcW w:w="1134" w:type="dxa"/>
            <w:vAlign w:val="center"/>
          </w:tcPr>
          <w:p>
            <w:pPr>
              <w:pStyle w:val="单元格样式2"/>
            </w:pPr>
            <w:r>
              <w:t xml:space="preserve">其他硒鼓、粉盒</w:t>
            </w:r>
          </w:p>
        </w:tc>
        <w:tc>
          <w:tcPr>
            <w:tcW w:w="1134" w:type="dxa"/>
            <w:vAlign w:val="center"/>
          </w:tcPr>
          <w:p>
            <w:pPr>
              <w:pStyle w:val="单元格样式2"/>
            </w:pPr>
            <w:r>
              <w:t xml:space="preserve">A05040299</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0.90</w:t>
            </w:r>
          </w:p>
        </w:tc>
        <w:tc>
          <w:tcPr>
            <w:tcW w:w="964" w:type="dxa"/>
            <w:vAlign w:val="center"/>
          </w:tcPr>
          <w:p>
            <w:pPr>
              <w:pStyle w:val="单元格样式4"/>
            </w:pPr>
            <w:r>
              <w:t xml:space="preserve">0.90</w:t>
            </w:r>
          </w:p>
        </w:tc>
        <w:tc>
          <w:tcPr>
            <w:tcW w:w="964" w:type="dxa"/>
            <w:vAlign w:val="center"/>
          </w:tcPr>
          <w:p>
            <w:pPr>
              <w:pStyle w:val="单元格样式4"/>
            </w:pPr>
            <w:r>
              <w:t xml:space="preserve">0.90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晋州市公共资源交易中心上年末固定资产金额为0.00万元（详见下表）。本年度拟购置固定资产总额为0.00万元，已按要求列入政府采购预算，详见政府采购预算表。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435003晋州市公共资源交易中心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52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53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55</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2026-03-02T15:12:09Z</dcterms:created>
  <dcterms:modified xsi:type="dcterms:W3CDTF">2026-03-02T15:12:09Z</dcterms:modified>
</cp:coreProperties>
</file>