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435晋州市数据和政务服务局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1721.20</w:t>
            </w:r>
          </w:p>
        </w:tc>
        <w:tc>
          <w:tcPr>
            <w:tcW w:w="4535" w:type="dxa"/>
            <w:vAlign w:val="center"/>
          </w:tcPr>
          <w:p>
            <w:pPr>
              <w:pStyle w:val="13"/>
            </w:pPr>
            <w:r>
              <w:t>一、一般公共服务支出</w:t>
            </w:r>
          </w:p>
        </w:tc>
        <w:tc>
          <w:tcPr>
            <w:tcW w:w="2126" w:type="dxa"/>
            <w:vAlign w:val="center"/>
          </w:tcPr>
          <w:p>
            <w:pPr>
              <w:pStyle w:val="12"/>
            </w:pPr>
            <w:r>
              <w:t>1721.20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7.96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1721.20</w:t>
            </w:r>
          </w:p>
        </w:tc>
        <w:tc>
          <w:tcPr>
            <w:tcW w:w="4535" w:type="dxa"/>
            <w:vAlign w:val="center"/>
          </w:tcPr>
          <w:p>
            <w:pPr>
              <w:pStyle w:val="15"/>
            </w:pPr>
            <w:r>
              <w:t>本年支出合计</w:t>
            </w:r>
          </w:p>
        </w:tc>
        <w:tc>
          <w:tcPr>
            <w:tcW w:w="2126" w:type="dxa"/>
            <w:vAlign w:val="center"/>
          </w:tcPr>
          <w:p>
            <w:pPr>
              <w:pStyle w:val="16"/>
            </w:pPr>
            <w:r>
              <w:t>1729.16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7.96</w:t>
            </w:r>
          </w:p>
        </w:tc>
        <w:tc>
          <w:tcPr>
            <w:tcW w:w="4535" w:type="dxa"/>
            <w:vAlign w:val="center"/>
          </w:tcPr>
          <w:p>
            <w:pPr>
              <w:pStyle w:val="13"/>
            </w:pPr>
            <w:r>
              <w:t>年终结转结余</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1729.16</w:t>
            </w:r>
          </w:p>
        </w:tc>
        <w:tc>
          <w:tcPr>
            <w:tcW w:w="4535" w:type="dxa"/>
            <w:vAlign w:val="center"/>
          </w:tcPr>
          <w:p>
            <w:pPr>
              <w:pStyle w:val="15"/>
            </w:pPr>
            <w:r>
              <w:t>支出总计</w:t>
            </w:r>
          </w:p>
        </w:tc>
        <w:tc>
          <w:tcPr>
            <w:tcW w:w="2126" w:type="dxa"/>
            <w:vAlign w:val="center"/>
          </w:tcPr>
          <w:p>
            <w:pPr>
              <w:pStyle w:val="16"/>
            </w:pPr>
            <w:r>
              <w:t>1729.16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435晋州市数据和政务服务局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1729.16</w:t>
            </w:r>
          </w:p>
        </w:tc>
        <w:tc>
          <w:tcPr>
            <w:tcW w:w="1134" w:type="dxa"/>
            <w:vAlign w:val="center"/>
          </w:tcPr>
          <w:p>
            <w:pPr>
              <w:pStyle w:val="16"/>
            </w:pPr>
            <w:r>
              <w:t>1721.20</w:t>
            </w:r>
          </w:p>
        </w:tc>
        <w:tc>
          <w:tcPr>
            <w:tcW w:w="1134" w:type="dxa"/>
            <w:vAlign w:val="center"/>
          </w:tcPr>
          <w:p>
            <w:pPr>
              <w:pStyle w:val="16"/>
            </w:pPr>
            <w:r>
              <w:t>1721.20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1721.20</w:t>
            </w:r>
          </w:p>
        </w:tc>
        <w:tc>
          <w:tcPr>
            <w:tcW w:w="1134" w:type="dxa"/>
            <w:vAlign w:val="center"/>
          </w:tcPr>
          <w:p>
            <w:pPr>
              <w:pStyle w:val="12"/>
            </w:pPr>
            <w:r>
              <w:t>1721.20</w:t>
            </w:r>
          </w:p>
        </w:tc>
        <w:tc>
          <w:tcPr>
            <w:tcW w:w="1134" w:type="dxa"/>
            <w:vAlign w:val="center"/>
          </w:tcPr>
          <w:p>
            <w:pPr>
              <w:pStyle w:val="12"/>
            </w:pPr>
            <w:r>
              <w:t>1721.20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1721.20</w:t>
            </w:r>
          </w:p>
        </w:tc>
        <w:tc>
          <w:tcPr>
            <w:tcW w:w="1134" w:type="dxa"/>
            <w:vAlign w:val="center"/>
          </w:tcPr>
          <w:p>
            <w:pPr>
              <w:pStyle w:val="12"/>
            </w:pPr>
            <w:r>
              <w:t>1721.20</w:t>
            </w:r>
          </w:p>
        </w:tc>
        <w:tc>
          <w:tcPr>
            <w:tcW w:w="1134" w:type="dxa"/>
            <w:vAlign w:val="center"/>
          </w:tcPr>
          <w:p>
            <w:pPr>
              <w:pStyle w:val="12"/>
            </w:pPr>
            <w:r>
              <w:t>1721.20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2010306</w:t>
            </w:r>
          </w:p>
        </w:tc>
        <w:tc>
          <w:tcPr>
            <w:tcW w:w="1559" w:type="dxa"/>
            <w:vAlign w:val="center"/>
          </w:tcPr>
          <w:p>
            <w:pPr>
              <w:pStyle w:val="13"/>
            </w:pPr>
            <w:r>
              <w:t>政务公开审批</w:t>
            </w:r>
          </w:p>
        </w:tc>
        <w:tc>
          <w:tcPr>
            <w:tcW w:w="1134" w:type="dxa"/>
            <w:vAlign w:val="center"/>
          </w:tcPr>
          <w:p>
            <w:pPr>
              <w:pStyle w:val="12"/>
            </w:pPr>
            <w:r>
              <w:t>1721.20</w:t>
            </w:r>
          </w:p>
        </w:tc>
        <w:tc>
          <w:tcPr>
            <w:tcW w:w="1134" w:type="dxa"/>
            <w:vAlign w:val="center"/>
          </w:tcPr>
          <w:p>
            <w:pPr>
              <w:pStyle w:val="12"/>
            </w:pPr>
            <w:r>
              <w:t>1721.20</w:t>
            </w:r>
          </w:p>
        </w:tc>
        <w:tc>
          <w:tcPr>
            <w:tcW w:w="1134" w:type="dxa"/>
            <w:vAlign w:val="center"/>
          </w:tcPr>
          <w:p>
            <w:pPr>
              <w:pStyle w:val="12"/>
            </w:pPr>
            <w:r>
              <w:t>1721.20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7.96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7.96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7.96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7.96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435晋州市数据和政务服务局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1729.16</w:t>
            </w:r>
          </w:p>
        </w:tc>
        <w:tc>
          <w:tcPr>
            <w:tcW w:w="1361" w:type="dxa"/>
            <w:vAlign w:val="center"/>
          </w:tcPr>
          <w:p>
            <w:pPr>
              <w:pStyle w:val="16"/>
            </w:pPr>
            <w:r>
              <w:t>1035.04</w:t>
            </w:r>
          </w:p>
        </w:tc>
        <w:tc>
          <w:tcPr>
            <w:tcW w:w="1361" w:type="dxa"/>
            <w:vAlign w:val="center"/>
          </w:tcPr>
          <w:p>
            <w:pPr>
              <w:pStyle w:val="16"/>
            </w:pPr>
            <w:r>
              <w:t>694.12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1721.20</w:t>
            </w:r>
          </w:p>
        </w:tc>
        <w:tc>
          <w:tcPr>
            <w:tcW w:w="1361" w:type="dxa"/>
            <w:vAlign w:val="center"/>
          </w:tcPr>
          <w:p>
            <w:pPr>
              <w:pStyle w:val="12"/>
            </w:pPr>
            <w:r>
              <w:t>1035.04</w:t>
            </w:r>
          </w:p>
        </w:tc>
        <w:tc>
          <w:tcPr>
            <w:tcW w:w="1361" w:type="dxa"/>
            <w:vAlign w:val="center"/>
          </w:tcPr>
          <w:p>
            <w:pPr>
              <w:pStyle w:val="12"/>
            </w:pPr>
            <w:r>
              <w:t>686.16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1721.20</w:t>
            </w:r>
          </w:p>
        </w:tc>
        <w:tc>
          <w:tcPr>
            <w:tcW w:w="1361" w:type="dxa"/>
            <w:vAlign w:val="center"/>
          </w:tcPr>
          <w:p>
            <w:pPr>
              <w:pStyle w:val="12"/>
            </w:pPr>
            <w:r>
              <w:t>1035.04</w:t>
            </w:r>
          </w:p>
        </w:tc>
        <w:tc>
          <w:tcPr>
            <w:tcW w:w="1361" w:type="dxa"/>
            <w:vAlign w:val="center"/>
          </w:tcPr>
          <w:p>
            <w:pPr>
              <w:pStyle w:val="12"/>
            </w:pPr>
            <w:r>
              <w:t>686.16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2010306</w:t>
            </w:r>
          </w:p>
        </w:tc>
        <w:tc>
          <w:tcPr>
            <w:tcW w:w="4535" w:type="dxa"/>
            <w:vAlign w:val="center"/>
          </w:tcPr>
          <w:p>
            <w:pPr>
              <w:pStyle w:val="13"/>
            </w:pPr>
            <w:r>
              <w:t>政务公开审批</w:t>
            </w:r>
          </w:p>
        </w:tc>
        <w:tc>
          <w:tcPr>
            <w:tcW w:w="1361" w:type="dxa"/>
            <w:vAlign w:val="center"/>
          </w:tcPr>
          <w:p>
            <w:pPr>
              <w:pStyle w:val="12"/>
            </w:pPr>
            <w:r>
              <w:t>1721.20</w:t>
            </w:r>
          </w:p>
        </w:tc>
        <w:tc>
          <w:tcPr>
            <w:tcW w:w="1361" w:type="dxa"/>
            <w:vAlign w:val="center"/>
          </w:tcPr>
          <w:p>
            <w:pPr>
              <w:pStyle w:val="12"/>
            </w:pPr>
            <w:r>
              <w:t>1035.04</w:t>
            </w:r>
          </w:p>
        </w:tc>
        <w:tc>
          <w:tcPr>
            <w:tcW w:w="1361" w:type="dxa"/>
            <w:vAlign w:val="center"/>
          </w:tcPr>
          <w:p>
            <w:pPr>
              <w:pStyle w:val="12"/>
            </w:pPr>
            <w:r>
              <w:t>686.16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7.96</w:t>
            </w:r>
          </w:p>
        </w:tc>
        <w:tc>
          <w:tcPr>
            <w:tcW w:w="1361" w:type="dxa"/>
            <w:vAlign w:val="center"/>
          </w:tcPr>
          <w:p>
            <w:pPr>
              <w:pStyle w:val="12"/>
            </w:pPr>
          </w:p>
        </w:tc>
        <w:tc>
          <w:tcPr>
            <w:tcW w:w="1361" w:type="dxa"/>
            <w:vAlign w:val="center"/>
          </w:tcPr>
          <w:p>
            <w:pPr>
              <w:pStyle w:val="12"/>
            </w:pPr>
            <w:r>
              <w:t>7.96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7.96</w:t>
            </w:r>
          </w:p>
        </w:tc>
        <w:tc>
          <w:tcPr>
            <w:tcW w:w="1361" w:type="dxa"/>
            <w:vAlign w:val="center"/>
          </w:tcPr>
          <w:p>
            <w:pPr>
              <w:pStyle w:val="12"/>
            </w:pPr>
          </w:p>
        </w:tc>
        <w:tc>
          <w:tcPr>
            <w:tcW w:w="1361" w:type="dxa"/>
            <w:vAlign w:val="center"/>
          </w:tcPr>
          <w:p>
            <w:pPr>
              <w:pStyle w:val="12"/>
            </w:pPr>
            <w:r>
              <w:t>7.96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7.96</w:t>
            </w:r>
          </w:p>
        </w:tc>
        <w:tc>
          <w:tcPr>
            <w:tcW w:w="1361" w:type="dxa"/>
            <w:vAlign w:val="center"/>
          </w:tcPr>
          <w:p>
            <w:pPr>
              <w:pStyle w:val="12"/>
            </w:pPr>
          </w:p>
        </w:tc>
        <w:tc>
          <w:tcPr>
            <w:tcW w:w="1361" w:type="dxa"/>
            <w:vAlign w:val="center"/>
          </w:tcPr>
          <w:p>
            <w:pPr>
              <w:pStyle w:val="12"/>
            </w:pPr>
            <w:r>
              <w:t>7.96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435晋州市数据和政务服务局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1721.20</w:t>
            </w:r>
          </w:p>
        </w:tc>
        <w:tc>
          <w:tcPr>
            <w:tcW w:w="3402" w:type="dxa"/>
            <w:vAlign w:val="center"/>
          </w:tcPr>
          <w:p>
            <w:pPr>
              <w:pStyle w:val="13"/>
            </w:pPr>
            <w:r>
              <w:t>一、一般公共服务支出</w:t>
            </w:r>
          </w:p>
        </w:tc>
        <w:tc>
          <w:tcPr>
            <w:tcW w:w="1474" w:type="dxa"/>
            <w:vAlign w:val="center"/>
          </w:tcPr>
          <w:p>
            <w:pPr>
              <w:pStyle w:val="12"/>
            </w:pPr>
            <w:r>
              <w:t>1721.20</w:t>
            </w:r>
          </w:p>
        </w:tc>
        <w:tc>
          <w:tcPr>
            <w:tcW w:w="1474" w:type="dxa"/>
            <w:vAlign w:val="center"/>
          </w:tcPr>
          <w:p>
            <w:pPr>
              <w:pStyle w:val="12"/>
            </w:pPr>
            <w:r>
              <w:t>1721.20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7.96</w:t>
            </w:r>
          </w:p>
        </w:tc>
        <w:tc>
          <w:tcPr>
            <w:tcW w:w="1474" w:type="dxa"/>
            <w:vAlign w:val="center"/>
          </w:tcPr>
          <w:p>
            <w:pPr>
              <w:pStyle w:val="12"/>
            </w:pPr>
          </w:p>
        </w:tc>
        <w:tc>
          <w:tcPr>
            <w:tcW w:w="1474" w:type="dxa"/>
            <w:vAlign w:val="center"/>
          </w:tcPr>
          <w:p>
            <w:pPr>
              <w:pStyle w:val="12"/>
            </w:pPr>
            <w:r>
              <w:t>7.96</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1721.20</w:t>
            </w:r>
          </w:p>
        </w:tc>
        <w:tc>
          <w:tcPr>
            <w:tcW w:w="3402" w:type="dxa"/>
            <w:vAlign w:val="center"/>
          </w:tcPr>
          <w:p>
            <w:pPr>
              <w:pStyle w:val="15"/>
            </w:pPr>
            <w:r>
              <w:t>本年支出合计</w:t>
            </w:r>
          </w:p>
        </w:tc>
        <w:tc>
          <w:tcPr>
            <w:tcW w:w="1474" w:type="dxa"/>
            <w:vAlign w:val="center"/>
          </w:tcPr>
          <w:p>
            <w:pPr>
              <w:pStyle w:val="16"/>
            </w:pPr>
            <w:r>
              <w:t>1729.16</w:t>
            </w:r>
          </w:p>
        </w:tc>
        <w:tc>
          <w:tcPr>
            <w:tcW w:w="1474" w:type="dxa"/>
            <w:vAlign w:val="center"/>
          </w:tcPr>
          <w:p>
            <w:pPr>
              <w:pStyle w:val="16"/>
            </w:pPr>
            <w:r>
              <w:t>1721.20</w:t>
            </w:r>
          </w:p>
        </w:tc>
        <w:tc>
          <w:tcPr>
            <w:tcW w:w="1474" w:type="dxa"/>
            <w:vAlign w:val="center"/>
          </w:tcPr>
          <w:p>
            <w:pPr>
              <w:pStyle w:val="16"/>
            </w:pPr>
            <w:r>
              <w:t>7.96</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7.96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7.96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1729.16</w:t>
            </w:r>
          </w:p>
        </w:tc>
        <w:tc>
          <w:tcPr>
            <w:tcW w:w="3402" w:type="dxa"/>
            <w:vAlign w:val="center"/>
          </w:tcPr>
          <w:p>
            <w:pPr>
              <w:pStyle w:val="15"/>
            </w:pPr>
            <w:r>
              <w:t>支出总计</w:t>
            </w:r>
          </w:p>
        </w:tc>
        <w:tc>
          <w:tcPr>
            <w:tcW w:w="1474" w:type="dxa"/>
            <w:vAlign w:val="center"/>
          </w:tcPr>
          <w:p>
            <w:pPr>
              <w:pStyle w:val="16"/>
            </w:pPr>
            <w:r>
              <w:t>1729.16</w:t>
            </w:r>
          </w:p>
        </w:tc>
        <w:tc>
          <w:tcPr>
            <w:tcW w:w="1474" w:type="dxa"/>
            <w:vAlign w:val="center"/>
          </w:tcPr>
          <w:p>
            <w:pPr>
              <w:pStyle w:val="16"/>
            </w:pPr>
            <w:r>
              <w:t>1721.20</w:t>
            </w:r>
          </w:p>
        </w:tc>
        <w:tc>
          <w:tcPr>
            <w:tcW w:w="1474" w:type="dxa"/>
            <w:vAlign w:val="center"/>
          </w:tcPr>
          <w:p>
            <w:pPr>
              <w:pStyle w:val="16"/>
            </w:pPr>
            <w:r>
              <w:t>7.96</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435晋州市数据和政务服务局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1721.20</w:t>
            </w:r>
          </w:p>
        </w:tc>
        <w:tc>
          <w:tcPr>
            <w:tcW w:w="2551" w:type="dxa"/>
            <w:vAlign w:val="center"/>
          </w:tcPr>
          <w:p>
            <w:pPr>
              <w:pStyle w:val="16"/>
            </w:pPr>
            <w:r>
              <w:t>1035.04</w:t>
            </w:r>
          </w:p>
        </w:tc>
        <w:tc>
          <w:tcPr>
            <w:tcW w:w="2551" w:type="dxa"/>
            <w:vAlign w:val="center"/>
          </w:tcPr>
          <w:p>
            <w:pPr>
              <w:pStyle w:val="16"/>
            </w:pPr>
            <w:r>
              <w:t>686.16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1721.20</w:t>
            </w:r>
          </w:p>
        </w:tc>
        <w:tc>
          <w:tcPr>
            <w:tcW w:w="2551" w:type="dxa"/>
            <w:vAlign w:val="center"/>
          </w:tcPr>
          <w:p>
            <w:pPr>
              <w:pStyle w:val="12"/>
            </w:pPr>
            <w:r>
              <w:t>1035.04</w:t>
            </w:r>
          </w:p>
        </w:tc>
        <w:tc>
          <w:tcPr>
            <w:tcW w:w="2551" w:type="dxa"/>
            <w:vAlign w:val="center"/>
          </w:tcPr>
          <w:p>
            <w:pPr>
              <w:pStyle w:val="12"/>
            </w:pPr>
            <w:r>
              <w:t>686.16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1721.20</w:t>
            </w:r>
          </w:p>
        </w:tc>
        <w:tc>
          <w:tcPr>
            <w:tcW w:w="2551" w:type="dxa"/>
            <w:vAlign w:val="center"/>
          </w:tcPr>
          <w:p>
            <w:pPr>
              <w:pStyle w:val="12"/>
            </w:pPr>
            <w:r>
              <w:t>1035.04</w:t>
            </w:r>
          </w:p>
        </w:tc>
        <w:tc>
          <w:tcPr>
            <w:tcW w:w="2551" w:type="dxa"/>
            <w:vAlign w:val="center"/>
          </w:tcPr>
          <w:p>
            <w:pPr>
              <w:pStyle w:val="12"/>
            </w:pPr>
            <w:r>
              <w:t>686.16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2010306</w:t>
            </w:r>
          </w:p>
        </w:tc>
        <w:tc>
          <w:tcPr>
            <w:tcW w:w="4535" w:type="dxa"/>
            <w:vAlign w:val="center"/>
          </w:tcPr>
          <w:p>
            <w:pPr>
              <w:pStyle w:val="13"/>
            </w:pPr>
            <w:r>
              <w:t>政务公开审批</w:t>
            </w:r>
          </w:p>
        </w:tc>
        <w:tc>
          <w:tcPr>
            <w:tcW w:w="2551" w:type="dxa"/>
            <w:vAlign w:val="center"/>
          </w:tcPr>
          <w:p>
            <w:pPr>
              <w:pStyle w:val="12"/>
            </w:pPr>
            <w:r>
              <w:t>1721.20</w:t>
            </w:r>
          </w:p>
        </w:tc>
        <w:tc>
          <w:tcPr>
            <w:tcW w:w="2551" w:type="dxa"/>
            <w:vAlign w:val="center"/>
          </w:tcPr>
          <w:p>
            <w:pPr>
              <w:pStyle w:val="12"/>
            </w:pPr>
            <w:r>
              <w:t>1035.04</w:t>
            </w:r>
          </w:p>
        </w:tc>
        <w:tc>
          <w:tcPr>
            <w:tcW w:w="2551" w:type="dxa"/>
            <w:vAlign w:val="center"/>
          </w:tcPr>
          <w:p>
            <w:pPr>
              <w:pStyle w:val="12"/>
            </w:pPr>
            <w:r>
              <w:t>686.16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435晋州市数据和政务服务局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1035.04</w:t>
            </w:r>
          </w:p>
        </w:tc>
        <w:tc>
          <w:tcPr>
            <w:tcW w:w="2551" w:type="dxa"/>
            <w:vAlign w:val="center"/>
          </w:tcPr>
          <w:p>
            <w:pPr>
              <w:pStyle w:val="16"/>
            </w:pPr>
            <w:r>
              <w:t>907.11</w:t>
            </w:r>
          </w:p>
        </w:tc>
        <w:tc>
          <w:tcPr>
            <w:tcW w:w="2551" w:type="dxa"/>
            <w:vAlign w:val="center"/>
          </w:tcPr>
          <w:p>
            <w:pPr>
              <w:pStyle w:val="16"/>
            </w:pPr>
            <w:r>
              <w:t>127.93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904.75</w:t>
            </w:r>
          </w:p>
        </w:tc>
        <w:tc>
          <w:tcPr>
            <w:tcW w:w="2551" w:type="dxa"/>
            <w:vAlign w:val="center"/>
          </w:tcPr>
          <w:p>
            <w:pPr>
              <w:pStyle w:val="12"/>
            </w:pPr>
            <w:r>
              <w:t>904.75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328.51</w:t>
            </w:r>
          </w:p>
        </w:tc>
        <w:tc>
          <w:tcPr>
            <w:tcW w:w="2551" w:type="dxa"/>
            <w:vAlign w:val="center"/>
          </w:tcPr>
          <w:p>
            <w:pPr>
              <w:pStyle w:val="12"/>
            </w:pPr>
            <w:r>
              <w:t>328.51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85.03</w:t>
            </w:r>
          </w:p>
        </w:tc>
        <w:tc>
          <w:tcPr>
            <w:tcW w:w="2551" w:type="dxa"/>
            <w:vAlign w:val="center"/>
          </w:tcPr>
          <w:p>
            <w:pPr>
              <w:pStyle w:val="12"/>
            </w:pPr>
            <w:r>
              <w:t>85.03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52.49</w:t>
            </w:r>
          </w:p>
        </w:tc>
        <w:tc>
          <w:tcPr>
            <w:tcW w:w="2551" w:type="dxa"/>
            <w:vAlign w:val="center"/>
          </w:tcPr>
          <w:p>
            <w:pPr>
              <w:pStyle w:val="12"/>
            </w:pPr>
            <w:r>
              <w:t>52.49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182.63</w:t>
            </w:r>
          </w:p>
        </w:tc>
        <w:tc>
          <w:tcPr>
            <w:tcW w:w="2551" w:type="dxa"/>
            <w:vAlign w:val="center"/>
          </w:tcPr>
          <w:p>
            <w:pPr>
              <w:pStyle w:val="12"/>
            </w:pPr>
            <w:r>
              <w:t>182.63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90.48</w:t>
            </w:r>
          </w:p>
        </w:tc>
        <w:tc>
          <w:tcPr>
            <w:tcW w:w="2551" w:type="dxa"/>
            <w:vAlign w:val="center"/>
          </w:tcPr>
          <w:p>
            <w:pPr>
              <w:pStyle w:val="12"/>
            </w:pPr>
            <w:r>
              <w:t>90.48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37.40</w:t>
            </w:r>
          </w:p>
        </w:tc>
        <w:tc>
          <w:tcPr>
            <w:tcW w:w="2551" w:type="dxa"/>
            <w:vAlign w:val="center"/>
          </w:tcPr>
          <w:p>
            <w:pPr>
              <w:pStyle w:val="12"/>
            </w:pPr>
            <w:r>
              <w:t>37.40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19.01</w:t>
            </w:r>
          </w:p>
        </w:tc>
        <w:tc>
          <w:tcPr>
            <w:tcW w:w="2551" w:type="dxa"/>
            <w:vAlign w:val="center"/>
          </w:tcPr>
          <w:p>
            <w:pPr>
              <w:pStyle w:val="12"/>
            </w:pPr>
            <w:r>
              <w:t>19.01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5.58</w:t>
            </w:r>
          </w:p>
        </w:tc>
        <w:tc>
          <w:tcPr>
            <w:tcW w:w="2551" w:type="dxa"/>
            <w:vAlign w:val="center"/>
          </w:tcPr>
          <w:p>
            <w:pPr>
              <w:pStyle w:val="12"/>
            </w:pPr>
            <w:r>
              <w:t>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72.87</w:t>
            </w:r>
          </w:p>
        </w:tc>
        <w:tc>
          <w:tcPr>
            <w:tcW w:w="2551" w:type="dxa"/>
            <w:vAlign w:val="center"/>
          </w:tcPr>
          <w:p>
            <w:pPr>
              <w:pStyle w:val="12"/>
            </w:pPr>
            <w:r>
              <w:t>72.87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30.75</w:t>
            </w:r>
          </w:p>
        </w:tc>
        <w:tc>
          <w:tcPr>
            <w:tcW w:w="2551" w:type="dxa"/>
            <w:vAlign w:val="center"/>
          </w:tcPr>
          <w:p>
            <w:pPr>
              <w:pStyle w:val="12"/>
            </w:pPr>
            <w:r>
              <w:t>30.75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127.93</w:t>
            </w:r>
          </w:p>
        </w:tc>
        <w:tc>
          <w:tcPr>
            <w:tcW w:w="2551" w:type="dxa"/>
            <w:vAlign w:val="center"/>
          </w:tcPr>
          <w:p>
            <w:pPr>
              <w:pStyle w:val="12"/>
            </w:pPr>
          </w:p>
        </w:tc>
        <w:tc>
          <w:tcPr>
            <w:tcW w:w="2551" w:type="dxa"/>
            <w:vAlign w:val="center"/>
          </w:tcPr>
          <w:p>
            <w:pPr>
              <w:pStyle w:val="12"/>
            </w:pPr>
            <w:r>
              <w:t>127.93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16.34</w:t>
            </w:r>
          </w:p>
        </w:tc>
        <w:tc>
          <w:tcPr>
            <w:tcW w:w="2551" w:type="dxa"/>
            <w:vAlign w:val="center"/>
          </w:tcPr>
          <w:p>
            <w:pPr>
              <w:pStyle w:val="12"/>
            </w:pPr>
          </w:p>
        </w:tc>
        <w:tc>
          <w:tcPr>
            <w:tcW w:w="2551" w:type="dxa"/>
            <w:vAlign w:val="center"/>
          </w:tcPr>
          <w:p>
            <w:pPr>
              <w:pStyle w:val="12"/>
            </w:pPr>
            <w:r>
              <w:t>16.34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1.04</w:t>
            </w:r>
          </w:p>
        </w:tc>
        <w:tc>
          <w:tcPr>
            <w:tcW w:w="2551" w:type="dxa"/>
            <w:vAlign w:val="center"/>
          </w:tcPr>
          <w:p>
            <w:pPr>
              <w:pStyle w:val="12"/>
            </w:pPr>
          </w:p>
        </w:tc>
        <w:tc>
          <w:tcPr>
            <w:tcW w:w="2551" w:type="dxa"/>
            <w:vAlign w:val="center"/>
          </w:tcPr>
          <w:p>
            <w:pPr>
              <w:pStyle w:val="12"/>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7.08</w:t>
            </w:r>
          </w:p>
        </w:tc>
        <w:tc>
          <w:tcPr>
            <w:tcW w:w="2551" w:type="dxa"/>
            <w:vAlign w:val="center"/>
          </w:tcPr>
          <w:p>
            <w:pPr>
              <w:pStyle w:val="12"/>
            </w:pPr>
          </w:p>
        </w:tc>
        <w:tc>
          <w:tcPr>
            <w:tcW w:w="2551" w:type="dxa"/>
            <w:vAlign w:val="center"/>
          </w:tcPr>
          <w:p>
            <w:pPr>
              <w:pStyle w:val="12"/>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14.52</w:t>
            </w:r>
          </w:p>
        </w:tc>
        <w:tc>
          <w:tcPr>
            <w:tcW w:w="2551" w:type="dxa"/>
            <w:vAlign w:val="center"/>
          </w:tcPr>
          <w:p>
            <w:pPr>
              <w:pStyle w:val="12"/>
            </w:pPr>
          </w:p>
        </w:tc>
        <w:tc>
          <w:tcPr>
            <w:tcW w:w="2551" w:type="dxa"/>
            <w:vAlign w:val="center"/>
          </w:tcPr>
          <w:p>
            <w:pPr>
              <w:pStyle w:val="12"/>
            </w:pPr>
            <w:r>
              <w:t>14.52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6.80</w:t>
            </w:r>
          </w:p>
        </w:tc>
        <w:tc>
          <w:tcPr>
            <w:tcW w:w="2551" w:type="dxa"/>
            <w:vAlign w:val="center"/>
          </w:tcPr>
          <w:p>
            <w:pPr>
              <w:pStyle w:val="12"/>
            </w:pPr>
          </w:p>
        </w:tc>
        <w:tc>
          <w:tcPr>
            <w:tcW w:w="2551" w:type="dxa"/>
            <w:vAlign w:val="center"/>
          </w:tcPr>
          <w:p>
            <w:pPr>
              <w:pStyle w:val="12"/>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9.70</w:t>
            </w:r>
          </w:p>
        </w:tc>
        <w:tc>
          <w:tcPr>
            <w:tcW w:w="2551" w:type="dxa"/>
            <w:vAlign w:val="center"/>
          </w:tcPr>
          <w:p>
            <w:pPr>
              <w:pStyle w:val="12"/>
            </w:pPr>
          </w:p>
        </w:tc>
        <w:tc>
          <w:tcPr>
            <w:tcW w:w="2551" w:type="dxa"/>
            <w:vAlign w:val="center"/>
          </w:tcPr>
          <w:p>
            <w:pPr>
              <w:pStyle w:val="12"/>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22.71</w:t>
            </w:r>
          </w:p>
        </w:tc>
        <w:tc>
          <w:tcPr>
            <w:tcW w:w="2551" w:type="dxa"/>
            <w:vAlign w:val="center"/>
          </w:tcPr>
          <w:p>
            <w:pPr>
              <w:pStyle w:val="12"/>
            </w:pPr>
          </w:p>
        </w:tc>
        <w:tc>
          <w:tcPr>
            <w:tcW w:w="2551" w:type="dxa"/>
            <w:vAlign w:val="center"/>
          </w:tcPr>
          <w:p>
            <w:pPr>
              <w:pStyle w:val="12"/>
            </w:pPr>
            <w:r>
              <w:t>22.71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14.74</w:t>
            </w:r>
          </w:p>
        </w:tc>
        <w:tc>
          <w:tcPr>
            <w:tcW w:w="2551" w:type="dxa"/>
            <w:vAlign w:val="center"/>
          </w:tcPr>
          <w:p>
            <w:pPr>
              <w:pStyle w:val="12"/>
            </w:pPr>
          </w:p>
        </w:tc>
        <w:tc>
          <w:tcPr>
            <w:tcW w:w="2551" w:type="dxa"/>
            <w:vAlign w:val="center"/>
          </w:tcPr>
          <w:p>
            <w:pPr>
              <w:pStyle w:val="12"/>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2.36</w:t>
            </w:r>
          </w:p>
        </w:tc>
        <w:tc>
          <w:tcPr>
            <w:tcW w:w="2551" w:type="dxa"/>
            <w:vAlign w:val="center"/>
          </w:tcPr>
          <w:p>
            <w:pPr>
              <w:pStyle w:val="12"/>
            </w:pPr>
            <w:r>
              <w:t>2.36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2.36</w:t>
            </w:r>
          </w:p>
        </w:tc>
        <w:tc>
          <w:tcPr>
            <w:tcW w:w="2551" w:type="dxa"/>
            <w:vAlign w:val="center"/>
          </w:tcPr>
          <w:p>
            <w:pPr>
              <w:pStyle w:val="12"/>
            </w:pPr>
            <w:r>
              <w:t>2.36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435晋州市数据和政务服务局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7.96</w:t>
            </w:r>
          </w:p>
        </w:tc>
        <w:tc>
          <w:tcPr>
            <w:tcW w:w="2551" w:type="dxa"/>
            <w:vAlign w:val="center"/>
          </w:tcPr>
          <w:p>
            <w:pPr>
              <w:pStyle w:val="16"/>
            </w:pPr>
          </w:p>
        </w:tc>
        <w:tc>
          <w:tcPr>
            <w:tcW w:w="2551" w:type="dxa"/>
            <w:vAlign w:val="center"/>
          </w:tcPr>
          <w:p>
            <w:pPr>
              <w:pStyle w:val="16"/>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7.96</w:t>
            </w:r>
          </w:p>
        </w:tc>
        <w:tc>
          <w:tcPr>
            <w:tcW w:w="2551" w:type="dxa"/>
            <w:vAlign w:val="center"/>
          </w:tcPr>
          <w:p>
            <w:pPr>
              <w:pStyle w:val="12"/>
            </w:pPr>
          </w:p>
        </w:tc>
        <w:tc>
          <w:tcPr>
            <w:tcW w:w="2551" w:type="dxa"/>
            <w:vAlign w:val="center"/>
          </w:tcPr>
          <w:p>
            <w:pPr>
              <w:pStyle w:val="12"/>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7.96</w:t>
            </w:r>
          </w:p>
        </w:tc>
        <w:tc>
          <w:tcPr>
            <w:tcW w:w="2551" w:type="dxa"/>
            <w:vAlign w:val="center"/>
          </w:tcPr>
          <w:p>
            <w:pPr>
              <w:pStyle w:val="12"/>
            </w:pPr>
          </w:p>
        </w:tc>
        <w:tc>
          <w:tcPr>
            <w:tcW w:w="2551" w:type="dxa"/>
            <w:vAlign w:val="center"/>
          </w:tcPr>
          <w:p>
            <w:pPr>
              <w:pStyle w:val="12"/>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7.96</w:t>
            </w:r>
          </w:p>
        </w:tc>
        <w:tc>
          <w:tcPr>
            <w:tcW w:w="2551" w:type="dxa"/>
            <w:vAlign w:val="center"/>
          </w:tcPr>
          <w:p>
            <w:pPr>
              <w:pStyle w:val="12"/>
            </w:pPr>
          </w:p>
        </w:tc>
        <w:tc>
          <w:tcPr>
            <w:tcW w:w="2551" w:type="dxa"/>
            <w:vAlign w:val="center"/>
          </w:tcPr>
          <w:p>
            <w:pPr>
              <w:pStyle w:val="12"/>
            </w:pPr>
            <w:r>
              <w:t>7.96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435晋州市数据和政务服务局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435晋州市数据和政务服务局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9.70</w:t>
            </w:r>
          </w:p>
        </w:tc>
        <w:tc>
          <w:tcPr>
            <w:tcW w:w="2381" w:type="dxa"/>
            <w:vAlign w:val="center"/>
          </w:tcPr>
          <w:p>
            <w:pPr>
              <w:pStyle w:val="16"/>
            </w:pPr>
            <w:r>
              <w:t>9.70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9.70</w:t>
            </w:r>
          </w:p>
        </w:tc>
        <w:tc>
          <w:tcPr>
            <w:tcW w:w="2381" w:type="dxa"/>
            <w:vAlign w:val="center"/>
          </w:tcPr>
          <w:p>
            <w:pPr>
              <w:pStyle w:val="12"/>
            </w:pPr>
            <w:r>
              <w:t>9.70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9.70</w:t>
            </w:r>
          </w:p>
        </w:tc>
        <w:tc>
          <w:tcPr>
            <w:tcW w:w="2381" w:type="dxa"/>
            <w:vAlign w:val="center"/>
          </w:tcPr>
          <w:p>
            <w:pPr>
              <w:pStyle w:val="12"/>
            </w:pPr>
            <w:r>
              <w:t>9.70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晋州市数据和政务服务局2026年部门预算信息公开情况说明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晋州市数据和政务服务局2026年部门预算信息公开情况说明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按照《中华人民共和国预算法》、《地方预决算公开操作规程》和《关于进一步推进预算公开工作的实施意见》规定，现将晋州市数据和政务服务局2026年部门预算公开如下：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审批、服务事项受理。受理社会向市政府有关部门、有关单位申请办理的各类批准、核准、备案等服务事项。规范完善行政审批工作，创造宽松的经济发展环境，打造高效、公正的服务平台，提高行政效能。</w:t>
      </w:r>
    </w:p>
    <w:p>
      <w:pPr>
        <w:pStyle w:val="18"/>
      </w:pPr>
      <w:r>
        <w:t>（二）收取规费。负责办理市政府各部门、各单位向社会收取的各种规费事宜。</w:t>
      </w:r>
    </w:p>
    <w:p>
      <w:pPr>
        <w:pStyle w:val="18"/>
      </w:pPr>
      <w:r>
        <w:t>（三）全市信息化工作。推行网上审批自动化和办公自动化。</w:t>
      </w:r>
    </w:p>
    <w:p>
      <w:pPr>
        <w:pStyle w:val="18"/>
      </w:pPr>
      <w:r>
        <w:t>（四）驻派人员的管理与考核。对市政府各部、各单位驻派人员的考核与管理。</w:t>
      </w:r>
    </w:p>
    <w:p>
      <w:pPr>
        <w:pStyle w:val="18"/>
      </w:pPr>
      <w:r>
        <w:t>（五）中心综合事务和我市政府交办的其他事宜。中心设备与人员正常运转的水电保障和办理市政府交办的其他事宜。</w:t>
      </w:r>
    </w:p>
    <w:p>
      <w:pPr>
        <w:pStyle w:val="18"/>
      </w:pPr>
      <w:r>
        <w:t>（六）公共资源交易监督管理工作。拟定全市公共资源交易管理制度和规则并组织实施，建设公共资源交易电子平台，推进公共资源交易领域信用体系建设。监督公共资源交易项目进场交易，并对场内交易活动进行监督，协调开展公共资源交易活动的联动执法。</w:t>
      </w:r>
    </w:p>
    <w:p>
      <w:pPr>
        <w:pStyle w:val="18"/>
      </w:pPr>
      <w:r>
        <w:t>（七）政务服务管理工作。贯彻落实党中央、省、市关于政务服务管理工作的方针政策和决策部署，坚持和加强党对政务服务管理工作的集中统一领导。全市政务服务体系建设，推动政务服务事项网上办理，协调推进政务服务统一事项、统一编码、统一网上技术规范；推进审批服务便民化；提供规范、高效、优质的政务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晋州市数据和政务服务局本级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晋州市公共资源交易中心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按照预算管理有关规定，目前部门预算的编制实行综合预算管理，即全部收入和支出都反映在预算中。晋州市数据和政务服务局机关及所属事业单位的收支包含在部门预算中。</w:t>
      </w:r>
    </w:p>
    <w:p>
      <w:pPr>
        <w:pStyle w:val="19"/>
      </w:pPr>
      <w:r>
        <w:t>1、收入说明</w:t>
      </w:r>
    </w:p>
    <w:p>
      <w:pPr>
        <w:pStyle w:val="19"/>
      </w:pPr>
      <w:r>
        <w:t>反映本部门当年全部收入。2026年预算收入1729.16万元，其中：一般公共预算收入1721.20万元，基金预算收入0.00万元，国有资本经营预算收入0.00万元，财政专户核拨收入0.00万元，单位资金收入0.00万元，上年结转结余7.96万元。</w:t>
      </w:r>
    </w:p>
    <w:p>
      <w:pPr>
        <w:pStyle w:val="19"/>
      </w:pPr>
      <w:r>
        <w:t>2、支出说明</w:t>
      </w:r>
    </w:p>
    <w:p>
      <w:pPr>
        <w:pStyle w:val="19"/>
      </w:pPr>
      <w:r>
        <w:t>收支预算总表支出栏、基本支出表、项目支出表按经济分类和支出功能分类科目编制，反映晋州市数据和政务服务局年度部门预算中支出预算的总体情况。2026年支出预算1729.16万元，其中基本支出1035.04万元，包括人员经费907.11万元和日常公用经费127.93万元；项目支出694.12万元，主要为便民服务中心公共卫生费、个体工商专网费、水电费及运行维护和保洁费、乡村便民服务站（室）网络租费、项目建设评审费、信用联合办公经费、业务培训及印制宣传费、运行维护费、其他劳务派遣人员、（业务费）；预计下年使用的单位资金结余0.00万元。委托业务费共计安排162.50万元，主要用于因技术原因确需对外委托的辅助性工作和确有必要对外委托开展咨询、评审、规划等工作。</w:t>
      </w:r>
    </w:p>
    <w:p>
      <w:pPr>
        <w:pStyle w:val="19"/>
      </w:pPr>
      <w:r>
        <w:t>3、比上年增减情况</w:t>
      </w:r>
    </w:p>
    <w:p>
      <w:pPr>
        <w:pStyle w:val="19"/>
      </w:pPr>
      <w:r>
        <w:t>2026年预算收支安排1729.16万元，较2025年预算增加59.48万元，其中：基本支出增加47.62万元，主要为2026年度人员增加所以相应的日常基本经费支出增加。项目支出增加11.86万元，主要为其他劳务派遣人员费用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2026年，我部门机关运行经费共计安排127.93万元，主要用于日常维修、办公用房水电费、办公用房取暖费、办公用房物业管理费等日常运行支出。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9.70万元，其中因公出国（境）费0.00万元；公务用车购置及运维费9.70万元（其中：公务用车购置费为0.00万元，公务用车运维费9.70万元)；公务接待费0.00万元。与2025年相比减少0.30万元，增减变化的主要原因是为压减开支，公车运行维护费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按照“一门受理、转告相关、互联审批、统一收费、限时办结、集中管理、分业行政、效能监督”的服务模式，努力打造成为市委、市政府便民利民的平台，依法行政的抓手，密切党群干群关系的载体，努力打造“高效晋州”服务窗口。对全市行政审批、政务服务行为进行监督检查，对窗口工作人员进行日常管理、教育培训和检查考核；规范全市行政审批行为，创新和完善相关工作体制；对行政审批、政务服务事项流程进行规范和优化，推进审批服务便民化、标准化建设；公共资源交易监督管理，建设公共资源交易电子平台，推进公共资源交易领域信用体系建设；推动政务服务事项网上办理，推进在线政务服务平台规范化、标准化、集约化建设，实现政务数据、公共数据的互联互通，为提升政府治理水平、促进保障和改善民生提供数据资源保障服务。致力于深化行政审批制度改革，不断推出创新举措，努力提升政务服务质量，着力营造良好的营商环境，使人民群众满意度和获得感不断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（一）审批、服务事项受理</w:t>
      </w:r>
    </w:p>
    <w:p>
      <w:pPr>
        <w:pStyle w:val="23"/>
      </w:pPr>
      <w:r>
        <w:t>绩效目标：受理社会向市政府有关部门、有关单位申请办理的各类批准、核准、备案等服务事项。</w:t>
      </w:r>
    </w:p>
    <w:p>
      <w:pPr>
        <w:pStyle w:val="23"/>
      </w:pPr>
      <w:r>
        <w:t>绩效指标：规范完善行政审批工作完成率≥90%。</w:t>
      </w:r>
    </w:p>
    <w:p>
      <w:pPr>
        <w:pStyle w:val="23"/>
      </w:pPr>
      <w:r>
        <w:t>（二）收取规费</w:t>
      </w:r>
    </w:p>
    <w:p>
      <w:pPr>
        <w:pStyle w:val="23"/>
      </w:pPr>
      <w:r>
        <w:t>绩效目标：负责办理市政府各部门、各单位向社会收取的各种规费事宜。</w:t>
      </w:r>
    </w:p>
    <w:p>
      <w:pPr>
        <w:pStyle w:val="23"/>
      </w:pPr>
      <w:r>
        <w:t>绩效指标：规费依据、标准公开透明，公开率达到100%。</w:t>
      </w:r>
    </w:p>
    <w:p>
      <w:pPr>
        <w:pStyle w:val="23"/>
      </w:pPr>
      <w:r>
        <w:t>（三）全市信息化工作</w:t>
      </w:r>
    </w:p>
    <w:p>
      <w:pPr>
        <w:pStyle w:val="23"/>
      </w:pPr>
      <w:r>
        <w:t>绩效目标：推行网上审批自动化和办公自动化。</w:t>
      </w:r>
    </w:p>
    <w:p>
      <w:pPr>
        <w:pStyle w:val="23"/>
      </w:pPr>
      <w:r>
        <w:t>绩效指标：全市信息化率≥90%。</w:t>
      </w:r>
    </w:p>
    <w:p>
      <w:pPr>
        <w:pStyle w:val="23"/>
      </w:pPr>
      <w:r>
        <w:t>（四）驻派人员的管理与考核</w:t>
      </w:r>
    </w:p>
    <w:p>
      <w:pPr>
        <w:pStyle w:val="23"/>
      </w:pPr>
      <w:r>
        <w:t>绩效目标：对市政府各部、各单位驻派人员的考核与管理。</w:t>
      </w:r>
    </w:p>
    <w:p>
      <w:pPr>
        <w:pStyle w:val="23"/>
      </w:pPr>
      <w:r>
        <w:t>绩效指标：驻派人员的考核每年≥2次。</w:t>
      </w:r>
    </w:p>
    <w:p>
      <w:pPr>
        <w:pStyle w:val="23"/>
      </w:pPr>
      <w:r>
        <w:t>（五）中心综合事务和我市政府交办的其他事宜</w:t>
      </w:r>
    </w:p>
    <w:p>
      <w:pPr>
        <w:pStyle w:val="23"/>
      </w:pPr>
      <w:r>
        <w:t>绩效目标：中心设备与人员正常运转的水电保障和办理市政府交办的其他事宜。</w:t>
      </w:r>
    </w:p>
    <w:p>
      <w:pPr>
        <w:pStyle w:val="23"/>
      </w:pPr>
      <w:r>
        <w:t>绩效指标：保障中心功能以及基本设施正常运转，运转率≥90%。</w:t>
      </w:r>
    </w:p>
    <w:p>
      <w:pPr>
        <w:pStyle w:val="23"/>
      </w:pPr>
      <w:r>
        <w:t>（六）公共资源交易监督管理工作</w:t>
      </w:r>
    </w:p>
    <w:p>
      <w:pPr>
        <w:pStyle w:val="23"/>
      </w:pPr>
      <w:r>
        <w:t>绩效目标：拟定全市公共资源交易管理制度和规则并组织实施，建设公共资源交易电子平台，推进公共资源交易领域信用体系建设。</w:t>
      </w:r>
    </w:p>
    <w:p>
      <w:pPr>
        <w:pStyle w:val="23"/>
      </w:pPr>
      <w:r>
        <w:t>绩效指标：监督公共资源交易项目进场交易监督率达到100%。</w:t>
      </w:r>
    </w:p>
    <w:p>
      <w:pPr>
        <w:pStyle w:val="23"/>
      </w:pPr>
      <w:r>
        <w:t>（七）政务服务管理工作</w:t>
      </w:r>
    </w:p>
    <w:p>
      <w:pPr>
        <w:pStyle w:val="23"/>
      </w:pPr>
      <w:r>
        <w:t>绩效目标：贯彻落实党中央、省、市关于政务服务管理工作的方针政策和决策部署，坚持和加强党对政务服务管理工作的集中统一领导。</w:t>
      </w:r>
    </w:p>
    <w:p>
      <w:pPr>
        <w:pStyle w:val="23"/>
      </w:pPr>
      <w:r>
        <w:t>绩效指标：推动政务服务事项网上办理率达到100%。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r>
        <w:t>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13018326P00032810199Y</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用于便民服务中心办公经费支出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1.目标内容公共水电费支出、清洁卫生管理费用、维护保养费、设备日常运行等开支，确保便民服务中心功能得以充分发挥。</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服务人次</w:t>
            </w:r>
          </w:p>
        </w:tc>
        <w:tc>
          <w:tcPr>
            <w:tcW w:w="5386" w:type="dxa"/>
            <w:vAlign w:val="center"/>
          </w:tcPr>
          <w:p>
            <w:pPr>
              <w:pStyle w:val="13"/>
            </w:pPr>
            <w:r>
              <w:t>每个工作日服务办事群众人数。</w:t>
            </w:r>
          </w:p>
        </w:tc>
        <w:tc>
          <w:tcPr>
            <w:tcW w:w="2268" w:type="dxa"/>
            <w:vAlign w:val="center"/>
          </w:tcPr>
          <w:p>
            <w:pPr>
              <w:pStyle w:val="13"/>
            </w:pPr>
            <w:r>
              <w:t>≥1000 人次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提供的服务达到的标准、水平和效</w:t>
            </w:r>
          </w:p>
        </w:tc>
        <w:tc>
          <w:tcPr>
            <w:tcW w:w="5386" w:type="dxa"/>
            <w:vAlign w:val="center"/>
          </w:tcPr>
          <w:p>
            <w:pPr>
              <w:pStyle w:val="13"/>
            </w:pPr>
            <w:r>
              <w:t>为企业和群众提供方便。</w:t>
            </w:r>
          </w:p>
        </w:tc>
        <w:tc>
          <w:tcPr>
            <w:tcW w:w="2268" w:type="dxa"/>
            <w:vAlign w:val="center"/>
          </w:tcPr>
          <w:p>
            <w:pPr>
              <w:pStyle w:val="13"/>
            </w:pPr>
            <w:r>
              <w:t>提高服务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服务群众按规定时效完成。</w:t>
            </w:r>
          </w:p>
        </w:tc>
        <w:tc>
          <w:tcPr>
            <w:tcW w:w="2268" w:type="dxa"/>
            <w:vAlign w:val="center"/>
          </w:tcPr>
          <w:p>
            <w:pPr>
              <w:pStyle w:val="13"/>
            </w:pPr>
            <w:r>
              <w:t>≥90%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1.5 万元</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产出对社会发展带来的影响和效果</w:t>
            </w:r>
          </w:p>
        </w:tc>
        <w:tc>
          <w:tcPr>
            <w:tcW w:w="5386" w:type="dxa"/>
            <w:vAlign w:val="center"/>
          </w:tcPr>
          <w:p>
            <w:pPr>
              <w:pStyle w:val="13"/>
            </w:pPr>
            <w:r>
              <w:t>确保便民服务中心功能得以充分发挥。</w:t>
            </w:r>
          </w:p>
        </w:tc>
        <w:tc>
          <w:tcPr>
            <w:tcW w:w="2268" w:type="dxa"/>
            <w:vAlign w:val="center"/>
          </w:tcPr>
          <w:p>
            <w:pPr>
              <w:pStyle w:val="13"/>
            </w:pPr>
            <w:r>
              <w:t>≥90%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社会公众或服务对象及群众对该项目实施效果非常满意</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2、便民服务中心公共卫生费绩效目标表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13018326P00032810198B</w:t>
            </w:r>
          </w:p>
        </w:tc>
        <w:tc>
          <w:tcPr>
            <w:tcW w:w="2835" w:type="dxa"/>
            <w:vAlign w:val="center"/>
          </w:tcPr>
          <w:p>
            <w:pPr>
              <w:pStyle w:val="11"/>
            </w:pPr>
            <w:r>
              <w:t>项目名称</w:t>
            </w:r>
          </w:p>
        </w:tc>
        <w:tc>
          <w:tcPr>
            <w:tcW w:w="6095" w:type="dxa"/>
            <w:gridSpan w:val="3"/>
            <w:vAlign w:val="center"/>
          </w:tcPr>
          <w:p>
            <w:pPr>
              <w:pStyle w:val="13"/>
            </w:pPr>
            <w:r>
              <w:t>便民服务中心公共卫生费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19.20</w:t>
            </w:r>
          </w:p>
        </w:tc>
        <w:tc>
          <w:tcPr>
            <w:tcW w:w="2835" w:type="dxa"/>
            <w:vAlign w:val="center"/>
          </w:tcPr>
          <w:p>
            <w:pPr>
              <w:pStyle w:val="11"/>
            </w:pPr>
            <w:r>
              <w:t>其中：财政    资金</w:t>
            </w:r>
          </w:p>
        </w:tc>
        <w:tc>
          <w:tcPr>
            <w:tcW w:w="2551" w:type="dxa"/>
            <w:vAlign w:val="center"/>
          </w:tcPr>
          <w:p>
            <w:pPr>
              <w:pStyle w:val="13"/>
            </w:pPr>
            <w:r>
              <w:t>19.20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用于支付便民服务中心的公共卫生费。</w:t>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1.为提高便民服务中心基本公共卫生服务水平，创造一个舒适、干净、整洁的公共场所。</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公共卫生服务达标率</w:t>
            </w:r>
          </w:p>
        </w:tc>
        <w:tc>
          <w:tcPr>
            <w:tcW w:w="5386" w:type="dxa"/>
            <w:vAlign w:val="center"/>
          </w:tcPr>
          <w:p>
            <w:pPr>
              <w:pStyle w:val="13"/>
            </w:pPr>
            <w:r>
              <w:t>公共卫生服务设施达标率</w:t>
            </w:r>
          </w:p>
        </w:tc>
        <w:tc>
          <w:tcPr>
            <w:tcW w:w="2268" w:type="dxa"/>
            <w:vAlign w:val="center"/>
          </w:tcPr>
          <w:p>
            <w:pPr>
              <w:pStyle w:val="13"/>
            </w:pPr>
            <w:r>
              <w:t>≥90 %</w:t>
            </w:r>
          </w:p>
        </w:tc>
        <w:tc>
          <w:tcPr>
            <w:tcW w:w="1276" w:type="dxa"/>
            <w:vAlign w:val="center"/>
          </w:tcPr>
          <w:p>
            <w:pPr>
              <w:pStyle w:val="13"/>
            </w:pPr>
            <w:r>
              <w:t xml:space="preserve"> 便民服务中心公共卫生经费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公共卫生干净整洁</w:t>
            </w:r>
          </w:p>
        </w:tc>
        <w:tc>
          <w:tcPr>
            <w:tcW w:w="5386" w:type="dxa"/>
            <w:vAlign w:val="center"/>
          </w:tcPr>
          <w:p>
            <w:pPr>
              <w:pStyle w:val="13"/>
            </w:pPr>
            <w:r>
              <w:t xml:space="preserve"> 便民服务中心整体环境舒适整洁。</w:t>
            </w:r>
          </w:p>
        </w:tc>
        <w:tc>
          <w:tcPr>
            <w:tcW w:w="2268" w:type="dxa"/>
            <w:vAlign w:val="center"/>
          </w:tcPr>
          <w:p>
            <w:pPr>
              <w:pStyle w:val="13"/>
            </w:pPr>
            <w:r>
              <w:t>公共卫生水平整体提高</w:t>
            </w:r>
          </w:p>
        </w:tc>
        <w:tc>
          <w:tcPr>
            <w:tcW w:w="1276" w:type="dxa"/>
            <w:vAlign w:val="center"/>
          </w:tcPr>
          <w:p>
            <w:pPr>
              <w:pStyle w:val="13"/>
            </w:pPr>
            <w:r>
              <w:t xml:space="preserve"> 便民服务中心公共卫生经费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≥80%</w:t>
            </w:r>
          </w:p>
        </w:tc>
        <w:tc>
          <w:tcPr>
            <w:tcW w:w="1276" w:type="dxa"/>
            <w:vAlign w:val="center"/>
          </w:tcPr>
          <w:p>
            <w:pPr>
              <w:pStyle w:val="13"/>
            </w:pPr>
            <w:r>
              <w:t xml:space="preserve"> 便民服务中心公共卫生经费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19.2 万元</w:t>
            </w:r>
          </w:p>
        </w:tc>
        <w:tc>
          <w:tcPr>
            <w:tcW w:w="1276" w:type="dxa"/>
            <w:vAlign w:val="center"/>
          </w:tcPr>
          <w:p>
            <w:pPr>
              <w:pStyle w:val="13"/>
            </w:pPr>
            <w:r>
              <w:t xml:space="preserve"> 便民服务中心公共卫生经费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≥80%</w:t>
            </w:r>
          </w:p>
        </w:tc>
        <w:tc>
          <w:tcPr>
            <w:tcW w:w="1276" w:type="dxa"/>
            <w:vAlign w:val="center"/>
          </w:tcPr>
          <w:p>
            <w:pPr>
              <w:pStyle w:val="13"/>
            </w:pPr>
            <w:r>
              <w:t xml:space="preserve"> 便民服务中心公共卫生经费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社会公众或服务对象及群众对该项目实施效果非常满意</w:t>
            </w:r>
          </w:p>
        </w:tc>
        <w:tc>
          <w:tcPr>
            <w:tcW w:w="2268" w:type="dxa"/>
            <w:vAlign w:val="center"/>
          </w:tcPr>
          <w:p>
            <w:pPr>
              <w:pStyle w:val="13"/>
            </w:pPr>
            <w:r>
              <w:t>≥90 %</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3、个体工商专网费绩效目标表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13018326P000328101964</w:t>
            </w:r>
          </w:p>
        </w:tc>
        <w:tc>
          <w:tcPr>
            <w:tcW w:w="2835" w:type="dxa"/>
            <w:vAlign w:val="center"/>
          </w:tcPr>
          <w:p>
            <w:pPr>
              <w:pStyle w:val="11"/>
            </w:pPr>
            <w:r>
              <w:t>项目名称</w:t>
            </w:r>
          </w:p>
        </w:tc>
        <w:tc>
          <w:tcPr>
            <w:tcW w:w="6095" w:type="dxa"/>
            <w:gridSpan w:val="3"/>
            <w:vAlign w:val="center"/>
          </w:tcPr>
          <w:p>
            <w:pPr>
              <w:pStyle w:val="13"/>
            </w:pPr>
            <w:r>
              <w:t>个体工商专网费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5.76</w:t>
            </w:r>
          </w:p>
        </w:tc>
        <w:tc>
          <w:tcPr>
            <w:tcW w:w="2835" w:type="dxa"/>
            <w:vAlign w:val="center"/>
          </w:tcPr>
          <w:p>
            <w:pPr>
              <w:pStyle w:val="11"/>
            </w:pPr>
            <w:r>
              <w:t>其中：财政    资金</w:t>
            </w:r>
          </w:p>
        </w:tc>
        <w:tc>
          <w:tcPr>
            <w:tcW w:w="2551" w:type="dxa"/>
            <w:vAlign w:val="center"/>
          </w:tcPr>
          <w:p>
            <w:pPr>
              <w:pStyle w:val="13"/>
            </w:pPr>
            <w:r>
              <w:t>5.76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支付12条"工商专网"线路的网络租费</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1.主要用于在市便民服务中心及11个乡镇（开发区）便民服务站分设""个体工商登记窗口""，共用12条""工商专网""线路暨河北省经济户籍库的正常使用。</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服务人次</w:t>
            </w:r>
          </w:p>
        </w:tc>
        <w:tc>
          <w:tcPr>
            <w:tcW w:w="5386" w:type="dxa"/>
            <w:vAlign w:val="center"/>
          </w:tcPr>
          <w:p>
            <w:pPr>
              <w:pStyle w:val="13"/>
            </w:pPr>
            <w:r>
              <w:t>每个工作日服务办事群众1000人次</w:t>
            </w:r>
          </w:p>
        </w:tc>
        <w:tc>
          <w:tcPr>
            <w:tcW w:w="2268" w:type="dxa"/>
            <w:vAlign w:val="center"/>
          </w:tcPr>
          <w:p>
            <w:pPr>
              <w:pStyle w:val="13"/>
            </w:pPr>
            <w:r>
              <w:t>≥1000 人次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提供的服务达到的标准、水平和效果</w:t>
            </w:r>
          </w:p>
        </w:tc>
        <w:tc>
          <w:tcPr>
            <w:tcW w:w="5386" w:type="dxa"/>
            <w:vAlign w:val="center"/>
          </w:tcPr>
          <w:p>
            <w:pPr>
              <w:pStyle w:val="13"/>
            </w:pPr>
            <w:r>
              <w:t>“工商专网”的有效使用，做到简化办事程序、提高工作效率、降低行政成本。</w:t>
            </w:r>
          </w:p>
        </w:tc>
        <w:tc>
          <w:tcPr>
            <w:tcW w:w="2268" w:type="dxa"/>
            <w:vAlign w:val="center"/>
          </w:tcPr>
          <w:p>
            <w:pPr>
              <w:pStyle w:val="13"/>
            </w:pPr>
            <w:r>
              <w:t>≥80%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服务群众按规定时效完成。</w:t>
            </w:r>
          </w:p>
        </w:tc>
        <w:tc>
          <w:tcPr>
            <w:tcW w:w="2268" w:type="dxa"/>
            <w:vAlign w:val="center"/>
          </w:tcPr>
          <w:p>
            <w:pPr>
              <w:pStyle w:val="13"/>
            </w:pPr>
            <w:r>
              <w:t>≥90%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5.76 万元</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工作正常运转完成率</w:t>
            </w:r>
          </w:p>
        </w:tc>
        <w:tc>
          <w:tcPr>
            <w:tcW w:w="5386" w:type="dxa"/>
            <w:vAlign w:val="center"/>
          </w:tcPr>
          <w:p>
            <w:pPr>
              <w:pStyle w:val="13"/>
            </w:pPr>
            <w:r>
              <w:t>单位的工作正常运转率</w:t>
            </w:r>
          </w:p>
        </w:tc>
        <w:tc>
          <w:tcPr>
            <w:tcW w:w="2268" w:type="dxa"/>
            <w:vAlign w:val="center"/>
          </w:tcPr>
          <w:p>
            <w:pPr>
              <w:pStyle w:val="13"/>
            </w:pPr>
            <w:r>
              <w:t>≥90%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社会公众或服务对象及群众对该项目实施效果非常满意</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4、晋州市拖欠企业账款项目（晋州市数据和政务服务局货物类、服务类）绩效目标表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13018325P00006411457P</w:t>
            </w:r>
          </w:p>
        </w:tc>
        <w:tc>
          <w:tcPr>
            <w:tcW w:w="2835" w:type="dxa"/>
            <w:vAlign w:val="center"/>
          </w:tcPr>
          <w:p>
            <w:pPr>
              <w:pStyle w:val="11"/>
            </w:pPr>
            <w:r>
              <w:t>项目名称</w:t>
            </w:r>
          </w:p>
        </w:tc>
        <w:tc>
          <w:tcPr>
            <w:tcW w:w="6095" w:type="dxa"/>
            <w:gridSpan w:val="3"/>
            <w:vAlign w:val="center"/>
          </w:tcPr>
          <w:p>
            <w:pPr>
              <w:pStyle w:val="13"/>
            </w:pPr>
            <w:r>
              <w:t>晋州市拖欠企业账款项目（晋州市数据和政务服务局货物类、服务类）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7.96</w:t>
            </w:r>
          </w:p>
        </w:tc>
        <w:tc>
          <w:tcPr>
            <w:tcW w:w="2835" w:type="dxa"/>
            <w:vAlign w:val="center"/>
          </w:tcPr>
          <w:p>
            <w:pPr>
              <w:pStyle w:val="11"/>
            </w:pPr>
            <w:r>
              <w:t>其中：财政    资金</w:t>
            </w:r>
          </w:p>
        </w:tc>
        <w:tc>
          <w:tcPr>
            <w:tcW w:w="2551" w:type="dxa"/>
            <w:vAlign w:val="center"/>
          </w:tcPr>
          <w:p>
            <w:pPr>
              <w:pStyle w:val="13"/>
            </w:pPr>
            <w:r>
              <w:t>7.96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偿还数政局拖欠企业50万元以下货物和服务类账款，共计146笔，金额合计673.1454万元。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1.偿还数政局拖欠企业50万元以下货物和服务类账款，共计146笔，金额合计673.1454万元。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拖欠企业账款笔数</w:t>
            </w:r>
          </w:p>
        </w:tc>
        <w:tc>
          <w:tcPr>
            <w:tcW w:w="5386" w:type="dxa"/>
            <w:vAlign w:val="center"/>
          </w:tcPr>
          <w:p>
            <w:pPr>
              <w:pStyle w:val="13"/>
            </w:pPr>
            <w:r>
              <w:t>拖欠企业账款笔数</w:t>
            </w:r>
          </w:p>
        </w:tc>
        <w:tc>
          <w:tcPr>
            <w:tcW w:w="2268" w:type="dxa"/>
            <w:vAlign w:val="center"/>
          </w:tcPr>
          <w:p>
            <w:pPr>
              <w:pStyle w:val="13"/>
            </w:pPr>
            <w:r>
              <w:t>146个</w:t>
            </w:r>
          </w:p>
        </w:tc>
        <w:tc>
          <w:tcPr>
            <w:tcW w:w="1276" w:type="dxa"/>
            <w:vAlign w:val="center"/>
          </w:tcPr>
          <w:p>
            <w:pPr>
              <w:pStyle w:val="13"/>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100%</w:t>
            </w:r>
          </w:p>
        </w:tc>
        <w:tc>
          <w:tcPr>
            <w:tcW w:w="1276" w:type="dxa"/>
            <w:vAlign w:val="center"/>
          </w:tcPr>
          <w:p>
            <w:pPr>
              <w:pStyle w:val="13"/>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账款到位时间</w:t>
            </w:r>
          </w:p>
        </w:tc>
        <w:tc>
          <w:tcPr>
            <w:tcW w:w="5386" w:type="dxa"/>
            <w:vAlign w:val="center"/>
          </w:tcPr>
          <w:p>
            <w:pPr>
              <w:pStyle w:val="13"/>
            </w:pPr>
            <w:r>
              <w:t>账款到位时间</w:t>
            </w:r>
          </w:p>
        </w:tc>
        <w:tc>
          <w:tcPr>
            <w:tcW w:w="2268" w:type="dxa"/>
            <w:vAlign w:val="center"/>
          </w:tcPr>
          <w:p>
            <w:pPr>
              <w:pStyle w:val="13"/>
            </w:pPr>
            <w:r>
              <w:t>2025年8月31日之前</w:t>
            </w:r>
          </w:p>
        </w:tc>
        <w:tc>
          <w:tcPr>
            <w:tcW w:w="1276" w:type="dxa"/>
            <w:vAlign w:val="center"/>
          </w:tcPr>
          <w:p>
            <w:pPr>
              <w:pStyle w:val="13"/>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本次下达企业账款数</w:t>
            </w:r>
          </w:p>
        </w:tc>
        <w:tc>
          <w:tcPr>
            <w:tcW w:w="5386" w:type="dxa"/>
            <w:vAlign w:val="center"/>
          </w:tcPr>
          <w:p>
            <w:pPr>
              <w:pStyle w:val="13"/>
            </w:pPr>
            <w:r>
              <w:t>本次下达企业账款数</w:t>
            </w:r>
          </w:p>
        </w:tc>
        <w:tc>
          <w:tcPr>
            <w:tcW w:w="2268" w:type="dxa"/>
            <w:vAlign w:val="center"/>
          </w:tcPr>
          <w:p>
            <w:pPr>
              <w:pStyle w:val="13"/>
            </w:pPr>
            <w:r>
              <w:t>6731454元</w:t>
            </w:r>
          </w:p>
        </w:tc>
        <w:tc>
          <w:tcPr>
            <w:tcW w:w="1276" w:type="dxa"/>
            <w:vAlign w:val="center"/>
          </w:tcPr>
          <w:p>
            <w:pPr>
              <w:pStyle w:val="13"/>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及时偿还拖欠账款，维护社会稳定</w:t>
            </w:r>
          </w:p>
        </w:tc>
        <w:tc>
          <w:tcPr>
            <w:tcW w:w="5386" w:type="dxa"/>
            <w:vAlign w:val="center"/>
          </w:tcPr>
          <w:p>
            <w:pPr>
              <w:pStyle w:val="13"/>
            </w:pPr>
            <w:r>
              <w:t>及时偿还拖欠账款，维护社会稳定</w:t>
            </w:r>
          </w:p>
        </w:tc>
        <w:tc>
          <w:tcPr>
            <w:tcW w:w="2268" w:type="dxa"/>
            <w:vAlign w:val="center"/>
          </w:tcPr>
          <w:p>
            <w:pPr>
              <w:pStyle w:val="13"/>
            </w:pPr>
            <w:r>
              <w:t>有效推动</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13018326P00032810194W</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162.50</w:t>
            </w:r>
          </w:p>
        </w:tc>
        <w:tc>
          <w:tcPr>
            <w:tcW w:w="2835" w:type="dxa"/>
            <w:vAlign w:val="center"/>
          </w:tcPr>
          <w:p>
            <w:pPr>
              <w:pStyle w:val="11"/>
            </w:pPr>
            <w:r>
              <w:t>其中：财政    资金</w:t>
            </w:r>
          </w:p>
        </w:tc>
        <w:tc>
          <w:tcPr>
            <w:tcW w:w="2551" w:type="dxa"/>
            <w:vAlign w:val="center"/>
          </w:tcPr>
          <w:p>
            <w:pPr>
              <w:pStyle w:val="13"/>
            </w:pPr>
            <w:r>
              <w:t>162.50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支付劳务派遣人员的工资、各类保险、培训等。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1.目标内容保证劳务派遣人员的工资、各种保险等相关费用，便于工作的顺利开展。</w:t>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实际发放工资人数</w:t>
            </w:r>
          </w:p>
        </w:tc>
        <w:tc>
          <w:tcPr>
            <w:tcW w:w="5386" w:type="dxa"/>
            <w:vAlign w:val="center"/>
          </w:tcPr>
          <w:p>
            <w:pPr>
              <w:pStyle w:val="13"/>
            </w:pPr>
            <w:r>
              <w:t xml:space="preserve"> 实际发放工资人数</w:t>
            </w:r>
          </w:p>
        </w:tc>
        <w:tc>
          <w:tcPr>
            <w:tcW w:w="2268" w:type="dxa"/>
            <w:vAlign w:val="center"/>
          </w:tcPr>
          <w:p>
            <w:pPr>
              <w:pStyle w:val="13"/>
            </w:pPr>
            <w:r>
              <w:t>39 人</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保障工作质量</w:t>
            </w:r>
          </w:p>
        </w:tc>
        <w:tc>
          <w:tcPr>
            <w:tcW w:w="5386" w:type="dxa"/>
            <w:vAlign w:val="center"/>
          </w:tcPr>
          <w:p>
            <w:pPr>
              <w:pStyle w:val="13"/>
            </w:pPr>
            <w:r>
              <w:t>保障工作质量</w:t>
            </w:r>
          </w:p>
        </w:tc>
        <w:tc>
          <w:tcPr>
            <w:tcW w:w="2268" w:type="dxa"/>
            <w:vAlign w:val="center"/>
          </w:tcPr>
          <w:p>
            <w:pPr>
              <w:pStyle w:val="13"/>
            </w:pPr>
            <w:r>
              <w:t>≥90%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162.5 万元</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业务保障能力持续提升</w:t>
            </w:r>
          </w:p>
        </w:tc>
        <w:tc>
          <w:tcPr>
            <w:tcW w:w="5386" w:type="dxa"/>
            <w:vAlign w:val="center"/>
          </w:tcPr>
          <w:p>
            <w:pPr>
              <w:pStyle w:val="13"/>
            </w:pPr>
            <w:r>
              <w:t>为工作人员提供良好的办公环境，保障业务开展</w:t>
            </w:r>
          </w:p>
        </w:tc>
        <w:tc>
          <w:tcPr>
            <w:tcW w:w="2268" w:type="dxa"/>
            <w:vAlign w:val="center"/>
          </w:tcPr>
          <w:p>
            <w:pPr>
              <w:pStyle w:val="13"/>
            </w:pPr>
            <w:r>
              <w:t>正常运转</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39名劳务派遣</w:t>
            </w:r>
          </w:p>
        </w:tc>
        <w:tc>
          <w:tcPr>
            <w:tcW w:w="5386" w:type="dxa"/>
            <w:vAlign w:val="center"/>
          </w:tcPr>
          <w:p>
            <w:pPr>
              <w:pStyle w:val="13"/>
            </w:pPr>
            <w:r>
              <w:t>本单位劳务派遣人员满意人数比上本单位劳务派遣总人数，测算对项目实施效果的满意程度。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6、水电费及运行维护和保洁费绩效目标表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13018326P00032810192M</w:t>
            </w:r>
          </w:p>
        </w:tc>
        <w:tc>
          <w:tcPr>
            <w:tcW w:w="2835" w:type="dxa"/>
            <w:vAlign w:val="center"/>
          </w:tcPr>
          <w:p>
            <w:pPr>
              <w:pStyle w:val="11"/>
            </w:pPr>
            <w:r>
              <w:t>项目名称</w:t>
            </w:r>
          </w:p>
        </w:tc>
        <w:tc>
          <w:tcPr>
            <w:tcW w:w="6095" w:type="dxa"/>
            <w:gridSpan w:val="3"/>
            <w:vAlign w:val="center"/>
          </w:tcPr>
          <w:p>
            <w:pPr>
              <w:pStyle w:val="13"/>
            </w:pPr>
            <w:r>
              <w:t>水电费及运行维护和保洁费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支付便民服务中心水电费、清洁卫生管理费用、维修维护及保养费、保洁费、设备日常运行费等。</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1.保证便民服务中心正常运行，所需的公共水电费支出、清洁卫生管理费用、维修维护及保养费、保洁费、设备日常运行、日常开支等开支。</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用电保障办公面积</w:t>
            </w:r>
          </w:p>
        </w:tc>
        <w:tc>
          <w:tcPr>
            <w:tcW w:w="5386" w:type="dxa"/>
            <w:vAlign w:val="center"/>
          </w:tcPr>
          <w:p>
            <w:pPr>
              <w:pStyle w:val="13"/>
            </w:pPr>
            <w:r>
              <w:t>用电保障办公面积</w:t>
            </w:r>
          </w:p>
        </w:tc>
        <w:tc>
          <w:tcPr>
            <w:tcW w:w="2268" w:type="dxa"/>
            <w:vAlign w:val="center"/>
          </w:tcPr>
          <w:p>
            <w:pPr>
              <w:pStyle w:val="13"/>
            </w:pPr>
            <w:r>
              <w:t>≥14000平方米</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提供的服务达到的标准、水平和效果</w:t>
            </w:r>
          </w:p>
        </w:tc>
        <w:tc>
          <w:tcPr>
            <w:tcW w:w="5386" w:type="dxa"/>
            <w:vAlign w:val="center"/>
          </w:tcPr>
          <w:p>
            <w:pPr>
              <w:pStyle w:val="13"/>
            </w:pPr>
            <w:r>
              <w:t>保障日常运转，建设现代化工作环境，提高社会群众的满意度。</w:t>
            </w:r>
          </w:p>
        </w:tc>
        <w:tc>
          <w:tcPr>
            <w:tcW w:w="2268" w:type="dxa"/>
            <w:vAlign w:val="center"/>
          </w:tcPr>
          <w:p>
            <w:pPr>
              <w:pStyle w:val="13"/>
            </w:pPr>
            <w:r>
              <w:t>≥80 %</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工作开展及时性</w:t>
            </w:r>
          </w:p>
        </w:tc>
        <w:tc>
          <w:tcPr>
            <w:tcW w:w="5386" w:type="dxa"/>
            <w:vAlign w:val="center"/>
          </w:tcPr>
          <w:p>
            <w:pPr>
              <w:pStyle w:val="13"/>
            </w:pPr>
            <w:r>
              <w:t>工作开展及时性</w:t>
            </w:r>
          </w:p>
        </w:tc>
        <w:tc>
          <w:tcPr>
            <w:tcW w:w="2268" w:type="dxa"/>
            <w:vAlign w:val="center"/>
          </w:tcPr>
          <w:p>
            <w:pPr>
              <w:pStyle w:val="13"/>
            </w:pPr>
            <w:r>
              <w:t>≥80 %</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110万元</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 xml:space="preserve"> 正常工作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≥80 %</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7、乡村便民服务站（室）网络租费绩效目标表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13018326P000328101912</w:t>
            </w:r>
          </w:p>
        </w:tc>
        <w:tc>
          <w:tcPr>
            <w:tcW w:w="2835" w:type="dxa"/>
            <w:vAlign w:val="center"/>
          </w:tcPr>
          <w:p>
            <w:pPr>
              <w:pStyle w:val="11"/>
            </w:pPr>
            <w:r>
              <w:t>项目名称</w:t>
            </w:r>
          </w:p>
        </w:tc>
        <w:tc>
          <w:tcPr>
            <w:tcW w:w="6095" w:type="dxa"/>
            <w:gridSpan w:val="3"/>
            <w:vAlign w:val="center"/>
          </w:tcPr>
          <w:p>
            <w:pPr>
              <w:pStyle w:val="13"/>
            </w:pPr>
            <w:r>
              <w:t>乡村便民服务站（室）网络租费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27.09</w:t>
            </w:r>
          </w:p>
        </w:tc>
        <w:tc>
          <w:tcPr>
            <w:tcW w:w="2835" w:type="dxa"/>
            <w:vAlign w:val="center"/>
          </w:tcPr>
          <w:p>
            <w:pPr>
              <w:pStyle w:val="11"/>
            </w:pPr>
            <w:r>
              <w:t>其中：财政    资金</w:t>
            </w:r>
          </w:p>
        </w:tc>
        <w:tc>
          <w:tcPr>
            <w:tcW w:w="2551" w:type="dxa"/>
            <w:vAlign w:val="center"/>
          </w:tcPr>
          <w:p>
            <w:pPr>
              <w:pStyle w:val="13"/>
            </w:pPr>
            <w:r>
              <w:t>27.09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支付乡村便民服务室网络租费</w:t>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1.11个乡镇（开发区）便民服务站和224个村级便民服务室，网络租费</w:t>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服务人次</w:t>
            </w:r>
          </w:p>
        </w:tc>
        <w:tc>
          <w:tcPr>
            <w:tcW w:w="5386" w:type="dxa"/>
            <w:vAlign w:val="center"/>
          </w:tcPr>
          <w:p>
            <w:pPr>
              <w:pStyle w:val="13"/>
            </w:pPr>
            <w:r>
              <w:t>每个工作日服务办事群众1000人次</w:t>
            </w:r>
          </w:p>
        </w:tc>
        <w:tc>
          <w:tcPr>
            <w:tcW w:w="2268" w:type="dxa"/>
            <w:vAlign w:val="center"/>
          </w:tcPr>
          <w:p>
            <w:pPr>
              <w:pStyle w:val="13"/>
            </w:pPr>
            <w:r>
              <w:t>≥1000 人次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提供的服务达到的标准、水平和效果</w:t>
            </w:r>
          </w:p>
        </w:tc>
        <w:tc>
          <w:tcPr>
            <w:tcW w:w="5386" w:type="dxa"/>
            <w:vAlign w:val="center"/>
          </w:tcPr>
          <w:p>
            <w:pPr>
              <w:pStyle w:val="13"/>
            </w:pPr>
            <w:r>
              <w:t>电子政务应用建设整体水平也在不断提高，信息网站功能逐步完善，群众满意。</w:t>
            </w:r>
          </w:p>
        </w:tc>
        <w:tc>
          <w:tcPr>
            <w:tcW w:w="2268" w:type="dxa"/>
            <w:vAlign w:val="center"/>
          </w:tcPr>
          <w:p>
            <w:pPr>
              <w:pStyle w:val="13"/>
            </w:pPr>
            <w:r>
              <w:t>≥80%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服务群众按规定时效完成。</w:t>
            </w:r>
          </w:p>
        </w:tc>
        <w:tc>
          <w:tcPr>
            <w:tcW w:w="2268" w:type="dxa"/>
            <w:vAlign w:val="center"/>
          </w:tcPr>
          <w:p>
            <w:pPr>
              <w:pStyle w:val="13"/>
            </w:pPr>
            <w:r>
              <w:t>≥90%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27.09 万元</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工作正常运转完成率</w:t>
            </w:r>
          </w:p>
        </w:tc>
        <w:tc>
          <w:tcPr>
            <w:tcW w:w="5386" w:type="dxa"/>
            <w:vAlign w:val="center"/>
          </w:tcPr>
          <w:p>
            <w:pPr>
              <w:pStyle w:val="13"/>
            </w:pPr>
            <w:r>
              <w:t>本单位的工作正常运转率</w:t>
            </w:r>
          </w:p>
        </w:tc>
        <w:tc>
          <w:tcPr>
            <w:tcW w:w="2268" w:type="dxa"/>
            <w:vAlign w:val="center"/>
          </w:tcPr>
          <w:p>
            <w:pPr>
              <w:pStyle w:val="13"/>
            </w:pPr>
            <w:r>
              <w:t>≥80%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社会公众或服务对象及群众对该项目实施效果非常满意</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8、项目建设评审费绩效目标表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13018326P000328101770</w:t>
            </w:r>
          </w:p>
        </w:tc>
        <w:tc>
          <w:tcPr>
            <w:tcW w:w="2835" w:type="dxa"/>
            <w:vAlign w:val="center"/>
          </w:tcPr>
          <w:p>
            <w:pPr>
              <w:pStyle w:val="11"/>
            </w:pPr>
            <w:r>
              <w:t>项目名称</w:t>
            </w:r>
          </w:p>
        </w:tc>
        <w:tc>
          <w:tcPr>
            <w:tcW w:w="6095" w:type="dxa"/>
            <w:gridSpan w:val="3"/>
            <w:vAlign w:val="center"/>
          </w:tcPr>
          <w:p>
            <w:pPr>
              <w:pStyle w:val="13"/>
            </w:pPr>
            <w:r>
              <w:t>项目建设评审费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支付项目评估评审费。</w:t>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1.主要用于评估（审查）咨询服务，用于项目申请报告评估、可行性研究报告、社会稳定风险评估、初步设计（概算）评估、节能评估。</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项目评审金额</w:t>
            </w:r>
          </w:p>
        </w:tc>
        <w:tc>
          <w:tcPr>
            <w:tcW w:w="5386" w:type="dxa"/>
            <w:vAlign w:val="center"/>
          </w:tcPr>
          <w:p>
            <w:pPr>
              <w:pStyle w:val="13"/>
            </w:pPr>
            <w:r>
              <w:t>项目评审费用</w:t>
            </w:r>
          </w:p>
        </w:tc>
        <w:tc>
          <w:tcPr>
            <w:tcW w:w="2268" w:type="dxa"/>
            <w:vAlign w:val="center"/>
          </w:tcPr>
          <w:p>
            <w:pPr>
              <w:pStyle w:val="13"/>
            </w:pPr>
            <w:r>
              <w:t>180万元</w:t>
            </w:r>
          </w:p>
        </w:tc>
        <w:tc>
          <w:tcPr>
            <w:tcW w:w="1276" w:type="dxa"/>
            <w:vAlign w:val="center"/>
          </w:tcPr>
          <w:p>
            <w:pPr>
              <w:pStyle w:val="13"/>
            </w:pPr>
            <w:r>
              <w:t xml:space="preserve"> 项目建设评审费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数据质量</w:t>
            </w:r>
          </w:p>
        </w:tc>
        <w:tc>
          <w:tcPr>
            <w:tcW w:w="5386" w:type="dxa"/>
            <w:vAlign w:val="center"/>
          </w:tcPr>
          <w:p>
            <w:pPr>
              <w:pStyle w:val="13"/>
            </w:pPr>
            <w:r>
              <w:t>项目评审数据质量</w:t>
            </w:r>
          </w:p>
        </w:tc>
        <w:tc>
          <w:tcPr>
            <w:tcW w:w="2268" w:type="dxa"/>
            <w:vAlign w:val="center"/>
          </w:tcPr>
          <w:p>
            <w:pPr>
              <w:pStyle w:val="13"/>
            </w:pPr>
            <w:r>
              <w:t>≥90 %</w:t>
            </w:r>
          </w:p>
        </w:tc>
        <w:tc>
          <w:tcPr>
            <w:tcW w:w="1276" w:type="dxa"/>
            <w:vAlign w:val="center"/>
          </w:tcPr>
          <w:p>
            <w:pPr>
              <w:pStyle w:val="13"/>
            </w:pPr>
            <w:r>
              <w:t xml:space="preserve"> 项目建设评审费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按规定时效完成各类项目评审。</w:t>
            </w:r>
          </w:p>
        </w:tc>
        <w:tc>
          <w:tcPr>
            <w:tcW w:w="2268" w:type="dxa"/>
            <w:vAlign w:val="center"/>
          </w:tcPr>
          <w:p>
            <w:pPr>
              <w:pStyle w:val="13"/>
            </w:pPr>
            <w:r>
              <w:t>≥90 %</w:t>
            </w:r>
          </w:p>
        </w:tc>
        <w:tc>
          <w:tcPr>
            <w:tcW w:w="1276" w:type="dxa"/>
            <w:vAlign w:val="center"/>
          </w:tcPr>
          <w:p>
            <w:pPr>
              <w:pStyle w:val="13"/>
            </w:pPr>
            <w:r>
              <w:t xml:space="preserve"> 项目建设评审费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评审总经费</w:t>
            </w:r>
          </w:p>
        </w:tc>
        <w:tc>
          <w:tcPr>
            <w:tcW w:w="5386" w:type="dxa"/>
            <w:vAlign w:val="center"/>
          </w:tcPr>
          <w:p>
            <w:pPr>
              <w:pStyle w:val="13"/>
            </w:pPr>
            <w:r>
              <w:t>评审总经费</w:t>
            </w:r>
          </w:p>
        </w:tc>
        <w:tc>
          <w:tcPr>
            <w:tcW w:w="2268" w:type="dxa"/>
            <w:vAlign w:val="center"/>
          </w:tcPr>
          <w:p>
            <w:pPr>
              <w:pStyle w:val="13"/>
            </w:pPr>
            <w:r>
              <w:t>180 万元</w:t>
            </w:r>
          </w:p>
        </w:tc>
        <w:tc>
          <w:tcPr>
            <w:tcW w:w="1276" w:type="dxa"/>
            <w:vAlign w:val="center"/>
          </w:tcPr>
          <w:p>
            <w:pPr>
              <w:pStyle w:val="13"/>
            </w:pPr>
            <w:r>
              <w:t xml:space="preserve"> 项目建设评审费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产出对社会发展带来的影响和效果</w:t>
            </w:r>
          </w:p>
        </w:tc>
        <w:tc>
          <w:tcPr>
            <w:tcW w:w="5386" w:type="dxa"/>
            <w:vAlign w:val="center"/>
          </w:tcPr>
          <w:p>
            <w:pPr>
              <w:pStyle w:val="13"/>
            </w:pPr>
            <w:r>
              <w:t>控制了不合理费用项目的列支、社会稳定工作等方面取得了良好的效果，用严谨、合理、公正、科学、准确的评审结果影响和促进了项目单位加强自身投资管理</w:t>
            </w:r>
          </w:p>
        </w:tc>
        <w:tc>
          <w:tcPr>
            <w:tcW w:w="2268" w:type="dxa"/>
            <w:vAlign w:val="center"/>
          </w:tcPr>
          <w:p>
            <w:pPr>
              <w:pStyle w:val="13"/>
            </w:pPr>
            <w:r>
              <w:t>保证工作正常进行</w:t>
            </w:r>
          </w:p>
        </w:tc>
        <w:tc>
          <w:tcPr>
            <w:tcW w:w="1276" w:type="dxa"/>
            <w:vAlign w:val="center"/>
          </w:tcPr>
          <w:p>
            <w:pPr>
              <w:pStyle w:val="13"/>
            </w:pPr>
            <w:r>
              <w:t xml:space="preserve"> 项目建设评审费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社会公众或服务对象及群众对该项目实施效果非常满意</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9、信用联合办公经费绩效目标表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13018326P00032810190E</w:t>
            </w:r>
          </w:p>
        </w:tc>
        <w:tc>
          <w:tcPr>
            <w:tcW w:w="2835" w:type="dxa"/>
            <w:vAlign w:val="center"/>
          </w:tcPr>
          <w:p>
            <w:pPr>
              <w:pStyle w:val="11"/>
            </w:pPr>
            <w:r>
              <w:t>项目名称</w:t>
            </w:r>
          </w:p>
        </w:tc>
        <w:tc>
          <w:tcPr>
            <w:tcW w:w="6095" w:type="dxa"/>
            <w:gridSpan w:val="3"/>
            <w:vAlign w:val="center"/>
          </w:tcPr>
          <w:p>
            <w:pPr>
              <w:pStyle w:val="13"/>
            </w:pPr>
            <w:r>
              <w:t>信用联合办公经费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用于支付信用协会的办公经费。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1.信用联合会承担着国家级“信用大数据”监测和配合石家庄市创建国家级信用建设示范城市诸多任务，为保障信用创建工作持续开展的办公经费。</w:t>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宣传资料印刷册数</w:t>
            </w:r>
          </w:p>
        </w:tc>
        <w:tc>
          <w:tcPr>
            <w:tcW w:w="5386" w:type="dxa"/>
            <w:vAlign w:val="center"/>
          </w:tcPr>
          <w:p>
            <w:pPr>
              <w:pStyle w:val="13"/>
            </w:pPr>
            <w:r>
              <w:t>宣传资料印刷册数</w:t>
            </w:r>
          </w:p>
        </w:tc>
        <w:tc>
          <w:tcPr>
            <w:tcW w:w="2268" w:type="dxa"/>
            <w:vAlign w:val="center"/>
          </w:tcPr>
          <w:p>
            <w:pPr>
              <w:pStyle w:val="13"/>
            </w:pPr>
            <w:r>
              <w:t>≥10000 份</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5386" w:type="dxa"/>
            <w:vAlign w:val="center"/>
          </w:tcPr>
          <w:p>
            <w:pPr>
              <w:pStyle w:val="13"/>
            </w:pPr>
            <w:r>
              <w:t>群众工作中心任务完成率</w:t>
            </w:r>
          </w:p>
        </w:tc>
        <w:tc>
          <w:tcPr>
            <w:tcW w:w="2268" w:type="dxa"/>
            <w:vAlign w:val="center"/>
          </w:tcPr>
          <w:p>
            <w:pPr>
              <w:pStyle w:val="13"/>
            </w:pPr>
            <w:r>
              <w:t>≥90%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日常工作情况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运行保障成本</w:t>
            </w:r>
          </w:p>
        </w:tc>
        <w:tc>
          <w:tcPr>
            <w:tcW w:w="2268" w:type="dxa"/>
            <w:vAlign w:val="center"/>
          </w:tcPr>
          <w:p>
            <w:pPr>
              <w:pStyle w:val="13"/>
            </w:pPr>
            <w:r>
              <w:t>5万元</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正常办公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10、业务培训及印制宣传费绩效目标表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13018326P00032810185L</w:t>
            </w:r>
          </w:p>
        </w:tc>
        <w:tc>
          <w:tcPr>
            <w:tcW w:w="2835" w:type="dxa"/>
            <w:vAlign w:val="center"/>
          </w:tcPr>
          <w:p>
            <w:pPr>
              <w:pStyle w:val="11"/>
            </w:pPr>
            <w:r>
              <w:t>项目名称</w:t>
            </w:r>
          </w:p>
        </w:tc>
        <w:tc>
          <w:tcPr>
            <w:tcW w:w="6095" w:type="dxa"/>
            <w:gridSpan w:val="3"/>
            <w:vAlign w:val="center"/>
          </w:tcPr>
          <w:p>
            <w:pPr>
              <w:pStyle w:val="13"/>
            </w:pPr>
            <w:r>
              <w:t>业务培训及印制宣传费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用于支付审批业务培训及宣传费以及为企业和群众提供免费复印等。</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便民利民的原则，市级行政机关在保留审批权限的同时，乡镇行政机关可同时实施办理或委托办理，为规范行政审批权限的运行，定期去乡镇开展审批业务培训及宣传，同时为使企业和群众办事更方便、更省心，提供免费复印等便民利企</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宣传品数量</w:t>
            </w:r>
          </w:p>
        </w:tc>
        <w:tc>
          <w:tcPr>
            <w:tcW w:w="5386" w:type="dxa"/>
            <w:vAlign w:val="center"/>
          </w:tcPr>
          <w:p>
            <w:pPr>
              <w:pStyle w:val="13"/>
            </w:pPr>
            <w:r>
              <w:t>宣传品数量</w:t>
            </w:r>
          </w:p>
        </w:tc>
        <w:tc>
          <w:tcPr>
            <w:tcW w:w="2268" w:type="dxa"/>
            <w:vAlign w:val="center"/>
          </w:tcPr>
          <w:p>
            <w:pPr>
              <w:pStyle w:val="13"/>
            </w:pPr>
            <w:r>
              <w:t>≥20000份</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提供的服务达到的标准、水平和效</w:t>
            </w:r>
          </w:p>
        </w:tc>
        <w:tc>
          <w:tcPr>
            <w:tcW w:w="5386" w:type="dxa"/>
            <w:vAlign w:val="center"/>
          </w:tcPr>
          <w:p>
            <w:pPr>
              <w:pStyle w:val="13"/>
            </w:pPr>
            <w:r>
              <w:t>为企业和群众提供方便。</w:t>
            </w:r>
          </w:p>
        </w:tc>
        <w:tc>
          <w:tcPr>
            <w:tcW w:w="2268" w:type="dxa"/>
            <w:vAlign w:val="center"/>
          </w:tcPr>
          <w:p>
            <w:pPr>
              <w:pStyle w:val="13"/>
            </w:pPr>
            <w:r>
              <w:t>提高服务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服务群众按规定时效完成。</w:t>
            </w:r>
          </w:p>
        </w:tc>
        <w:tc>
          <w:tcPr>
            <w:tcW w:w="2268" w:type="dxa"/>
            <w:vAlign w:val="center"/>
          </w:tcPr>
          <w:p>
            <w:pPr>
              <w:pStyle w:val="13"/>
            </w:pPr>
            <w:r>
              <w:t>≥90%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13 万元</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工作正常运转完成率</w:t>
            </w:r>
          </w:p>
        </w:tc>
        <w:tc>
          <w:tcPr>
            <w:tcW w:w="5386" w:type="dxa"/>
            <w:vAlign w:val="center"/>
          </w:tcPr>
          <w:p>
            <w:pPr>
              <w:pStyle w:val="13"/>
            </w:pPr>
            <w:r>
              <w:t>单位的工作正常运转率</w:t>
            </w:r>
          </w:p>
        </w:tc>
        <w:tc>
          <w:tcPr>
            <w:tcW w:w="2268" w:type="dxa"/>
            <w:vAlign w:val="center"/>
          </w:tcPr>
          <w:p>
            <w:pPr>
              <w:pStyle w:val="13"/>
            </w:pPr>
            <w:r>
              <w:t>≥90%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13018326P000328101745</w:t>
            </w:r>
          </w:p>
        </w:tc>
        <w:tc>
          <w:tcPr>
            <w:tcW w:w="2835" w:type="dxa"/>
            <w:vAlign w:val="center"/>
          </w:tcPr>
          <w:p>
            <w:pPr>
              <w:pStyle w:val="11"/>
            </w:pPr>
            <w:r>
              <w:t>项目名称</w:t>
            </w:r>
          </w:p>
        </w:tc>
        <w:tc>
          <w:tcPr>
            <w:tcW w:w="6095" w:type="dxa"/>
            <w:gridSpan w:val="3"/>
            <w:vAlign w:val="center"/>
          </w:tcPr>
          <w:p>
            <w:pPr>
              <w:pStyle w:val="13"/>
            </w:pPr>
            <w:r>
              <w:t>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146.11</w:t>
            </w:r>
          </w:p>
        </w:tc>
        <w:tc>
          <w:tcPr>
            <w:tcW w:w="2835" w:type="dxa"/>
            <w:vAlign w:val="center"/>
          </w:tcPr>
          <w:p>
            <w:pPr>
              <w:pStyle w:val="11"/>
            </w:pPr>
            <w:r>
              <w:t>其中：财政    资金</w:t>
            </w:r>
          </w:p>
        </w:tc>
        <w:tc>
          <w:tcPr>
            <w:tcW w:w="2551" w:type="dxa"/>
            <w:vAlign w:val="center"/>
          </w:tcPr>
          <w:p>
            <w:pPr>
              <w:pStyle w:val="13"/>
            </w:pPr>
            <w:r>
              <w:t>146.11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用于支付便民服务中心网络租费、系统维护费费、乡镇便民服务设备维护费、网络安全服务费等网络相关费用。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证机关事务正常运转，推进网上审批自动化和办公化，中心网络系统的维护管理和技术指导，操作系统、安全系统的日常检测、维护及数据更新和网络建设。网络租费、系统等保费、乡镇便民服务设备维护费、网络安全服务费等相关费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服务人次</w:t>
            </w:r>
          </w:p>
        </w:tc>
        <w:tc>
          <w:tcPr>
            <w:tcW w:w="5386" w:type="dxa"/>
            <w:vAlign w:val="center"/>
          </w:tcPr>
          <w:p>
            <w:pPr>
              <w:pStyle w:val="13"/>
            </w:pPr>
            <w:r>
              <w:t>每个工作日服务办事群众1000人次</w:t>
            </w:r>
          </w:p>
        </w:tc>
        <w:tc>
          <w:tcPr>
            <w:tcW w:w="2268" w:type="dxa"/>
            <w:vAlign w:val="center"/>
          </w:tcPr>
          <w:p>
            <w:pPr>
              <w:pStyle w:val="13"/>
            </w:pPr>
            <w:r>
              <w:t>≥1000 人次</w:t>
            </w:r>
          </w:p>
        </w:tc>
        <w:tc>
          <w:tcPr>
            <w:tcW w:w="1276" w:type="dxa"/>
            <w:vAlign w:val="center"/>
          </w:tcPr>
          <w:p>
            <w:pPr>
              <w:pStyle w:val="13"/>
            </w:pPr>
            <w:r>
              <w:t xml:space="preserve"> 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提供的服务达到的标准、水平和效果</w:t>
            </w:r>
          </w:p>
        </w:tc>
        <w:tc>
          <w:tcPr>
            <w:tcW w:w="5386" w:type="dxa"/>
            <w:vAlign w:val="center"/>
          </w:tcPr>
          <w:p>
            <w:pPr>
              <w:pStyle w:val="13"/>
            </w:pPr>
            <w:r>
              <w:t>电子政务应用建设整体水平也在不断提高，信息网站功能逐步完善，群众满意。</w:t>
            </w:r>
          </w:p>
        </w:tc>
        <w:tc>
          <w:tcPr>
            <w:tcW w:w="2268" w:type="dxa"/>
            <w:vAlign w:val="center"/>
          </w:tcPr>
          <w:p>
            <w:pPr>
              <w:pStyle w:val="13"/>
            </w:pPr>
            <w:r>
              <w:t>≥80%</w:t>
            </w:r>
          </w:p>
        </w:tc>
        <w:tc>
          <w:tcPr>
            <w:tcW w:w="1276" w:type="dxa"/>
            <w:vAlign w:val="center"/>
          </w:tcPr>
          <w:p>
            <w:pPr>
              <w:pStyle w:val="13"/>
            </w:pPr>
            <w:r>
              <w:t xml:space="preserve"> 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服务群众按规定时效完成。</w:t>
            </w:r>
          </w:p>
        </w:tc>
        <w:tc>
          <w:tcPr>
            <w:tcW w:w="2268" w:type="dxa"/>
            <w:vAlign w:val="center"/>
          </w:tcPr>
          <w:p>
            <w:pPr>
              <w:pStyle w:val="13"/>
            </w:pPr>
            <w:r>
              <w:t>≥90%</w:t>
            </w:r>
          </w:p>
        </w:tc>
        <w:tc>
          <w:tcPr>
            <w:tcW w:w="1276" w:type="dxa"/>
            <w:vAlign w:val="center"/>
          </w:tcPr>
          <w:p>
            <w:pPr>
              <w:pStyle w:val="13"/>
            </w:pPr>
            <w:r>
              <w:t xml:space="preserve"> 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146.11 万元</w:t>
            </w:r>
          </w:p>
        </w:tc>
        <w:tc>
          <w:tcPr>
            <w:tcW w:w="1276" w:type="dxa"/>
            <w:vAlign w:val="center"/>
          </w:tcPr>
          <w:p>
            <w:pPr>
              <w:pStyle w:val="13"/>
            </w:pPr>
            <w:r>
              <w:t xml:space="preserve"> 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工作正常运转</w:t>
            </w:r>
          </w:p>
        </w:tc>
        <w:tc>
          <w:tcPr>
            <w:tcW w:w="1276" w:type="dxa"/>
            <w:vAlign w:val="center"/>
          </w:tcPr>
          <w:p>
            <w:pPr>
              <w:pStyle w:val="13"/>
            </w:pPr>
            <w:r>
              <w:t xml:space="preserve"> 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社会公众或服务对象及群众对该项目实施效果非常满意</w:t>
            </w:r>
          </w:p>
        </w:tc>
        <w:tc>
          <w:tcPr>
            <w:tcW w:w="2268" w:type="dxa"/>
            <w:vAlign w:val="center"/>
          </w:tcPr>
          <w:p>
            <w:pPr>
              <w:pStyle w:val="13"/>
            </w:pPr>
            <w:r>
              <w:t>≥90%</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13018326P00032810503K</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公共资源交易中心开评标电脑、远程评标系统及监控系统正常维护费用。</w:t>
            </w:r>
            <w:r>
              <w:tab/>
            </w:r>
            <w:r>
              <w:tab/>
            </w:r>
            <w:r>
              <w:tab/>
            </w:r>
            <w:r>
              <w:tab/>
            </w:r>
            <w:r>
              <w:tab/>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1.公共资源交易中心开评标电脑、远程评标系统及监控系统正常维护，保障交易中心交易功能得以充分发挥</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服务人次</w:t>
            </w:r>
          </w:p>
        </w:tc>
        <w:tc>
          <w:tcPr>
            <w:tcW w:w="5386" w:type="dxa"/>
            <w:vAlign w:val="center"/>
          </w:tcPr>
          <w:p>
            <w:pPr>
              <w:pStyle w:val="13"/>
            </w:pPr>
            <w:r>
              <w:t>每个工作日服务办事对象及评标专家人数。</w:t>
            </w:r>
          </w:p>
        </w:tc>
        <w:tc>
          <w:tcPr>
            <w:tcW w:w="2268" w:type="dxa"/>
            <w:vAlign w:val="center"/>
          </w:tcPr>
          <w:p>
            <w:pPr>
              <w:pStyle w:val="13"/>
            </w:pPr>
            <w:r>
              <w:t>≥100人次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提供的服务达到的标准、水平和效</w:t>
            </w:r>
          </w:p>
        </w:tc>
        <w:tc>
          <w:tcPr>
            <w:tcW w:w="5386" w:type="dxa"/>
            <w:vAlign w:val="center"/>
          </w:tcPr>
          <w:p>
            <w:pPr>
              <w:pStyle w:val="13"/>
            </w:pPr>
            <w:r>
              <w:t>为企业和群众提供方便。</w:t>
            </w:r>
          </w:p>
        </w:tc>
        <w:tc>
          <w:tcPr>
            <w:tcW w:w="2268" w:type="dxa"/>
            <w:vAlign w:val="center"/>
          </w:tcPr>
          <w:p>
            <w:pPr>
              <w:pStyle w:val="13"/>
            </w:pPr>
            <w:r>
              <w:t>提高服务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服务企业按规定时效完成。</w:t>
            </w:r>
          </w:p>
        </w:tc>
        <w:tc>
          <w:tcPr>
            <w:tcW w:w="2268" w:type="dxa"/>
            <w:vAlign w:val="center"/>
          </w:tcPr>
          <w:p>
            <w:pPr>
              <w:pStyle w:val="13"/>
            </w:pPr>
            <w:r>
              <w:t>≥90%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6万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社会公众或服务对象及群众对该项目实施效果非常满意</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13、土地出让公示公证费绩效目标表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13018326P00032810460N</w:t>
            </w:r>
          </w:p>
        </w:tc>
        <w:tc>
          <w:tcPr>
            <w:tcW w:w="2835" w:type="dxa"/>
            <w:vAlign w:val="center"/>
          </w:tcPr>
          <w:p>
            <w:pPr>
              <w:pStyle w:val="11"/>
            </w:pPr>
            <w:r>
              <w:t>项目名称</w:t>
            </w:r>
          </w:p>
        </w:tc>
        <w:tc>
          <w:tcPr>
            <w:tcW w:w="6095" w:type="dxa"/>
            <w:gridSpan w:val="3"/>
            <w:vAlign w:val="center"/>
          </w:tcPr>
          <w:p>
            <w:pPr>
              <w:pStyle w:val="13"/>
            </w:pPr>
            <w:r>
              <w:t>土地出让公示公证费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土地拍卖公示公证费。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1.土地出让流程中及时媒体报刊中公示和法律公证使土地拍卖正常有序进行。</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土地拍卖数量</w:t>
            </w:r>
          </w:p>
        </w:tc>
        <w:tc>
          <w:tcPr>
            <w:tcW w:w="5386" w:type="dxa"/>
            <w:vAlign w:val="center"/>
          </w:tcPr>
          <w:p>
            <w:pPr>
              <w:pStyle w:val="13"/>
            </w:pPr>
            <w:r>
              <w:t>确保完成2024年土地拍卖数量</w:t>
            </w:r>
          </w:p>
        </w:tc>
        <w:tc>
          <w:tcPr>
            <w:tcW w:w="2268" w:type="dxa"/>
            <w:vAlign w:val="center"/>
          </w:tcPr>
          <w:p>
            <w:pPr>
              <w:pStyle w:val="13"/>
            </w:pPr>
            <w:r>
              <w:t>≥25块</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提高土地招投标的服务水平</w:t>
            </w:r>
          </w:p>
        </w:tc>
        <w:tc>
          <w:tcPr>
            <w:tcW w:w="5386" w:type="dxa"/>
            <w:vAlign w:val="center"/>
          </w:tcPr>
          <w:p>
            <w:pPr>
              <w:pStyle w:val="13"/>
            </w:pPr>
            <w:r>
              <w:t>提高土地招投标的服务水平</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按上级规定时间完成土地拍卖任务</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确保本单位土地拍卖工作正常运转</w:t>
            </w:r>
          </w:p>
        </w:tc>
        <w:tc>
          <w:tcPr>
            <w:tcW w:w="2268" w:type="dxa"/>
            <w:vAlign w:val="center"/>
          </w:tcPr>
          <w:p>
            <w:pPr>
              <w:pStyle w:val="13"/>
            </w:pPr>
            <w:r>
              <w:t>工作正常运转</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将公共资源交易中心建设成土地拍卖功能齐全、安全性高的交易中心</w:t>
            </w:r>
          </w:p>
        </w:tc>
        <w:tc>
          <w:tcPr>
            <w:tcW w:w="5386" w:type="dxa"/>
            <w:vAlign w:val="center"/>
          </w:tcPr>
          <w:p>
            <w:pPr>
              <w:pStyle w:val="13"/>
            </w:pPr>
            <w:r>
              <w:t>将公共资源交易中心建设成土地拍卖功能齐全、安全性高的交易中心</w:t>
            </w:r>
          </w:p>
        </w:tc>
        <w:tc>
          <w:tcPr>
            <w:tcW w:w="2268" w:type="dxa"/>
            <w:vAlign w:val="center"/>
          </w:tcPr>
          <w:p>
            <w:pPr>
              <w:pStyle w:val="13"/>
            </w:pPr>
            <w:r>
              <w:t>中心工作可持续发展</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435晋州市数据和政务服务局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187.90</w:t>
            </w:r>
          </w:p>
        </w:tc>
        <w:tc>
          <w:tcPr>
            <w:tcW w:w="964" w:type="dxa"/>
            <w:vAlign w:val="center"/>
          </w:tcPr>
          <w:p>
            <w:pPr>
              <w:pStyle w:val="16"/>
            </w:pPr>
            <w:r>
              <w:t>187.90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187.90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晋州市数据和政务服务局本级小计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187.00</w:t>
            </w:r>
          </w:p>
        </w:tc>
        <w:tc>
          <w:tcPr>
            <w:tcW w:w="964" w:type="dxa"/>
            <w:vAlign w:val="center"/>
          </w:tcPr>
          <w:p>
            <w:pPr>
              <w:pStyle w:val="16"/>
            </w:pPr>
            <w:r>
              <w:t>187.00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24.28</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7.00</w:t>
            </w:r>
          </w:p>
        </w:tc>
        <w:tc>
          <w:tcPr>
            <w:tcW w:w="964" w:type="dxa"/>
            <w:vAlign w:val="center"/>
          </w:tcPr>
          <w:p>
            <w:pPr>
              <w:pStyle w:val="12"/>
            </w:pPr>
            <w:r>
              <w:t>7.00</w:t>
            </w:r>
          </w:p>
        </w:tc>
        <w:tc>
          <w:tcPr>
            <w:tcW w:w="964" w:type="dxa"/>
            <w:vAlign w:val="center"/>
          </w:tcPr>
          <w:p>
            <w:pPr>
              <w:pStyle w:val="12"/>
            </w:pPr>
            <w:r>
              <w:t>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项目建设评审费</w:t>
            </w:r>
          </w:p>
        </w:tc>
        <w:tc>
          <w:tcPr>
            <w:tcW w:w="964" w:type="dxa"/>
            <w:vAlign w:val="center"/>
          </w:tcPr>
          <w:p>
            <w:pPr>
              <w:pStyle w:val="12"/>
            </w:pPr>
            <w:r>
              <w:t>180.00</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80.00</w:t>
            </w:r>
          </w:p>
        </w:tc>
        <w:tc>
          <w:tcPr>
            <w:tcW w:w="964" w:type="dxa"/>
            <w:vAlign w:val="center"/>
          </w:tcPr>
          <w:p>
            <w:pPr>
              <w:pStyle w:val="12"/>
            </w:pPr>
            <w:r>
              <w:t>80.00</w:t>
            </w:r>
          </w:p>
        </w:tc>
        <w:tc>
          <w:tcPr>
            <w:tcW w:w="964" w:type="dxa"/>
            <w:vAlign w:val="center"/>
          </w:tcPr>
          <w:p>
            <w:pPr>
              <w:pStyle w:val="12"/>
            </w:pPr>
            <w:r>
              <w:t>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项目建设评审费</w:t>
            </w:r>
          </w:p>
        </w:tc>
        <w:tc>
          <w:tcPr>
            <w:tcW w:w="964" w:type="dxa"/>
            <w:vAlign w:val="center"/>
          </w:tcPr>
          <w:p>
            <w:pPr>
              <w:pStyle w:val="12"/>
            </w:pPr>
            <w:r>
              <w:t>180.00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晋州市公共资源交易中心小计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0.90</w:t>
            </w:r>
          </w:p>
        </w:tc>
        <w:tc>
          <w:tcPr>
            <w:tcW w:w="964" w:type="dxa"/>
            <w:vAlign w:val="center"/>
          </w:tcPr>
          <w:p>
            <w:pPr>
              <w:pStyle w:val="16"/>
            </w:pPr>
            <w:r>
              <w:t>0.90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3.30</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0.90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晋州市数据和政务服务局（含所属单位）上年末固定资产金额为3356.92万元（详见下表）。本年度拟购置固定资产总额为0.00万元，已按要求列入政府采购预算，详见政府采购预算表。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435晋州市数据和政务服务局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3356.92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42.88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3314.04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26965E"/>
    <w:multiLevelType w:val="singleLevel"/>
    <w:tmpl w:val="C526965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79D5A5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2026-03-02T09:40:00Z</dcterms:created>
  <dc:creator>Administrator</dc:creator>
  <cp:lastModifiedBy>Administrator</cp:lastModifiedBy>
  <dcterms:modified xsi:type="dcterms:W3CDTF">2026-03-02T03:35:18Z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