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30</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450晋州市医疗保障局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7272.94</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7272.94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7272.94</w:t>
            </w:r>
          </w:p>
        </w:tc>
        <w:tc>
          <w:tcPr>
            <w:tcW w:w="4535" w:type="dxa"/>
            <w:vAlign w:val="center"/>
          </w:tcPr>
          <w:p>
            <w:pPr>
              <w:pStyle w:val="15"/>
            </w:pPr>
            <w:r>
              <w:t>本年支出合计</w:t>
            </w:r>
          </w:p>
        </w:tc>
        <w:tc>
          <w:tcPr>
            <w:tcW w:w="2126" w:type="dxa"/>
            <w:vAlign w:val="center"/>
          </w:tcPr>
          <w:p>
            <w:pPr>
              <w:pStyle w:val="16"/>
            </w:pPr>
            <w:r>
              <w:t>7272.94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7272.94</w:t>
            </w:r>
          </w:p>
        </w:tc>
        <w:tc>
          <w:tcPr>
            <w:tcW w:w="4535" w:type="dxa"/>
            <w:vAlign w:val="center"/>
          </w:tcPr>
          <w:p>
            <w:pPr>
              <w:pStyle w:val="15"/>
            </w:pPr>
            <w:r>
              <w:t>支出总计</w:t>
            </w:r>
          </w:p>
        </w:tc>
        <w:tc>
          <w:tcPr>
            <w:tcW w:w="2126" w:type="dxa"/>
            <w:vAlign w:val="center"/>
          </w:tcPr>
          <w:p>
            <w:pPr>
              <w:pStyle w:val="16"/>
            </w:pPr>
            <w:r>
              <w:t>7272.94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450晋州市医疗保障局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7272.94</w:t>
            </w:r>
          </w:p>
        </w:tc>
        <w:tc>
          <w:tcPr>
            <w:tcW w:w="1134" w:type="dxa"/>
            <w:vAlign w:val="center"/>
          </w:tcPr>
          <w:p>
            <w:pPr>
              <w:pStyle w:val="16"/>
            </w:pPr>
            <w:r>
              <w:t>7272.94</w:t>
            </w:r>
          </w:p>
        </w:tc>
        <w:tc>
          <w:tcPr>
            <w:tcW w:w="1134" w:type="dxa"/>
            <w:vAlign w:val="center"/>
          </w:tcPr>
          <w:p>
            <w:pPr>
              <w:pStyle w:val="16"/>
            </w:pPr>
            <w:r>
              <w:t>7272.94</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7272.94</w:t>
            </w:r>
          </w:p>
        </w:tc>
        <w:tc>
          <w:tcPr>
            <w:tcW w:w="1134" w:type="dxa"/>
            <w:vAlign w:val="center"/>
          </w:tcPr>
          <w:p>
            <w:pPr>
              <w:pStyle w:val="12"/>
            </w:pPr>
            <w:r>
              <w:t>7272.94</w:t>
            </w:r>
          </w:p>
        </w:tc>
        <w:tc>
          <w:tcPr>
            <w:tcW w:w="1134" w:type="dxa"/>
            <w:vAlign w:val="center"/>
          </w:tcPr>
          <w:p>
            <w:pPr>
              <w:pStyle w:val="12"/>
            </w:pPr>
            <w:r>
              <w:t>7272.94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21012</w:t>
            </w:r>
          </w:p>
        </w:tc>
        <w:tc>
          <w:tcPr>
            <w:tcW w:w="1559" w:type="dxa"/>
            <w:vAlign w:val="center"/>
          </w:tcPr>
          <w:p>
            <w:pPr>
              <w:pStyle w:val="13"/>
            </w:pPr>
            <w:r>
              <w:t>财政对基本医疗保险基金的补助</w:t>
            </w:r>
          </w:p>
        </w:tc>
        <w:tc>
          <w:tcPr>
            <w:tcW w:w="1134" w:type="dxa"/>
            <w:vAlign w:val="center"/>
          </w:tcPr>
          <w:p>
            <w:pPr>
              <w:pStyle w:val="12"/>
            </w:pPr>
            <w:r>
              <w:t>6614.74</w:t>
            </w:r>
          </w:p>
        </w:tc>
        <w:tc>
          <w:tcPr>
            <w:tcW w:w="1134" w:type="dxa"/>
            <w:vAlign w:val="center"/>
          </w:tcPr>
          <w:p>
            <w:pPr>
              <w:pStyle w:val="12"/>
            </w:pPr>
            <w:r>
              <w:t>6614.74</w:t>
            </w:r>
          </w:p>
        </w:tc>
        <w:tc>
          <w:tcPr>
            <w:tcW w:w="1134" w:type="dxa"/>
            <w:vAlign w:val="center"/>
          </w:tcPr>
          <w:p>
            <w:pPr>
              <w:pStyle w:val="12"/>
            </w:pPr>
            <w:r>
              <w:t>6614.74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2101202</w:t>
            </w:r>
          </w:p>
        </w:tc>
        <w:tc>
          <w:tcPr>
            <w:tcW w:w="1559" w:type="dxa"/>
            <w:vAlign w:val="center"/>
          </w:tcPr>
          <w:p>
            <w:pPr>
              <w:pStyle w:val="13"/>
            </w:pPr>
            <w:r>
              <w:t>财政对城乡居民基本医疗保险基金的补助</w:t>
            </w:r>
          </w:p>
        </w:tc>
        <w:tc>
          <w:tcPr>
            <w:tcW w:w="1134" w:type="dxa"/>
            <w:vAlign w:val="center"/>
          </w:tcPr>
          <w:p>
            <w:pPr>
              <w:pStyle w:val="12"/>
            </w:pPr>
            <w:r>
              <w:t>6614.74</w:t>
            </w:r>
          </w:p>
        </w:tc>
        <w:tc>
          <w:tcPr>
            <w:tcW w:w="1134" w:type="dxa"/>
            <w:vAlign w:val="center"/>
          </w:tcPr>
          <w:p>
            <w:pPr>
              <w:pStyle w:val="12"/>
            </w:pPr>
            <w:r>
              <w:t>6614.74</w:t>
            </w:r>
          </w:p>
        </w:tc>
        <w:tc>
          <w:tcPr>
            <w:tcW w:w="1134" w:type="dxa"/>
            <w:vAlign w:val="center"/>
          </w:tcPr>
          <w:p>
            <w:pPr>
              <w:pStyle w:val="12"/>
            </w:pPr>
            <w:r>
              <w:t>6614.74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21013</w:t>
            </w:r>
          </w:p>
        </w:tc>
        <w:tc>
          <w:tcPr>
            <w:tcW w:w="1559" w:type="dxa"/>
            <w:vAlign w:val="center"/>
          </w:tcPr>
          <w:p>
            <w:pPr>
              <w:pStyle w:val="13"/>
            </w:pPr>
            <w:r>
              <w:t>医疗救助</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2101399</w:t>
            </w:r>
          </w:p>
        </w:tc>
        <w:tc>
          <w:tcPr>
            <w:tcW w:w="1559" w:type="dxa"/>
            <w:vAlign w:val="center"/>
          </w:tcPr>
          <w:p>
            <w:pPr>
              <w:pStyle w:val="13"/>
            </w:pPr>
            <w:r>
              <w:t>其他医疗救助支出</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21015</w:t>
            </w:r>
          </w:p>
        </w:tc>
        <w:tc>
          <w:tcPr>
            <w:tcW w:w="1559" w:type="dxa"/>
            <w:vAlign w:val="center"/>
          </w:tcPr>
          <w:p>
            <w:pPr>
              <w:pStyle w:val="13"/>
            </w:pPr>
            <w:r>
              <w:t>医疗保障管理事务</w:t>
            </w:r>
          </w:p>
        </w:tc>
        <w:tc>
          <w:tcPr>
            <w:tcW w:w="1134" w:type="dxa"/>
            <w:vAlign w:val="center"/>
          </w:tcPr>
          <w:p>
            <w:pPr>
              <w:pStyle w:val="12"/>
            </w:pPr>
            <w:r>
              <w:t>638.20</w:t>
            </w:r>
          </w:p>
        </w:tc>
        <w:tc>
          <w:tcPr>
            <w:tcW w:w="1134" w:type="dxa"/>
            <w:vAlign w:val="center"/>
          </w:tcPr>
          <w:p>
            <w:pPr>
              <w:pStyle w:val="12"/>
            </w:pPr>
            <w:r>
              <w:t>638.20</w:t>
            </w:r>
          </w:p>
        </w:tc>
        <w:tc>
          <w:tcPr>
            <w:tcW w:w="1134" w:type="dxa"/>
            <w:vAlign w:val="center"/>
          </w:tcPr>
          <w:p>
            <w:pPr>
              <w:pStyle w:val="12"/>
            </w:pPr>
            <w:r>
              <w:t>638.20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2101501</w:t>
            </w:r>
          </w:p>
        </w:tc>
        <w:tc>
          <w:tcPr>
            <w:tcW w:w="1559" w:type="dxa"/>
            <w:vAlign w:val="center"/>
          </w:tcPr>
          <w:p>
            <w:pPr>
              <w:pStyle w:val="13"/>
            </w:pPr>
            <w:r>
              <w:t>行政运行</w:t>
            </w:r>
          </w:p>
        </w:tc>
        <w:tc>
          <w:tcPr>
            <w:tcW w:w="1134" w:type="dxa"/>
            <w:vAlign w:val="center"/>
          </w:tcPr>
          <w:p>
            <w:pPr>
              <w:pStyle w:val="12"/>
            </w:pPr>
            <w:r>
              <w:t>587.92</w:t>
            </w:r>
          </w:p>
        </w:tc>
        <w:tc>
          <w:tcPr>
            <w:tcW w:w="1134" w:type="dxa"/>
            <w:vAlign w:val="center"/>
          </w:tcPr>
          <w:p>
            <w:pPr>
              <w:pStyle w:val="12"/>
            </w:pPr>
            <w:r>
              <w:t>587.92</w:t>
            </w:r>
          </w:p>
        </w:tc>
        <w:tc>
          <w:tcPr>
            <w:tcW w:w="1134" w:type="dxa"/>
            <w:vAlign w:val="center"/>
          </w:tcPr>
          <w:p>
            <w:pPr>
              <w:pStyle w:val="12"/>
            </w:pPr>
            <w:r>
              <w:t>587.92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2101502</w:t>
            </w:r>
          </w:p>
        </w:tc>
        <w:tc>
          <w:tcPr>
            <w:tcW w:w="1559" w:type="dxa"/>
            <w:vAlign w:val="center"/>
          </w:tcPr>
          <w:p>
            <w:pPr>
              <w:pStyle w:val="13"/>
            </w:pPr>
            <w:r>
              <w:t>一般行政管理事务</w:t>
            </w:r>
          </w:p>
        </w:tc>
        <w:tc>
          <w:tcPr>
            <w:tcW w:w="1134" w:type="dxa"/>
            <w:vAlign w:val="center"/>
          </w:tcPr>
          <w:p>
            <w:pPr>
              <w:pStyle w:val="12"/>
            </w:pPr>
            <w:r>
              <w:t>13.28</w:t>
            </w:r>
          </w:p>
        </w:tc>
        <w:tc>
          <w:tcPr>
            <w:tcW w:w="1134" w:type="dxa"/>
            <w:vAlign w:val="center"/>
          </w:tcPr>
          <w:p>
            <w:pPr>
              <w:pStyle w:val="12"/>
            </w:pPr>
            <w:r>
              <w:t>13.28</w:t>
            </w:r>
          </w:p>
        </w:tc>
        <w:tc>
          <w:tcPr>
            <w:tcW w:w="1134" w:type="dxa"/>
            <w:vAlign w:val="center"/>
          </w:tcPr>
          <w:p>
            <w:pPr>
              <w:pStyle w:val="12"/>
            </w:pPr>
            <w:r>
              <w:t>13.28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2101599</w:t>
            </w:r>
          </w:p>
        </w:tc>
        <w:tc>
          <w:tcPr>
            <w:tcW w:w="1559" w:type="dxa"/>
            <w:vAlign w:val="center"/>
          </w:tcPr>
          <w:p>
            <w:pPr>
              <w:pStyle w:val="13"/>
            </w:pPr>
            <w:r>
              <w:t>其他医疗保障管理事务支出</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r>
              <w:t>37.00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7272.94</w:t>
            </w:r>
          </w:p>
        </w:tc>
        <w:tc>
          <w:tcPr>
            <w:tcW w:w="1361" w:type="dxa"/>
            <w:vAlign w:val="center"/>
          </w:tcPr>
          <w:p>
            <w:pPr>
              <w:pStyle w:val="16"/>
            </w:pPr>
            <w:r>
              <w:t>587.92</w:t>
            </w:r>
          </w:p>
        </w:tc>
        <w:tc>
          <w:tcPr>
            <w:tcW w:w="1361" w:type="dxa"/>
            <w:vAlign w:val="center"/>
          </w:tcPr>
          <w:p>
            <w:pPr>
              <w:pStyle w:val="16"/>
            </w:pPr>
            <w:r>
              <w:t>6685.02</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7272.94</w:t>
            </w:r>
          </w:p>
        </w:tc>
        <w:tc>
          <w:tcPr>
            <w:tcW w:w="1361" w:type="dxa"/>
            <w:vAlign w:val="center"/>
          </w:tcPr>
          <w:p>
            <w:pPr>
              <w:pStyle w:val="12"/>
            </w:pPr>
            <w:r>
              <w:t>587.92</w:t>
            </w:r>
          </w:p>
        </w:tc>
        <w:tc>
          <w:tcPr>
            <w:tcW w:w="1361" w:type="dxa"/>
            <w:vAlign w:val="center"/>
          </w:tcPr>
          <w:p>
            <w:pPr>
              <w:pStyle w:val="12"/>
            </w:pPr>
            <w:r>
              <w:t>6685.02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21012</w:t>
            </w:r>
          </w:p>
        </w:tc>
        <w:tc>
          <w:tcPr>
            <w:tcW w:w="4535" w:type="dxa"/>
            <w:vAlign w:val="center"/>
          </w:tcPr>
          <w:p>
            <w:pPr>
              <w:pStyle w:val="13"/>
            </w:pPr>
            <w:r>
              <w:t>财政对基本医疗保险基金的补助</w:t>
            </w:r>
          </w:p>
        </w:tc>
        <w:tc>
          <w:tcPr>
            <w:tcW w:w="1361" w:type="dxa"/>
            <w:vAlign w:val="center"/>
          </w:tcPr>
          <w:p>
            <w:pPr>
              <w:pStyle w:val="12"/>
            </w:pPr>
            <w:r>
              <w:t>6614.74</w:t>
            </w:r>
          </w:p>
        </w:tc>
        <w:tc>
          <w:tcPr>
            <w:tcW w:w="1361" w:type="dxa"/>
            <w:vAlign w:val="center"/>
          </w:tcPr>
          <w:p>
            <w:pPr>
              <w:pStyle w:val="12"/>
            </w:pPr>
          </w:p>
        </w:tc>
        <w:tc>
          <w:tcPr>
            <w:tcW w:w="1361" w:type="dxa"/>
            <w:vAlign w:val="center"/>
          </w:tcPr>
          <w:p>
            <w:pPr>
              <w:pStyle w:val="12"/>
            </w:pPr>
            <w:r>
              <w:t>6614.74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2101202</w:t>
            </w:r>
          </w:p>
        </w:tc>
        <w:tc>
          <w:tcPr>
            <w:tcW w:w="4535" w:type="dxa"/>
            <w:vAlign w:val="center"/>
          </w:tcPr>
          <w:p>
            <w:pPr>
              <w:pStyle w:val="13"/>
            </w:pPr>
            <w:r>
              <w:t>财政对城乡居民基本医疗保险基金的补助</w:t>
            </w:r>
          </w:p>
        </w:tc>
        <w:tc>
          <w:tcPr>
            <w:tcW w:w="1361" w:type="dxa"/>
            <w:vAlign w:val="center"/>
          </w:tcPr>
          <w:p>
            <w:pPr>
              <w:pStyle w:val="12"/>
            </w:pPr>
            <w:r>
              <w:t>6614.74</w:t>
            </w:r>
          </w:p>
        </w:tc>
        <w:tc>
          <w:tcPr>
            <w:tcW w:w="1361" w:type="dxa"/>
            <w:vAlign w:val="center"/>
          </w:tcPr>
          <w:p>
            <w:pPr>
              <w:pStyle w:val="12"/>
            </w:pPr>
          </w:p>
        </w:tc>
        <w:tc>
          <w:tcPr>
            <w:tcW w:w="1361" w:type="dxa"/>
            <w:vAlign w:val="center"/>
          </w:tcPr>
          <w:p>
            <w:pPr>
              <w:pStyle w:val="12"/>
            </w:pPr>
            <w:r>
              <w:t>6614.74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21013</w:t>
            </w:r>
          </w:p>
        </w:tc>
        <w:tc>
          <w:tcPr>
            <w:tcW w:w="4535" w:type="dxa"/>
            <w:vAlign w:val="center"/>
          </w:tcPr>
          <w:p>
            <w:pPr>
              <w:pStyle w:val="13"/>
            </w:pPr>
            <w:r>
              <w:t>医疗救助</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2101399</w:t>
            </w:r>
          </w:p>
        </w:tc>
        <w:tc>
          <w:tcPr>
            <w:tcW w:w="4535" w:type="dxa"/>
            <w:vAlign w:val="center"/>
          </w:tcPr>
          <w:p>
            <w:pPr>
              <w:pStyle w:val="13"/>
            </w:pPr>
            <w:r>
              <w:t>其他医疗救助支出</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21015</w:t>
            </w:r>
          </w:p>
        </w:tc>
        <w:tc>
          <w:tcPr>
            <w:tcW w:w="4535" w:type="dxa"/>
            <w:vAlign w:val="center"/>
          </w:tcPr>
          <w:p>
            <w:pPr>
              <w:pStyle w:val="13"/>
            </w:pPr>
            <w:r>
              <w:t>医疗保障管理事务</w:t>
            </w:r>
          </w:p>
        </w:tc>
        <w:tc>
          <w:tcPr>
            <w:tcW w:w="1361" w:type="dxa"/>
            <w:vAlign w:val="center"/>
          </w:tcPr>
          <w:p>
            <w:pPr>
              <w:pStyle w:val="12"/>
            </w:pPr>
            <w:r>
              <w:t>638.20</w:t>
            </w:r>
          </w:p>
        </w:tc>
        <w:tc>
          <w:tcPr>
            <w:tcW w:w="1361" w:type="dxa"/>
            <w:vAlign w:val="center"/>
          </w:tcPr>
          <w:p>
            <w:pPr>
              <w:pStyle w:val="12"/>
            </w:pPr>
            <w:r>
              <w:t>587.92</w:t>
            </w:r>
          </w:p>
        </w:tc>
        <w:tc>
          <w:tcPr>
            <w:tcW w:w="1361" w:type="dxa"/>
            <w:vAlign w:val="center"/>
          </w:tcPr>
          <w:p>
            <w:pPr>
              <w:pStyle w:val="12"/>
            </w:pPr>
            <w:r>
              <w:t>50.28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2101501</w:t>
            </w:r>
          </w:p>
        </w:tc>
        <w:tc>
          <w:tcPr>
            <w:tcW w:w="4535" w:type="dxa"/>
            <w:vAlign w:val="center"/>
          </w:tcPr>
          <w:p>
            <w:pPr>
              <w:pStyle w:val="13"/>
            </w:pPr>
            <w:r>
              <w:t>行政运行</w:t>
            </w:r>
          </w:p>
        </w:tc>
        <w:tc>
          <w:tcPr>
            <w:tcW w:w="1361" w:type="dxa"/>
            <w:vAlign w:val="center"/>
          </w:tcPr>
          <w:p>
            <w:pPr>
              <w:pStyle w:val="12"/>
            </w:pPr>
            <w:r>
              <w:t>587.92</w:t>
            </w:r>
          </w:p>
        </w:tc>
        <w:tc>
          <w:tcPr>
            <w:tcW w:w="1361" w:type="dxa"/>
            <w:vAlign w:val="center"/>
          </w:tcPr>
          <w:p>
            <w:pPr>
              <w:pStyle w:val="12"/>
            </w:pPr>
            <w:r>
              <w:t>587.92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2101502</w:t>
            </w:r>
          </w:p>
        </w:tc>
        <w:tc>
          <w:tcPr>
            <w:tcW w:w="4535" w:type="dxa"/>
            <w:vAlign w:val="center"/>
          </w:tcPr>
          <w:p>
            <w:pPr>
              <w:pStyle w:val="13"/>
            </w:pPr>
            <w:r>
              <w:t>一般行政管理事务</w:t>
            </w:r>
          </w:p>
        </w:tc>
        <w:tc>
          <w:tcPr>
            <w:tcW w:w="1361" w:type="dxa"/>
            <w:vAlign w:val="center"/>
          </w:tcPr>
          <w:p>
            <w:pPr>
              <w:pStyle w:val="12"/>
            </w:pPr>
            <w:r>
              <w:t>13.28</w:t>
            </w:r>
          </w:p>
        </w:tc>
        <w:tc>
          <w:tcPr>
            <w:tcW w:w="1361" w:type="dxa"/>
            <w:vAlign w:val="center"/>
          </w:tcPr>
          <w:p>
            <w:pPr>
              <w:pStyle w:val="12"/>
            </w:pPr>
          </w:p>
        </w:tc>
        <w:tc>
          <w:tcPr>
            <w:tcW w:w="1361" w:type="dxa"/>
            <w:vAlign w:val="center"/>
          </w:tcPr>
          <w:p>
            <w:pPr>
              <w:pStyle w:val="12"/>
            </w:pPr>
            <w:r>
              <w:t>13.28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2101599</w:t>
            </w:r>
          </w:p>
        </w:tc>
        <w:tc>
          <w:tcPr>
            <w:tcW w:w="4535" w:type="dxa"/>
            <w:vAlign w:val="center"/>
          </w:tcPr>
          <w:p>
            <w:pPr>
              <w:pStyle w:val="13"/>
            </w:pPr>
            <w:r>
              <w:t>其他医疗保障管理事务支出</w:t>
            </w: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r>
              <w:t>37.00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7272.94</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7272.94</w:t>
            </w:r>
          </w:p>
        </w:tc>
        <w:tc>
          <w:tcPr>
            <w:tcW w:w="1474" w:type="dxa"/>
            <w:vAlign w:val="center"/>
          </w:tcPr>
          <w:p>
            <w:pPr>
              <w:pStyle w:val="12"/>
            </w:pPr>
            <w:r>
              <w:t>7272.94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7272.94</w:t>
            </w:r>
          </w:p>
        </w:tc>
        <w:tc>
          <w:tcPr>
            <w:tcW w:w="3402" w:type="dxa"/>
            <w:vAlign w:val="center"/>
          </w:tcPr>
          <w:p>
            <w:pPr>
              <w:pStyle w:val="15"/>
            </w:pPr>
            <w:r>
              <w:t>本年支出合计</w:t>
            </w:r>
          </w:p>
        </w:tc>
        <w:tc>
          <w:tcPr>
            <w:tcW w:w="1474" w:type="dxa"/>
            <w:vAlign w:val="center"/>
          </w:tcPr>
          <w:p>
            <w:pPr>
              <w:pStyle w:val="16"/>
            </w:pPr>
            <w:r>
              <w:t>7272.94</w:t>
            </w:r>
          </w:p>
        </w:tc>
        <w:tc>
          <w:tcPr>
            <w:tcW w:w="1474" w:type="dxa"/>
            <w:vAlign w:val="center"/>
          </w:tcPr>
          <w:p>
            <w:pPr>
              <w:pStyle w:val="16"/>
            </w:pPr>
            <w:r>
              <w:t>7272.94</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7272.94</w:t>
            </w:r>
          </w:p>
        </w:tc>
        <w:tc>
          <w:tcPr>
            <w:tcW w:w="3402" w:type="dxa"/>
            <w:vAlign w:val="center"/>
          </w:tcPr>
          <w:p>
            <w:pPr>
              <w:pStyle w:val="15"/>
            </w:pPr>
            <w:r>
              <w:t>支出总计</w:t>
            </w:r>
          </w:p>
        </w:tc>
        <w:tc>
          <w:tcPr>
            <w:tcW w:w="1474" w:type="dxa"/>
            <w:vAlign w:val="center"/>
          </w:tcPr>
          <w:p>
            <w:pPr>
              <w:pStyle w:val="16"/>
            </w:pPr>
            <w:r>
              <w:t>7272.94</w:t>
            </w:r>
          </w:p>
        </w:tc>
        <w:tc>
          <w:tcPr>
            <w:tcW w:w="1474" w:type="dxa"/>
            <w:vAlign w:val="center"/>
          </w:tcPr>
          <w:p>
            <w:pPr>
              <w:pStyle w:val="16"/>
            </w:pPr>
            <w:r>
              <w:t>7272.94</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7272.94</w:t>
            </w:r>
          </w:p>
        </w:tc>
        <w:tc>
          <w:tcPr>
            <w:tcW w:w="2551" w:type="dxa"/>
            <w:vAlign w:val="center"/>
          </w:tcPr>
          <w:p>
            <w:pPr>
              <w:pStyle w:val="16"/>
            </w:pPr>
            <w:r>
              <w:t>587.92</w:t>
            </w:r>
          </w:p>
        </w:tc>
        <w:tc>
          <w:tcPr>
            <w:tcW w:w="2551" w:type="dxa"/>
            <w:vAlign w:val="center"/>
          </w:tcPr>
          <w:p>
            <w:pPr>
              <w:pStyle w:val="16"/>
            </w:pPr>
            <w:r>
              <w:t>6685.02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7272.94</w:t>
            </w:r>
          </w:p>
        </w:tc>
        <w:tc>
          <w:tcPr>
            <w:tcW w:w="2551" w:type="dxa"/>
            <w:vAlign w:val="center"/>
          </w:tcPr>
          <w:p>
            <w:pPr>
              <w:pStyle w:val="12"/>
            </w:pPr>
            <w:r>
              <w:t>587.92</w:t>
            </w:r>
          </w:p>
        </w:tc>
        <w:tc>
          <w:tcPr>
            <w:tcW w:w="2551" w:type="dxa"/>
            <w:vAlign w:val="center"/>
          </w:tcPr>
          <w:p>
            <w:pPr>
              <w:pStyle w:val="12"/>
            </w:pPr>
            <w:r>
              <w:t>6685.02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21012</w:t>
            </w:r>
          </w:p>
        </w:tc>
        <w:tc>
          <w:tcPr>
            <w:tcW w:w="4535" w:type="dxa"/>
            <w:vAlign w:val="center"/>
          </w:tcPr>
          <w:p>
            <w:pPr>
              <w:pStyle w:val="13"/>
            </w:pPr>
            <w:r>
              <w:t>财政对基本医疗保险基金的补助</w:t>
            </w:r>
          </w:p>
        </w:tc>
        <w:tc>
          <w:tcPr>
            <w:tcW w:w="2551" w:type="dxa"/>
            <w:vAlign w:val="center"/>
          </w:tcPr>
          <w:p>
            <w:pPr>
              <w:pStyle w:val="12"/>
            </w:pPr>
            <w:r>
              <w:t>6614.74</w:t>
            </w:r>
          </w:p>
        </w:tc>
        <w:tc>
          <w:tcPr>
            <w:tcW w:w="2551" w:type="dxa"/>
            <w:vAlign w:val="center"/>
          </w:tcPr>
          <w:p>
            <w:pPr>
              <w:pStyle w:val="12"/>
            </w:pPr>
          </w:p>
        </w:tc>
        <w:tc>
          <w:tcPr>
            <w:tcW w:w="2551" w:type="dxa"/>
            <w:vAlign w:val="center"/>
          </w:tcPr>
          <w:p>
            <w:pPr>
              <w:pStyle w:val="12"/>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2101202</w:t>
            </w:r>
          </w:p>
        </w:tc>
        <w:tc>
          <w:tcPr>
            <w:tcW w:w="4535" w:type="dxa"/>
            <w:vAlign w:val="center"/>
          </w:tcPr>
          <w:p>
            <w:pPr>
              <w:pStyle w:val="13"/>
            </w:pPr>
            <w:r>
              <w:t>财政对城乡居民基本医疗保险基金的补助</w:t>
            </w:r>
          </w:p>
        </w:tc>
        <w:tc>
          <w:tcPr>
            <w:tcW w:w="2551" w:type="dxa"/>
            <w:vAlign w:val="center"/>
          </w:tcPr>
          <w:p>
            <w:pPr>
              <w:pStyle w:val="12"/>
            </w:pPr>
            <w:r>
              <w:t>6614.74</w:t>
            </w:r>
          </w:p>
        </w:tc>
        <w:tc>
          <w:tcPr>
            <w:tcW w:w="2551" w:type="dxa"/>
            <w:vAlign w:val="center"/>
          </w:tcPr>
          <w:p>
            <w:pPr>
              <w:pStyle w:val="12"/>
            </w:pPr>
          </w:p>
        </w:tc>
        <w:tc>
          <w:tcPr>
            <w:tcW w:w="2551" w:type="dxa"/>
            <w:vAlign w:val="center"/>
          </w:tcPr>
          <w:p>
            <w:pPr>
              <w:pStyle w:val="12"/>
            </w:pPr>
            <w:r>
              <w:t>6614.74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21013</w:t>
            </w:r>
          </w:p>
        </w:tc>
        <w:tc>
          <w:tcPr>
            <w:tcW w:w="4535" w:type="dxa"/>
            <w:vAlign w:val="center"/>
          </w:tcPr>
          <w:p>
            <w:pPr>
              <w:pStyle w:val="13"/>
            </w:pPr>
            <w:r>
              <w:t>医疗救助</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2101399</w:t>
            </w:r>
          </w:p>
        </w:tc>
        <w:tc>
          <w:tcPr>
            <w:tcW w:w="4535" w:type="dxa"/>
            <w:vAlign w:val="center"/>
          </w:tcPr>
          <w:p>
            <w:pPr>
              <w:pStyle w:val="13"/>
            </w:pPr>
            <w:r>
              <w:t>其他医疗救助支出</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21015</w:t>
            </w:r>
          </w:p>
        </w:tc>
        <w:tc>
          <w:tcPr>
            <w:tcW w:w="4535" w:type="dxa"/>
            <w:vAlign w:val="center"/>
          </w:tcPr>
          <w:p>
            <w:pPr>
              <w:pStyle w:val="13"/>
            </w:pPr>
            <w:r>
              <w:t>医疗保障管理事务</w:t>
            </w:r>
          </w:p>
        </w:tc>
        <w:tc>
          <w:tcPr>
            <w:tcW w:w="2551" w:type="dxa"/>
            <w:vAlign w:val="center"/>
          </w:tcPr>
          <w:p>
            <w:pPr>
              <w:pStyle w:val="12"/>
            </w:pPr>
            <w:r>
              <w:t>638.20</w:t>
            </w:r>
          </w:p>
        </w:tc>
        <w:tc>
          <w:tcPr>
            <w:tcW w:w="2551" w:type="dxa"/>
            <w:vAlign w:val="center"/>
          </w:tcPr>
          <w:p>
            <w:pPr>
              <w:pStyle w:val="12"/>
            </w:pPr>
            <w:r>
              <w:t>587.92</w:t>
            </w:r>
          </w:p>
        </w:tc>
        <w:tc>
          <w:tcPr>
            <w:tcW w:w="2551" w:type="dxa"/>
            <w:vAlign w:val="center"/>
          </w:tcPr>
          <w:p>
            <w:pPr>
              <w:pStyle w:val="12"/>
            </w:pPr>
            <w:r>
              <w:t>50.28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2101501</w:t>
            </w:r>
          </w:p>
        </w:tc>
        <w:tc>
          <w:tcPr>
            <w:tcW w:w="4535" w:type="dxa"/>
            <w:vAlign w:val="center"/>
          </w:tcPr>
          <w:p>
            <w:pPr>
              <w:pStyle w:val="13"/>
            </w:pPr>
            <w:r>
              <w:t>行政运行</w:t>
            </w:r>
          </w:p>
        </w:tc>
        <w:tc>
          <w:tcPr>
            <w:tcW w:w="2551" w:type="dxa"/>
            <w:vAlign w:val="center"/>
          </w:tcPr>
          <w:p>
            <w:pPr>
              <w:pStyle w:val="12"/>
            </w:pPr>
            <w:r>
              <w:t>587.92</w:t>
            </w:r>
          </w:p>
        </w:tc>
        <w:tc>
          <w:tcPr>
            <w:tcW w:w="2551" w:type="dxa"/>
            <w:vAlign w:val="center"/>
          </w:tcPr>
          <w:p>
            <w:pPr>
              <w:pStyle w:val="12"/>
            </w:pPr>
            <w:r>
              <w:t>587.92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2101502</w:t>
            </w:r>
          </w:p>
        </w:tc>
        <w:tc>
          <w:tcPr>
            <w:tcW w:w="4535" w:type="dxa"/>
            <w:vAlign w:val="center"/>
          </w:tcPr>
          <w:p>
            <w:pPr>
              <w:pStyle w:val="13"/>
            </w:pPr>
            <w:r>
              <w:t>一般行政管理事务</w:t>
            </w:r>
          </w:p>
        </w:tc>
        <w:tc>
          <w:tcPr>
            <w:tcW w:w="2551" w:type="dxa"/>
            <w:vAlign w:val="center"/>
          </w:tcPr>
          <w:p>
            <w:pPr>
              <w:pStyle w:val="12"/>
            </w:pPr>
            <w:r>
              <w:t>13.28</w:t>
            </w:r>
          </w:p>
        </w:tc>
        <w:tc>
          <w:tcPr>
            <w:tcW w:w="2551" w:type="dxa"/>
            <w:vAlign w:val="center"/>
          </w:tcPr>
          <w:p>
            <w:pPr>
              <w:pStyle w:val="12"/>
            </w:pPr>
          </w:p>
        </w:tc>
        <w:tc>
          <w:tcPr>
            <w:tcW w:w="2551" w:type="dxa"/>
            <w:vAlign w:val="center"/>
          </w:tcPr>
          <w:p>
            <w:pPr>
              <w:pStyle w:val="12"/>
            </w:pPr>
            <w:r>
              <w:t>13.28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2101599</w:t>
            </w:r>
          </w:p>
        </w:tc>
        <w:tc>
          <w:tcPr>
            <w:tcW w:w="4535" w:type="dxa"/>
            <w:vAlign w:val="center"/>
          </w:tcPr>
          <w:p>
            <w:pPr>
              <w:pStyle w:val="13"/>
            </w:pPr>
            <w:r>
              <w:t>其他医疗保障管理事务支出</w:t>
            </w:r>
          </w:p>
        </w:tc>
        <w:tc>
          <w:tcPr>
            <w:tcW w:w="2551" w:type="dxa"/>
            <w:vAlign w:val="center"/>
          </w:tcPr>
          <w:p>
            <w:pPr>
              <w:pStyle w:val="12"/>
            </w:pPr>
            <w:r>
              <w:t>37.00</w:t>
            </w:r>
          </w:p>
        </w:tc>
        <w:tc>
          <w:tcPr>
            <w:tcW w:w="2551" w:type="dxa"/>
            <w:vAlign w:val="center"/>
          </w:tcPr>
          <w:p>
            <w:pPr>
              <w:pStyle w:val="12"/>
            </w:pPr>
          </w:p>
        </w:tc>
        <w:tc>
          <w:tcPr>
            <w:tcW w:w="2551" w:type="dxa"/>
            <w:vAlign w:val="center"/>
          </w:tcPr>
          <w:p>
            <w:pPr>
              <w:pStyle w:val="12"/>
            </w:pPr>
            <w:r>
              <w:t>37.00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587.92</w:t>
            </w:r>
          </w:p>
        </w:tc>
        <w:tc>
          <w:tcPr>
            <w:tcW w:w="2551" w:type="dxa"/>
            <w:vAlign w:val="center"/>
          </w:tcPr>
          <w:p>
            <w:pPr>
              <w:pStyle w:val="16"/>
            </w:pPr>
            <w:r>
              <w:t>541.46</w:t>
            </w:r>
          </w:p>
        </w:tc>
        <w:tc>
          <w:tcPr>
            <w:tcW w:w="2551" w:type="dxa"/>
            <w:vAlign w:val="center"/>
          </w:tcPr>
          <w:p>
            <w:pPr>
              <w:pStyle w:val="16"/>
            </w:pPr>
            <w:r>
              <w:t>46.46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531.91</w:t>
            </w:r>
          </w:p>
        </w:tc>
        <w:tc>
          <w:tcPr>
            <w:tcW w:w="2551" w:type="dxa"/>
            <w:vAlign w:val="center"/>
          </w:tcPr>
          <w:p>
            <w:pPr>
              <w:pStyle w:val="12"/>
            </w:pPr>
            <w:r>
              <w:t>531.91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206.33</w:t>
            </w:r>
          </w:p>
        </w:tc>
        <w:tc>
          <w:tcPr>
            <w:tcW w:w="2551" w:type="dxa"/>
            <w:vAlign w:val="center"/>
          </w:tcPr>
          <w:p>
            <w:pPr>
              <w:pStyle w:val="12"/>
            </w:pPr>
            <w:r>
              <w:t>206.33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37.82</w:t>
            </w:r>
          </w:p>
        </w:tc>
        <w:tc>
          <w:tcPr>
            <w:tcW w:w="2551" w:type="dxa"/>
            <w:vAlign w:val="center"/>
          </w:tcPr>
          <w:p>
            <w:pPr>
              <w:pStyle w:val="12"/>
            </w:pPr>
            <w:r>
              <w:t>37.82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15.55</w:t>
            </w:r>
          </w:p>
        </w:tc>
        <w:tc>
          <w:tcPr>
            <w:tcW w:w="2551" w:type="dxa"/>
            <w:vAlign w:val="center"/>
          </w:tcPr>
          <w:p>
            <w:pPr>
              <w:pStyle w:val="12"/>
            </w:pPr>
            <w:r>
              <w:t>15.55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134.62</w:t>
            </w:r>
          </w:p>
        </w:tc>
        <w:tc>
          <w:tcPr>
            <w:tcW w:w="2551" w:type="dxa"/>
            <w:vAlign w:val="center"/>
          </w:tcPr>
          <w:p>
            <w:pPr>
              <w:pStyle w:val="12"/>
            </w:pPr>
            <w:r>
              <w:t>134.62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55.31</w:t>
            </w:r>
          </w:p>
        </w:tc>
        <w:tc>
          <w:tcPr>
            <w:tcW w:w="2551" w:type="dxa"/>
            <w:vAlign w:val="center"/>
          </w:tcPr>
          <w:p>
            <w:pPr>
              <w:pStyle w:val="12"/>
            </w:pPr>
            <w:r>
              <w:t>55.31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21.91</w:t>
            </w:r>
          </w:p>
        </w:tc>
        <w:tc>
          <w:tcPr>
            <w:tcW w:w="2551" w:type="dxa"/>
            <w:vAlign w:val="center"/>
          </w:tcPr>
          <w:p>
            <w:pPr>
              <w:pStyle w:val="12"/>
            </w:pPr>
            <w:r>
              <w:t>21.91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11.14</w:t>
            </w:r>
          </w:p>
        </w:tc>
        <w:tc>
          <w:tcPr>
            <w:tcW w:w="2551" w:type="dxa"/>
            <w:vAlign w:val="center"/>
          </w:tcPr>
          <w:p>
            <w:pPr>
              <w:pStyle w:val="12"/>
            </w:pPr>
            <w:r>
              <w:t>11.14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3.76</w:t>
            </w:r>
          </w:p>
        </w:tc>
        <w:tc>
          <w:tcPr>
            <w:tcW w:w="2551" w:type="dxa"/>
            <w:vAlign w:val="center"/>
          </w:tcPr>
          <w:p>
            <w:pPr>
              <w:pStyle w:val="12"/>
            </w:pPr>
            <w:r>
              <w:t>3.76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44.27</w:t>
            </w:r>
          </w:p>
        </w:tc>
        <w:tc>
          <w:tcPr>
            <w:tcW w:w="2551" w:type="dxa"/>
            <w:vAlign w:val="center"/>
          </w:tcPr>
          <w:p>
            <w:pPr>
              <w:pStyle w:val="12"/>
            </w:pPr>
            <w:r>
              <w:t>44.27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1.20</w:t>
            </w:r>
          </w:p>
        </w:tc>
        <w:tc>
          <w:tcPr>
            <w:tcW w:w="2551" w:type="dxa"/>
            <w:vAlign w:val="center"/>
          </w:tcPr>
          <w:p>
            <w:pPr>
              <w:pStyle w:val="12"/>
            </w:pPr>
            <w:r>
              <w:t>1.20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46.46</w:t>
            </w:r>
          </w:p>
        </w:tc>
        <w:tc>
          <w:tcPr>
            <w:tcW w:w="2551" w:type="dxa"/>
            <w:vAlign w:val="center"/>
          </w:tcPr>
          <w:p>
            <w:pPr>
              <w:pStyle w:val="12"/>
            </w:pPr>
          </w:p>
        </w:tc>
        <w:tc>
          <w:tcPr>
            <w:tcW w:w="2551" w:type="dxa"/>
            <w:vAlign w:val="center"/>
          </w:tcPr>
          <w:p>
            <w:pPr>
              <w:pStyle w:val="12"/>
            </w:pPr>
            <w:r>
              <w:t>46.46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10.44</w:t>
            </w:r>
          </w:p>
        </w:tc>
        <w:tc>
          <w:tcPr>
            <w:tcW w:w="2551" w:type="dxa"/>
            <w:vAlign w:val="center"/>
          </w:tcPr>
          <w:p>
            <w:pPr>
              <w:pStyle w:val="12"/>
            </w:pPr>
          </w:p>
        </w:tc>
        <w:tc>
          <w:tcPr>
            <w:tcW w:w="2551" w:type="dxa"/>
            <w:vAlign w:val="center"/>
          </w:tcPr>
          <w:p>
            <w:pPr>
              <w:pStyle w:val="12"/>
            </w:pPr>
            <w:r>
              <w:t>10.44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0.11</w:t>
            </w:r>
          </w:p>
        </w:tc>
        <w:tc>
          <w:tcPr>
            <w:tcW w:w="2551" w:type="dxa"/>
            <w:vAlign w:val="center"/>
          </w:tcPr>
          <w:p>
            <w:pPr>
              <w:pStyle w:val="12"/>
            </w:pPr>
          </w:p>
        </w:tc>
        <w:tc>
          <w:tcPr>
            <w:tcW w:w="2551" w:type="dxa"/>
            <w:vAlign w:val="center"/>
          </w:tcPr>
          <w:p>
            <w:pPr>
              <w:pStyle w:val="12"/>
            </w:pPr>
            <w:r>
              <w:t>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0.70</w:t>
            </w:r>
          </w:p>
        </w:tc>
        <w:tc>
          <w:tcPr>
            <w:tcW w:w="2551" w:type="dxa"/>
            <w:vAlign w:val="center"/>
          </w:tcPr>
          <w:p>
            <w:pPr>
              <w:pStyle w:val="12"/>
            </w:pPr>
          </w:p>
        </w:tc>
        <w:tc>
          <w:tcPr>
            <w:tcW w:w="2551" w:type="dxa"/>
            <w:vAlign w:val="center"/>
          </w:tcPr>
          <w:p>
            <w:pPr>
              <w:pStyle w:val="12"/>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4.79</w:t>
            </w:r>
          </w:p>
        </w:tc>
        <w:tc>
          <w:tcPr>
            <w:tcW w:w="2551" w:type="dxa"/>
            <w:vAlign w:val="center"/>
          </w:tcPr>
          <w:p>
            <w:pPr>
              <w:pStyle w:val="12"/>
            </w:pPr>
          </w:p>
        </w:tc>
        <w:tc>
          <w:tcPr>
            <w:tcW w:w="2551" w:type="dxa"/>
            <w:vAlign w:val="center"/>
          </w:tcPr>
          <w:p>
            <w:pPr>
              <w:pStyle w:val="12"/>
            </w:pPr>
            <w: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1.14</w:t>
            </w:r>
          </w:p>
        </w:tc>
        <w:tc>
          <w:tcPr>
            <w:tcW w:w="2551" w:type="dxa"/>
            <w:vAlign w:val="center"/>
          </w:tcPr>
          <w:p>
            <w:pPr>
              <w:pStyle w:val="12"/>
            </w:pPr>
          </w:p>
        </w:tc>
        <w:tc>
          <w:tcPr>
            <w:tcW w:w="2551" w:type="dxa"/>
            <w:vAlign w:val="center"/>
          </w:tcPr>
          <w:p>
            <w:pPr>
              <w:pStyle w:val="12"/>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4.15</w:t>
            </w:r>
          </w:p>
        </w:tc>
        <w:tc>
          <w:tcPr>
            <w:tcW w:w="2551" w:type="dxa"/>
            <w:vAlign w:val="center"/>
          </w:tcPr>
          <w:p>
            <w:pPr>
              <w:pStyle w:val="12"/>
            </w:pPr>
          </w:p>
        </w:tc>
        <w:tc>
          <w:tcPr>
            <w:tcW w:w="2551" w:type="dxa"/>
            <w:vAlign w:val="center"/>
          </w:tcPr>
          <w:p>
            <w:pPr>
              <w:pStyle w:val="12"/>
            </w:pPr>
            <w:r>
              <w:t>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10.18</w:t>
            </w:r>
          </w:p>
        </w:tc>
        <w:tc>
          <w:tcPr>
            <w:tcW w:w="2551" w:type="dxa"/>
            <w:vAlign w:val="center"/>
          </w:tcPr>
          <w:p>
            <w:pPr>
              <w:pStyle w:val="12"/>
            </w:pPr>
          </w:p>
        </w:tc>
        <w:tc>
          <w:tcPr>
            <w:tcW w:w="2551" w:type="dxa"/>
            <w:vAlign w:val="center"/>
          </w:tcPr>
          <w:p>
            <w:pPr>
              <w:pStyle w:val="12"/>
            </w:pPr>
            <w:r>
              <w:t>10.18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5.40</w:t>
            </w:r>
          </w:p>
        </w:tc>
        <w:tc>
          <w:tcPr>
            <w:tcW w:w="2551" w:type="dxa"/>
            <w:vAlign w:val="center"/>
          </w:tcPr>
          <w:p>
            <w:pPr>
              <w:pStyle w:val="12"/>
            </w:pPr>
          </w:p>
        </w:tc>
        <w:tc>
          <w:tcPr>
            <w:tcW w:w="2551"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9.55</w:t>
            </w:r>
          </w:p>
        </w:tc>
        <w:tc>
          <w:tcPr>
            <w:tcW w:w="2551" w:type="dxa"/>
            <w:vAlign w:val="center"/>
          </w:tcPr>
          <w:p>
            <w:pPr>
              <w:pStyle w:val="12"/>
            </w:pPr>
          </w:p>
        </w:tc>
        <w:tc>
          <w:tcPr>
            <w:tcW w:w="2551" w:type="dxa"/>
            <w:vAlign w:val="center"/>
          </w:tcPr>
          <w:p>
            <w:pPr>
              <w:pStyle w:val="12"/>
            </w:pPr>
            <w:r>
              <w:t>9.55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9.55</w:t>
            </w:r>
          </w:p>
        </w:tc>
        <w:tc>
          <w:tcPr>
            <w:tcW w:w="2551" w:type="dxa"/>
            <w:vAlign w:val="center"/>
          </w:tcPr>
          <w:p>
            <w:pPr>
              <w:pStyle w:val="12"/>
            </w:pPr>
            <w:r>
              <w:t>9.55</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450晋州市医疗保障局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10.18</w:t>
            </w:r>
          </w:p>
        </w:tc>
        <w:tc>
          <w:tcPr>
            <w:tcW w:w="2381" w:type="dxa"/>
            <w:vAlign w:val="center"/>
          </w:tcPr>
          <w:p>
            <w:pPr>
              <w:pStyle w:val="16"/>
            </w:pPr>
            <w:r>
              <w:t>10.18</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10.18</w:t>
            </w:r>
          </w:p>
        </w:tc>
        <w:tc>
          <w:tcPr>
            <w:tcW w:w="2381" w:type="dxa"/>
            <w:vAlign w:val="center"/>
          </w:tcPr>
          <w:p>
            <w:pPr>
              <w:pStyle w:val="12"/>
            </w:pPr>
            <w:r>
              <w:t>10.18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10.18</w:t>
            </w:r>
          </w:p>
        </w:tc>
        <w:tc>
          <w:tcPr>
            <w:tcW w:w="2381" w:type="dxa"/>
            <w:vAlign w:val="center"/>
          </w:tcPr>
          <w:p>
            <w:pPr>
              <w:pStyle w:val="12"/>
            </w:pPr>
            <w:r>
              <w:t>10.18</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晋州市医疗保障局2026年部门预算信息公开情况说明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晋州市医疗保障局2026年部门预算信息公开情况说明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按照《中华人民共和国预算法》、《地方预决算公开操作规程》和《关于进一步推进预算公开工作的实施意见》规定，现将晋州市医疗保障局2026年部门预算公开如下：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一、贯彻落实城镇职工和城乡居民医疗保险、生育保险、长期护理保险、医疗救助等医疗保障地方性法规、政府规章以及政策、制度、规划和标准。</w:t>
      </w:r>
    </w:p>
    <w:p>
      <w:pPr>
        <w:pStyle w:val="18"/>
      </w:pPr>
      <w:r>
        <w:t>二、组织实施医疗保障基金监督管理办法，建立健全医疗保障基金安全防控机制，组织维护网络信息和智能监控平台，推进医疗保障基金支付方式改革。</w:t>
      </w:r>
    </w:p>
    <w:p>
      <w:pPr>
        <w:pStyle w:val="18"/>
      </w:pPr>
      <w:r>
        <w:t>三、组织实施城镇职工、城乡居民参保筹资和保障待遇政策，统筹城乡医疗保障政策标准，落实与筹资水平相适应的待遇调整机制。</w:t>
      </w:r>
    </w:p>
    <w:p>
      <w:pPr>
        <w:pStyle w:val="18"/>
      </w:pPr>
      <w:r>
        <w:t>四、组织实施全市城乡统一的药品、医用耗材、医疗服务项目、医疗服务设施等医保支付标准，建立动态调整机制，并组织实施。</w:t>
      </w:r>
    </w:p>
    <w:p>
      <w:pPr>
        <w:pStyle w:val="18"/>
      </w:pPr>
      <w:r>
        <w:t>五、组织实施全市药品、医用耗材价格和医疗服务项目、医疗服务设施收费等政策。落实医保支付医药服务价格合理确定和动态调整机制，依法管理药品、医用耗材、医疗服务价格政策执行情况。落实药品、医用耗材和医疗服务价格监测信息发布制度。</w:t>
      </w:r>
    </w:p>
    <w:p>
      <w:pPr>
        <w:pStyle w:val="18"/>
      </w:pPr>
      <w:r>
        <w:t>六、制定全市药品、医用耗材的招标采购政策并监督实施，指导药品、医用耗材招标采购平台建设。</w:t>
      </w:r>
    </w:p>
    <w:p>
      <w:pPr>
        <w:pStyle w:val="18"/>
      </w:pPr>
      <w:r>
        <w:t>七、落实全市定点医药机构协议和支付管理办法并组织实施，建立健全医疗保障信用评价体系和信息披露制度，监督管理定点医药机构的医疗服务行为、医疗费用和医药价格，依法查处医疗保障领域违法违规行为。</w:t>
      </w:r>
    </w:p>
    <w:p>
      <w:pPr>
        <w:pStyle w:val="18"/>
      </w:pPr>
      <w:r>
        <w:t>八、负责医疗保障经办管理、公共服务体系和信息化建设，贯彻落实异地就医管理和费用结算政策并组织实施，建立健全医疗保障关系转移续接制度。</w:t>
      </w:r>
    </w:p>
    <w:p>
      <w:pPr>
        <w:pStyle w:val="18"/>
      </w:pPr>
      <w:r>
        <w:t>九、承办市委、市政府交办的其他事项。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晋州市医疗保障局本级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晋州市医疗保险中心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按照预算管理有关规定，目前部门预算的编制实行综合预算管理，即全部收入和支出都反映在预算中。晋州市医疗保障局机关及所属事业单位的收支包含在部门预算中。</w:t>
      </w:r>
    </w:p>
    <w:p>
      <w:pPr>
        <w:pStyle w:val="19"/>
      </w:pPr>
      <w:r>
        <w:t>1、收入说明</w:t>
      </w:r>
    </w:p>
    <w:p>
      <w:pPr>
        <w:pStyle w:val="19"/>
      </w:pPr>
      <w:r>
        <w:t>反映本部门当年全部收入。2026年预算收入7272.94万元，其中：一般公共预算收入7272.94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医疗保障局年度部门预算中支出预算的总体情况。2026年支出预算7272.94万元，其中基本支出587.92万元，包括人员经费541.46万元和日常公用经费46.46万元；项目支出6685.02万元，主要为城乡居民基本医疗保险、冀财社[2025]128号提前下达医疗服务与保障能力提升资金、医疗保险专项经济、60周岁以意外医疗补充保险、业务费；预计下年使用的单位资金结余0.00万元。委托业务费共计安排57.00万元，主要用于因技术原因确需对外委托的辅助性工作和确有必要对外委托开展咨询、评审、规划等工作。</w:t>
      </w:r>
    </w:p>
    <w:p>
      <w:pPr>
        <w:pStyle w:val="19"/>
      </w:pPr>
      <w:r>
        <w:t>3、比上年增减情况</w:t>
      </w:r>
    </w:p>
    <w:p>
      <w:pPr>
        <w:pStyle w:val="19"/>
      </w:pPr>
      <w:r>
        <w:t>2026年预算收支安排7272.94万元，较2025年预算增加259.70万元，其中：基本支出增加21.86万元，主要为 有新调入和职级晋升人员。项目支出增加237.84万元，主要为增加了城乡居民基本医疗保险预算安排。预计下年使用的单位资金结余增加0.00万元。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2026年，我部门机关运行经费共计安排46.46万元，主要用于日常维修、办公用房水电费、办公用房取暖费、办公用房物业管理费等日常运行支出。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万元，其中因公出国（境）费0万元；公务用车购置及运维费0万元（其中：公务用车购置费为0万元，公务用车运维费0万元)；公务接待费0万元。与2025年相比增加0万元，增减变化的主要原因是厉行节俭，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城镇职工和城乡居民医疗保险、医疗救助等法律法规；组织实施医疗保障基金监管管理办法；组织维护网络信息和智能监控平台，推进医疗保障基金支付方式改革。组织实施城镇职工、城乡居民参保筹资和保障待遇政策，组织实施全市药品、医用耗材的招标采购；依法管理药品、医用耗材、医疗服务价格并组织实施医保支付标准；落实全市定点医药机构协议和支付管理办法。监管管理定点医疗机构的医疗服务行为、医疗费用和医药价格，依法查处医疗保障领域违法违规行为。负责医疗保障经办管理、公共服务体系和信息化建设。组织实施异地就医管理和费用结算政策。以解决群众“看病难，看病贵”为目标，为人民群众提供基本医疗保障。</w:t>
      </w: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1、完善医保的筹资和待遇动态调整机制</w:t>
      </w:r>
      <w:r>
        <w:rPr>
          <w:rFonts w:hint="eastAsia"/>
          <w:lang w:eastAsia="zh-CN"/>
        </w:rPr>
        <w:t>。</w:t>
      </w:r>
      <w:r>
        <w:t>绩效目标：确保医保资金可持续、合理使用，安全可控</w:t>
      </w:r>
      <w:r>
        <w:rPr>
          <w:rFonts w:hint="eastAsia"/>
          <w:lang w:eastAsia="zh-CN"/>
        </w:rPr>
        <w:t>。</w:t>
      </w:r>
      <w:r>
        <w:t xml:space="preserve"> 绩效指标：参保率达到95%以上。         </w:t>
      </w:r>
    </w:p>
    <w:p>
      <w:pPr>
        <w:pStyle w:val="23"/>
      </w:pPr>
      <w:r>
        <w:t>2、组织实施医疗保障基金监督管理办法</w:t>
      </w:r>
      <w:r>
        <w:rPr>
          <w:rFonts w:hint="eastAsia"/>
          <w:lang w:eastAsia="zh-CN"/>
        </w:rPr>
        <w:t>。</w:t>
      </w:r>
      <w:r>
        <w:t xml:space="preserve"> 绩效目标：依法查处医疗保障领域违法违规行为。 绩效指标：定点医药机构及参保人监管覆盖100%。         </w:t>
      </w:r>
    </w:p>
    <w:p>
      <w:pPr>
        <w:pStyle w:val="23"/>
      </w:pPr>
      <w:r>
        <w:t>3、医疗保险基金的管理</w:t>
      </w:r>
      <w:r>
        <w:rPr>
          <w:rFonts w:hint="eastAsia"/>
          <w:lang w:eastAsia="zh-CN"/>
        </w:rPr>
        <w:t>。</w:t>
      </w:r>
      <w:r>
        <w:t xml:space="preserve">绩效目标：医疗保障基金及时足额拨付到位。 绩效指标：医疗保险基金到位率100%。                       </w:t>
      </w:r>
    </w:p>
    <w:p>
      <w:pPr>
        <w:pStyle w:val="23"/>
      </w:pPr>
      <w:r>
        <w:t>4、组织实施医保支付标</w:t>
      </w:r>
      <w:r>
        <w:rPr>
          <w:rFonts w:hint="eastAsia"/>
          <w:lang w:eastAsia="zh-CN"/>
        </w:rPr>
        <w:t>。</w:t>
      </w:r>
      <w:r>
        <w:t xml:space="preserve">绩效目标：确保按政策实施医保支付标准。 绩效指标：确保医保目录和支付标准政策落地生效100%。               </w:t>
      </w:r>
    </w:p>
    <w:p>
      <w:pPr>
        <w:pStyle w:val="23"/>
      </w:pPr>
      <w:r>
        <w:t>5、贯彻落实医疗救助政策</w:t>
      </w:r>
      <w:r>
        <w:rPr>
          <w:rFonts w:hint="eastAsia"/>
          <w:lang w:eastAsia="zh-CN"/>
        </w:rPr>
        <w:t>。</w:t>
      </w:r>
      <w:r>
        <w:t>绩效目标：确保符合条件的群众得到医疗救助。绩效指标：医疗救助待遇率100%。</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r>
        <w:t> </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1、60周岁以上意外医疗补充保险绩效目标表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13018326P00032810269L</w:t>
            </w:r>
          </w:p>
        </w:tc>
        <w:tc>
          <w:tcPr>
            <w:tcW w:w="2835" w:type="dxa"/>
            <w:vAlign w:val="center"/>
          </w:tcPr>
          <w:p>
            <w:pPr>
              <w:pStyle w:val="11"/>
            </w:pPr>
            <w:r>
              <w:t>项目名称</w:t>
            </w:r>
          </w:p>
        </w:tc>
        <w:tc>
          <w:tcPr>
            <w:tcW w:w="6095" w:type="dxa"/>
            <w:gridSpan w:val="3"/>
            <w:vAlign w:val="center"/>
          </w:tcPr>
          <w:p>
            <w:pPr>
              <w:pStyle w:val="13"/>
            </w:pPr>
            <w:r>
              <w:t>60周岁以上意外医疗补充保险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为参加2026年度城乡居民医疗保险且年满60周岁以上老年人办理意外医疗补充保险.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1.进一步完善我市社会保障体系建设，努力提高老年人保险保障水平，有限遏制老年人因意外伤害致贫返贫现象的发生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参保人数占符合条件人数的比率</w:t>
            </w:r>
          </w:p>
        </w:tc>
        <w:tc>
          <w:tcPr>
            <w:tcW w:w="5386" w:type="dxa"/>
            <w:vAlign w:val="center"/>
          </w:tcPr>
          <w:p>
            <w:pPr>
              <w:pStyle w:val="13"/>
            </w:pPr>
            <w:r>
              <w:t>参保人数占符合条件人数的比率</w:t>
            </w:r>
          </w:p>
        </w:tc>
        <w:tc>
          <w:tcPr>
            <w:tcW w:w="2268" w:type="dxa"/>
            <w:vAlign w:val="center"/>
          </w:tcPr>
          <w:p>
            <w:pPr>
              <w:pStyle w:val="13"/>
            </w:pPr>
            <w:r>
              <w:t>≥90%</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实际报销人数占应报销人数的比率</w:t>
            </w:r>
          </w:p>
        </w:tc>
        <w:tc>
          <w:tcPr>
            <w:tcW w:w="5386" w:type="dxa"/>
            <w:vAlign w:val="center"/>
          </w:tcPr>
          <w:p>
            <w:pPr>
              <w:pStyle w:val="13"/>
            </w:pPr>
            <w:r>
              <w:t>实际报销人数占应报销人数的比率</w:t>
            </w:r>
          </w:p>
        </w:tc>
        <w:tc>
          <w:tcPr>
            <w:tcW w:w="2268" w:type="dxa"/>
            <w:vAlign w:val="center"/>
          </w:tcPr>
          <w:p>
            <w:pPr>
              <w:pStyle w:val="13"/>
            </w:pPr>
            <w:r>
              <w:t>100%</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合同有效期内</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成本控制数</w:t>
            </w:r>
          </w:p>
        </w:tc>
        <w:tc>
          <w:tcPr>
            <w:tcW w:w="5386" w:type="dxa"/>
            <w:vAlign w:val="center"/>
          </w:tcPr>
          <w:p>
            <w:pPr>
              <w:pStyle w:val="13"/>
            </w:pPr>
            <w:r>
              <w:t>成本控制数</w:t>
            </w:r>
          </w:p>
        </w:tc>
        <w:tc>
          <w:tcPr>
            <w:tcW w:w="2268" w:type="dxa"/>
            <w:vAlign w:val="center"/>
          </w:tcPr>
          <w:p>
            <w:pPr>
              <w:pStyle w:val="13"/>
            </w:pPr>
            <w:r>
              <w:t>≤20万元</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健全医疗保障制度体系</w:t>
            </w:r>
          </w:p>
        </w:tc>
        <w:tc>
          <w:tcPr>
            <w:tcW w:w="5386" w:type="dxa"/>
            <w:vAlign w:val="center"/>
          </w:tcPr>
          <w:p>
            <w:pPr>
              <w:pStyle w:val="13"/>
            </w:pPr>
            <w:r>
              <w:t>对健全医疗保障制度体系的作用</w:t>
            </w:r>
          </w:p>
        </w:tc>
        <w:tc>
          <w:tcPr>
            <w:tcW w:w="2268" w:type="dxa"/>
            <w:vAlign w:val="center"/>
          </w:tcPr>
          <w:p>
            <w:pPr>
              <w:pStyle w:val="13"/>
            </w:pPr>
            <w:r>
              <w:t>成效明显</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提高老年人医疗保险保障水平</w:t>
            </w:r>
          </w:p>
        </w:tc>
        <w:tc>
          <w:tcPr>
            <w:tcW w:w="5386" w:type="dxa"/>
            <w:vAlign w:val="center"/>
          </w:tcPr>
          <w:p>
            <w:pPr>
              <w:pStyle w:val="13"/>
            </w:pPr>
            <w:r>
              <w:t>提高老年人医疗保险保障水平</w:t>
            </w:r>
          </w:p>
        </w:tc>
        <w:tc>
          <w:tcPr>
            <w:tcW w:w="2268" w:type="dxa"/>
            <w:vAlign w:val="center"/>
          </w:tcPr>
          <w:p>
            <w:pPr>
              <w:pStyle w:val="13"/>
            </w:pPr>
            <w:r>
              <w:t>≥90%</w:t>
            </w:r>
          </w:p>
        </w:tc>
        <w:tc>
          <w:tcPr>
            <w:tcW w:w="1276" w:type="dxa"/>
            <w:vAlign w:val="center"/>
          </w:tcPr>
          <w:p>
            <w:pPr>
              <w:pStyle w:val="13"/>
            </w:pPr>
            <w:r>
              <w:t>关于拨付财政补助资金的请示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关于拨付财政补助资金的请示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13018326P000328102508</w:t>
            </w:r>
          </w:p>
        </w:tc>
        <w:tc>
          <w:tcPr>
            <w:tcW w:w="2835" w:type="dxa"/>
            <w:vAlign w:val="center"/>
          </w:tcPr>
          <w:p>
            <w:pPr>
              <w:pStyle w:val="11"/>
            </w:pPr>
            <w:r>
              <w:t>项目名称</w:t>
            </w:r>
          </w:p>
        </w:tc>
        <w:tc>
          <w:tcPr>
            <w:tcW w:w="6095" w:type="dxa"/>
            <w:gridSpan w:val="3"/>
            <w:vAlign w:val="center"/>
          </w:tcPr>
          <w:p>
            <w:pPr>
              <w:pStyle w:val="13"/>
            </w:pPr>
            <w:r>
              <w:t>（业务费）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3.28</w:t>
            </w:r>
          </w:p>
        </w:tc>
        <w:tc>
          <w:tcPr>
            <w:tcW w:w="2835" w:type="dxa"/>
            <w:vAlign w:val="center"/>
          </w:tcPr>
          <w:p>
            <w:pPr>
              <w:pStyle w:val="11"/>
            </w:pPr>
            <w:r>
              <w:t>其中：财政    资金</w:t>
            </w:r>
          </w:p>
        </w:tc>
        <w:tc>
          <w:tcPr>
            <w:tcW w:w="2551" w:type="dxa"/>
            <w:vAlign w:val="center"/>
          </w:tcPr>
          <w:p>
            <w:pPr>
              <w:pStyle w:val="13"/>
            </w:pPr>
            <w:r>
              <w:t>3.28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强化医疗机构和参保人员法律意识，进一步推动医保基金安全有效运行。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1.宣传医疗保障各项规章制度，营造良好社会监管氛围。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宣传材料份数</w:t>
            </w:r>
          </w:p>
        </w:tc>
        <w:tc>
          <w:tcPr>
            <w:tcW w:w="5386" w:type="dxa"/>
            <w:vAlign w:val="center"/>
          </w:tcPr>
          <w:p>
            <w:pPr>
              <w:pStyle w:val="13"/>
            </w:pPr>
            <w:r>
              <w:t>制作印发医保宣传材料</w:t>
            </w:r>
          </w:p>
        </w:tc>
        <w:tc>
          <w:tcPr>
            <w:tcW w:w="2268" w:type="dxa"/>
            <w:vAlign w:val="center"/>
          </w:tcPr>
          <w:p>
            <w:pPr>
              <w:pStyle w:val="13"/>
            </w:pPr>
            <w:r>
              <w:t>≥2000份</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群众知晓率</w:t>
            </w:r>
          </w:p>
        </w:tc>
        <w:tc>
          <w:tcPr>
            <w:tcW w:w="5386" w:type="dxa"/>
            <w:vAlign w:val="center"/>
          </w:tcPr>
          <w:p>
            <w:pPr>
              <w:pStyle w:val="13"/>
            </w:pPr>
            <w:r>
              <w:t>参保群众对医保政策的知晓率</w:t>
            </w:r>
          </w:p>
        </w:tc>
        <w:tc>
          <w:tcPr>
            <w:tcW w:w="2268" w:type="dxa"/>
            <w:vAlign w:val="center"/>
          </w:tcPr>
          <w:p>
            <w:pPr>
              <w:pStyle w:val="13"/>
            </w:pPr>
            <w:r>
              <w:t>≥90%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宣传计划</w:t>
            </w:r>
          </w:p>
        </w:tc>
        <w:tc>
          <w:tcPr>
            <w:tcW w:w="5386" w:type="dxa"/>
            <w:vAlign w:val="center"/>
          </w:tcPr>
          <w:p>
            <w:pPr>
              <w:pStyle w:val="13"/>
            </w:pPr>
            <w:r>
              <w:t>年内宣传计划完成</w:t>
            </w:r>
          </w:p>
        </w:tc>
        <w:tc>
          <w:tcPr>
            <w:tcW w:w="2268" w:type="dxa"/>
            <w:vAlign w:val="center"/>
          </w:tcPr>
          <w:p>
            <w:pPr>
              <w:pStyle w:val="13"/>
            </w:pPr>
            <w:r>
              <w:t>100%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项目预算控制数</w:t>
            </w:r>
          </w:p>
        </w:tc>
        <w:tc>
          <w:tcPr>
            <w:tcW w:w="2268" w:type="dxa"/>
            <w:vAlign w:val="center"/>
          </w:tcPr>
          <w:p>
            <w:pPr>
              <w:pStyle w:val="13"/>
            </w:pPr>
            <w:r>
              <w:t>不能超出该项目预算资金</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强化基金监管成效</w:t>
            </w:r>
          </w:p>
        </w:tc>
        <w:tc>
          <w:tcPr>
            <w:tcW w:w="5386" w:type="dxa"/>
            <w:vAlign w:val="center"/>
          </w:tcPr>
          <w:p>
            <w:pPr>
              <w:pStyle w:val="13"/>
            </w:pPr>
            <w:r>
              <w:t>强化基金监管成效，确保医保基金安全运行</w:t>
            </w:r>
          </w:p>
        </w:tc>
        <w:tc>
          <w:tcPr>
            <w:tcW w:w="2268" w:type="dxa"/>
            <w:vAlign w:val="center"/>
          </w:tcPr>
          <w:p>
            <w:pPr>
              <w:pStyle w:val="13"/>
            </w:pPr>
            <w:r>
              <w:t>成效明显</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逐渐形成医疗机构不敢骗，不能骗的高压态势</w:t>
            </w:r>
          </w:p>
        </w:tc>
        <w:tc>
          <w:tcPr>
            <w:tcW w:w="5386" w:type="dxa"/>
            <w:vAlign w:val="center"/>
          </w:tcPr>
          <w:p>
            <w:pPr>
              <w:pStyle w:val="13"/>
            </w:pPr>
            <w:r>
              <w:t>逐渐形成医疗机构和个人不敢骗和不能骗的高压态势</w:t>
            </w:r>
          </w:p>
        </w:tc>
        <w:tc>
          <w:tcPr>
            <w:tcW w:w="2268" w:type="dxa"/>
            <w:vAlign w:val="center"/>
          </w:tcPr>
          <w:p>
            <w:pPr>
              <w:pStyle w:val="13"/>
            </w:pPr>
            <w:r>
              <w:t>成效明显</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医保局制定考核方案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3、冀财社[2025]128号提前下达2026年中央财政医疗服务与保障能力提升补助资金（医疗保障服务能力建设部分）绩效目标表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13018326P00032710014Y</w:t>
            </w:r>
          </w:p>
        </w:tc>
        <w:tc>
          <w:tcPr>
            <w:tcW w:w="2835" w:type="dxa"/>
            <w:vAlign w:val="center"/>
          </w:tcPr>
          <w:p>
            <w:pPr>
              <w:pStyle w:val="11"/>
            </w:pPr>
            <w:r>
              <w:t>项目名称</w:t>
            </w:r>
          </w:p>
        </w:tc>
        <w:tc>
          <w:tcPr>
            <w:tcW w:w="6095" w:type="dxa"/>
            <w:gridSpan w:val="3"/>
            <w:vAlign w:val="center"/>
          </w:tcPr>
          <w:p>
            <w:pPr>
              <w:pStyle w:val="13"/>
            </w:pPr>
            <w:r>
              <w:t>冀财社[2025]128号提前下达2026年中央财政医疗服务与保障能力提升补助资金（医疗保障服务能力建设部分）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37.00</w:t>
            </w:r>
          </w:p>
        </w:tc>
        <w:tc>
          <w:tcPr>
            <w:tcW w:w="2835" w:type="dxa"/>
            <w:vAlign w:val="center"/>
          </w:tcPr>
          <w:p>
            <w:pPr>
              <w:pStyle w:val="11"/>
            </w:pPr>
            <w:r>
              <w:t>其中：财政    资金</w:t>
            </w:r>
          </w:p>
        </w:tc>
        <w:tc>
          <w:tcPr>
            <w:tcW w:w="2551" w:type="dxa"/>
            <w:vAlign w:val="center"/>
          </w:tcPr>
          <w:p>
            <w:pPr>
              <w:pStyle w:val="13"/>
            </w:pPr>
            <w:r>
              <w:t>37.00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提升基金综合监管、药品和医用耗材集中带量采购、医疗服务价格改革等各方面工作。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1.有效提升基金监管、医保支付方式改革、经办管理服务体系建设、药品和医用耗材集中带量采购、医疗服务价格改革、医保目录实施监管等方面工作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发放医保政策宣传资料</w:t>
            </w:r>
          </w:p>
        </w:tc>
        <w:tc>
          <w:tcPr>
            <w:tcW w:w="5386" w:type="dxa"/>
            <w:vAlign w:val="center"/>
          </w:tcPr>
          <w:p>
            <w:pPr>
              <w:pStyle w:val="13"/>
            </w:pPr>
            <w:r>
              <w:t>发放医保政策宣传资料</w:t>
            </w:r>
          </w:p>
        </w:tc>
        <w:tc>
          <w:tcPr>
            <w:tcW w:w="2268" w:type="dxa"/>
            <w:vAlign w:val="center"/>
          </w:tcPr>
          <w:p>
            <w:pPr>
              <w:pStyle w:val="13"/>
            </w:pPr>
            <w:r>
              <w:t>≥1万份</w:t>
            </w:r>
          </w:p>
        </w:tc>
        <w:tc>
          <w:tcPr>
            <w:tcW w:w="1276" w:type="dxa"/>
            <w:vAlign w:val="center"/>
          </w:tcPr>
          <w:p>
            <w:pPr>
              <w:pStyle w:val="13"/>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对定点医疗机构监督检查覆盖率</w:t>
            </w:r>
          </w:p>
        </w:tc>
        <w:tc>
          <w:tcPr>
            <w:tcW w:w="5386" w:type="dxa"/>
            <w:vAlign w:val="center"/>
          </w:tcPr>
          <w:p>
            <w:pPr>
              <w:pStyle w:val="13"/>
            </w:pPr>
            <w:r>
              <w:t xml:space="preserve">对定点医疗机构监督检查覆盖率 </w:t>
            </w:r>
          </w:p>
        </w:tc>
        <w:tc>
          <w:tcPr>
            <w:tcW w:w="2268" w:type="dxa"/>
            <w:vAlign w:val="center"/>
          </w:tcPr>
          <w:p>
            <w:pPr>
              <w:pStyle w:val="13"/>
            </w:pPr>
            <w:r>
              <w:t>≥95%</w:t>
            </w:r>
          </w:p>
        </w:tc>
        <w:tc>
          <w:tcPr>
            <w:tcW w:w="1276" w:type="dxa"/>
            <w:vAlign w:val="center"/>
          </w:tcPr>
          <w:p>
            <w:pPr>
              <w:pStyle w:val="13"/>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控制项目预算数</w:t>
            </w:r>
          </w:p>
        </w:tc>
        <w:tc>
          <w:tcPr>
            <w:tcW w:w="5386" w:type="dxa"/>
            <w:vAlign w:val="center"/>
          </w:tcPr>
          <w:p>
            <w:pPr>
              <w:pStyle w:val="13"/>
            </w:pPr>
            <w:r>
              <w:t>控制项目预算数</w:t>
            </w:r>
          </w:p>
        </w:tc>
        <w:tc>
          <w:tcPr>
            <w:tcW w:w="2268" w:type="dxa"/>
            <w:vAlign w:val="center"/>
          </w:tcPr>
          <w:p>
            <w:pPr>
              <w:pStyle w:val="13"/>
            </w:pPr>
            <w:r>
              <w:t>37万元</w:t>
            </w:r>
          </w:p>
        </w:tc>
        <w:tc>
          <w:tcPr>
            <w:tcW w:w="1276" w:type="dxa"/>
            <w:vAlign w:val="center"/>
          </w:tcPr>
          <w:p>
            <w:pPr>
              <w:pStyle w:val="13"/>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项目完成时间</w:t>
            </w:r>
          </w:p>
        </w:tc>
        <w:tc>
          <w:tcPr>
            <w:tcW w:w="5386" w:type="dxa"/>
            <w:vAlign w:val="center"/>
          </w:tcPr>
          <w:p>
            <w:pPr>
              <w:pStyle w:val="13"/>
            </w:pPr>
            <w:r>
              <w:t>项目完成时间</w:t>
            </w:r>
          </w:p>
        </w:tc>
        <w:tc>
          <w:tcPr>
            <w:tcW w:w="2268" w:type="dxa"/>
            <w:vAlign w:val="center"/>
          </w:tcPr>
          <w:p>
            <w:pPr>
              <w:pStyle w:val="13"/>
            </w:pPr>
            <w:r>
              <w:t>2026年内全部完成</w:t>
            </w:r>
          </w:p>
        </w:tc>
        <w:tc>
          <w:tcPr>
            <w:tcW w:w="1276" w:type="dxa"/>
            <w:vAlign w:val="center"/>
          </w:tcPr>
          <w:p>
            <w:pPr>
              <w:pStyle w:val="13"/>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参保群众政策知晓率</w:t>
            </w:r>
          </w:p>
        </w:tc>
        <w:tc>
          <w:tcPr>
            <w:tcW w:w="5386" w:type="dxa"/>
            <w:vAlign w:val="center"/>
          </w:tcPr>
          <w:p>
            <w:pPr>
              <w:pStyle w:val="13"/>
            </w:pPr>
            <w:r>
              <w:t>参保群众政策知晓率</w:t>
            </w:r>
          </w:p>
        </w:tc>
        <w:tc>
          <w:tcPr>
            <w:tcW w:w="2268" w:type="dxa"/>
            <w:vAlign w:val="center"/>
          </w:tcPr>
          <w:p>
            <w:pPr>
              <w:pStyle w:val="13"/>
            </w:pPr>
            <w:r>
              <w:t>≥90%</w:t>
            </w:r>
          </w:p>
        </w:tc>
        <w:tc>
          <w:tcPr>
            <w:tcW w:w="1276" w:type="dxa"/>
            <w:vAlign w:val="center"/>
          </w:tcPr>
          <w:p>
            <w:pPr>
              <w:pStyle w:val="13"/>
            </w:pPr>
            <w:r>
              <w:t>冀财社[2025]128号文件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参保群众满意度</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4、医疗保险专项经费绩效目标表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13018326P00032810271K</w:t>
            </w:r>
          </w:p>
        </w:tc>
        <w:tc>
          <w:tcPr>
            <w:tcW w:w="2835" w:type="dxa"/>
            <w:vAlign w:val="center"/>
          </w:tcPr>
          <w:p>
            <w:pPr>
              <w:pStyle w:val="11"/>
            </w:pPr>
            <w:r>
              <w:t>项目名称</w:t>
            </w:r>
          </w:p>
        </w:tc>
        <w:tc>
          <w:tcPr>
            <w:tcW w:w="6095" w:type="dxa"/>
            <w:gridSpan w:val="3"/>
            <w:vAlign w:val="center"/>
          </w:tcPr>
          <w:p>
            <w:pPr>
              <w:pStyle w:val="13"/>
            </w:pPr>
            <w:r>
              <w:t>医疗保险专项经费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进一步加强规范管理，推动医保服务提质增效，保障医保经办管理工作有序开展。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1.有效提升综合监管、宣传引导、信息化建设服务、为人民群众提供基本医疗保障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信息化建设系统完成率</w:t>
            </w:r>
          </w:p>
        </w:tc>
        <w:tc>
          <w:tcPr>
            <w:tcW w:w="5386" w:type="dxa"/>
            <w:vAlign w:val="center"/>
          </w:tcPr>
          <w:p>
            <w:pPr>
              <w:pStyle w:val="13"/>
            </w:pPr>
            <w:r>
              <w:t>信息化建设系统完成率（%）</w:t>
            </w:r>
          </w:p>
        </w:tc>
        <w:tc>
          <w:tcPr>
            <w:tcW w:w="2268" w:type="dxa"/>
            <w:vAlign w:val="center"/>
          </w:tcPr>
          <w:p>
            <w:pPr>
              <w:pStyle w:val="13"/>
            </w:pPr>
            <w:r>
              <w:t>100%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医疗保障待遇享受人数占应享受人数的比率</w:t>
            </w:r>
          </w:p>
        </w:tc>
        <w:tc>
          <w:tcPr>
            <w:tcW w:w="5386" w:type="dxa"/>
            <w:vAlign w:val="center"/>
          </w:tcPr>
          <w:p>
            <w:pPr>
              <w:pStyle w:val="13"/>
            </w:pPr>
            <w:r>
              <w:t>医疗保障待遇享受人数占应享受人数的比率（%）</w:t>
            </w:r>
          </w:p>
        </w:tc>
        <w:tc>
          <w:tcPr>
            <w:tcW w:w="2268" w:type="dxa"/>
            <w:vAlign w:val="center"/>
          </w:tcPr>
          <w:p>
            <w:pPr>
              <w:pStyle w:val="13"/>
            </w:pPr>
            <w:r>
              <w:t>100%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100%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预算资金控制数</w:t>
            </w:r>
          </w:p>
        </w:tc>
        <w:tc>
          <w:tcPr>
            <w:tcW w:w="5386" w:type="dxa"/>
            <w:vAlign w:val="center"/>
          </w:tcPr>
          <w:p>
            <w:pPr>
              <w:pStyle w:val="13"/>
            </w:pPr>
            <w:r>
              <w:t>预算资金控制数</w:t>
            </w:r>
          </w:p>
        </w:tc>
        <w:tc>
          <w:tcPr>
            <w:tcW w:w="2268" w:type="dxa"/>
            <w:vAlign w:val="center"/>
          </w:tcPr>
          <w:p>
            <w:pPr>
              <w:pStyle w:val="13"/>
            </w:pPr>
            <w:r>
              <w:t>10万元</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持续提升工作效率</w:t>
            </w:r>
          </w:p>
        </w:tc>
        <w:tc>
          <w:tcPr>
            <w:tcW w:w="5386" w:type="dxa"/>
            <w:vAlign w:val="center"/>
          </w:tcPr>
          <w:p>
            <w:pPr>
              <w:pStyle w:val="13"/>
            </w:pPr>
            <w:r>
              <w:t>持续提升工作效率</w:t>
            </w:r>
          </w:p>
        </w:tc>
        <w:tc>
          <w:tcPr>
            <w:tcW w:w="2268" w:type="dxa"/>
            <w:vAlign w:val="center"/>
          </w:tcPr>
          <w:p>
            <w:pPr>
              <w:pStyle w:val="13"/>
            </w:pPr>
            <w:r>
              <w:t>≥90%</w:t>
            </w:r>
          </w:p>
        </w:tc>
        <w:tc>
          <w:tcPr>
            <w:tcW w:w="1276" w:type="dxa"/>
            <w:vAlign w:val="center"/>
          </w:tcPr>
          <w:p>
            <w:pPr>
              <w:pStyle w:val="13"/>
            </w:pPr>
            <w:r>
              <w:t>医保局制定考核方案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医保局制定考核方案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5、城乡居民基本医疗保险绩效目标表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13018326P000192100061</w:t>
            </w:r>
          </w:p>
        </w:tc>
        <w:tc>
          <w:tcPr>
            <w:tcW w:w="2835" w:type="dxa"/>
            <w:vAlign w:val="center"/>
          </w:tcPr>
          <w:p>
            <w:pPr>
              <w:pStyle w:val="11"/>
            </w:pPr>
            <w:r>
              <w:t>项目名称</w:t>
            </w:r>
          </w:p>
        </w:tc>
        <w:tc>
          <w:tcPr>
            <w:tcW w:w="6095" w:type="dxa"/>
            <w:gridSpan w:val="3"/>
            <w:vAlign w:val="center"/>
          </w:tcPr>
          <w:p>
            <w:pPr>
              <w:pStyle w:val="13"/>
            </w:pPr>
            <w:r>
              <w:t>城乡居民基本医疗保险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6614.74</w:t>
            </w:r>
          </w:p>
        </w:tc>
        <w:tc>
          <w:tcPr>
            <w:tcW w:w="2835" w:type="dxa"/>
            <w:vAlign w:val="center"/>
          </w:tcPr>
          <w:p>
            <w:pPr>
              <w:pStyle w:val="11"/>
            </w:pPr>
            <w:r>
              <w:t>其中：财政    资金</w:t>
            </w:r>
          </w:p>
        </w:tc>
        <w:tc>
          <w:tcPr>
            <w:tcW w:w="2551" w:type="dxa"/>
            <w:vAlign w:val="center"/>
          </w:tcPr>
          <w:p>
            <w:pPr>
              <w:pStyle w:val="13"/>
            </w:pPr>
            <w:r>
              <w:t>6614.74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本级财政对医疗保险的补助资金主要用于对城乡居民的医疗保险报销。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1.参保群众及时得到补偿款，防止参保群众因病返贫。</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城乡居民参保人数</w:t>
            </w:r>
          </w:p>
        </w:tc>
        <w:tc>
          <w:tcPr>
            <w:tcW w:w="5386" w:type="dxa"/>
            <w:vAlign w:val="center"/>
          </w:tcPr>
          <w:p>
            <w:pPr>
              <w:pStyle w:val="13"/>
            </w:pPr>
            <w:r>
              <w:t>城乡居民参加基本医疗保险的人数</w:t>
            </w:r>
          </w:p>
        </w:tc>
        <w:tc>
          <w:tcPr>
            <w:tcW w:w="2268" w:type="dxa"/>
            <w:vAlign w:val="center"/>
          </w:tcPr>
          <w:p>
            <w:pPr>
              <w:pStyle w:val="13"/>
            </w:pPr>
            <w:r>
              <w:t>≥453064人</w:t>
            </w:r>
          </w:p>
        </w:tc>
        <w:tc>
          <w:tcPr>
            <w:tcW w:w="1276" w:type="dxa"/>
            <w:vAlign w:val="center"/>
          </w:tcPr>
          <w:p>
            <w:pPr>
              <w:pStyle w:val="13"/>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医疗保险报销结算率</w:t>
            </w:r>
          </w:p>
        </w:tc>
        <w:tc>
          <w:tcPr>
            <w:tcW w:w="5386" w:type="dxa"/>
            <w:vAlign w:val="center"/>
          </w:tcPr>
          <w:p>
            <w:pPr>
              <w:pStyle w:val="13"/>
            </w:pPr>
            <w:r>
              <w:t>医疗保险报销结算占应报销结算的比率</w:t>
            </w:r>
          </w:p>
        </w:tc>
        <w:tc>
          <w:tcPr>
            <w:tcW w:w="2268" w:type="dxa"/>
            <w:vAlign w:val="center"/>
          </w:tcPr>
          <w:p>
            <w:pPr>
              <w:pStyle w:val="13"/>
            </w:pPr>
            <w:r>
              <w:t>≥95%</w:t>
            </w:r>
          </w:p>
        </w:tc>
        <w:tc>
          <w:tcPr>
            <w:tcW w:w="1276" w:type="dxa"/>
            <w:vAlign w:val="center"/>
          </w:tcPr>
          <w:p>
            <w:pPr>
              <w:pStyle w:val="13"/>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医保报销及时率</w:t>
            </w:r>
          </w:p>
        </w:tc>
        <w:tc>
          <w:tcPr>
            <w:tcW w:w="5386" w:type="dxa"/>
            <w:vAlign w:val="center"/>
          </w:tcPr>
          <w:p>
            <w:pPr>
              <w:pStyle w:val="13"/>
            </w:pPr>
            <w:r>
              <w:t>医保基金及时拨付效率</w:t>
            </w:r>
          </w:p>
        </w:tc>
        <w:tc>
          <w:tcPr>
            <w:tcW w:w="2268" w:type="dxa"/>
            <w:vAlign w:val="center"/>
          </w:tcPr>
          <w:p>
            <w:pPr>
              <w:pStyle w:val="13"/>
            </w:pPr>
            <w:r>
              <w:t>≥95%</w:t>
            </w:r>
          </w:p>
        </w:tc>
        <w:tc>
          <w:tcPr>
            <w:tcW w:w="1276" w:type="dxa"/>
            <w:vAlign w:val="center"/>
          </w:tcPr>
          <w:p>
            <w:pPr>
              <w:pStyle w:val="13"/>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补助资金申请总额</w:t>
            </w:r>
          </w:p>
        </w:tc>
        <w:tc>
          <w:tcPr>
            <w:tcW w:w="5386" w:type="dxa"/>
            <w:vAlign w:val="center"/>
          </w:tcPr>
          <w:p>
            <w:pPr>
              <w:pStyle w:val="13"/>
            </w:pPr>
            <w:r>
              <w:t>项目补助资金申请总额</w:t>
            </w:r>
          </w:p>
        </w:tc>
        <w:tc>
          <w:tcPr>
            <w:tcW w:w="2268" w:type="dxa"/>
            <w:vAlign w:val="center"/>
          </w:tcPr>
          <w:p>
            <w:pPr>
              <w:pStyle w:val="13"/>
            </w:pPr>
            <w:r>
              <w:t>6614.74万元</w:t>
            </w:r>
          </w:p>
        </w:tc>
        <w:tc>
          <w:tcPr>
            <w:tcW w:w="1276" w:type="dxa"/>
            <w:vAlign w:val="center"/>
          </w:tcPr>
          <w:p>
            <w:pPr>
              <w:pStyle w:val="13"/>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提高医疗资源利用效率</w:t>
            </w:r>
          </w:p>
        </w:tc>
        <w:tc>
          <w:tcPr>
            <w:tcW w:w="5386" w:type="dxa"/>
            <w:vAlign w:val="center"/>
          </w:tcPr>
          <w:p>
            <w:pPr>
              <w:pStyle w:val="13"/>
            </w:pPr>
            <w:r>
              <w:t>优化医疗资源配置，较去年进一步提高资源利用效率</w:t>
            </w:r>
          </w:p>
        </w:tc>
        <w:tc>
          <w:tcPr>
            <w:tcW w:w="2268" w:type="dxa"/>
            <w:vAlign w:val="center"/>
          </w:tcPr>
          <w:p>
            <w:pPr>
              <w:pStyle w:val="13"/>
            </w:pPr>
            <w:r>
              <w:t>成效明显</w:t>
            </w:r>
          </w:p>
        </w:tc>
        <w:tc>
          <w:tcPr>
            <w:tcW w:w="1276" w:type="dxa"/>
            <w:vAlign w:val="center"/>
          </w:tcPr>
          <w:p>
            <w:pPr>
              <w:pStyle w:val="13"/>
            </w:pPr>
            <w:r>
              <w:t xml:space="preserve">石财社【2025】45号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参保群众满意度</w:t>
            </w:r>
          </w:p>
        </w:tc>
        <w:tc>
          <w:tcPr>
            <w:tcW w:w="5386" w:type="dxa"/>
            <w:vAlign w:val="center"/>
          </w:tcPr>
          <w:p>
            <w:pPr>
              <w:pStyle w:val="13"/>
            </w:pPr>
            <w:r>
              <w:t>对医保政策满意和较满意的人数占调查人数的比率</w:t>
            </w:r>
          </w:p>
        </w:tc>
        <w:tc>
          <w:tcPr>
            <w:tcW w:w="2268" w:type="dxa"/>
            <w:vAlign w:val="center"/>
          </w:tcPr>
          <w:p>
            <w:pPr>
              <w:pStyle w:val="13"/>
            </w:pPr>
            <w:r>
              <w:t>≥95%</w:t>
            </w:r>
          </w:p>
        </w:tc>
        <w:tc>
          <w:tcPr>
            <w:tcW w:w="1276" w:type="dxa"/>
            <w:vAlign w:val="center"/>
          </w:tcPr>
          <w:p>
            <w:pPr>
              <w:pStyle w:val="13"/>
            </w:pPr>
            <w:r>
              <w:t xml:space="preserve">石财社【2025】45号 </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450晋州市医疗保障局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3.79</w:t>
            </w:r>
          </w:p>
        </w:tc>
        <w:tc>
          <w:tcPr>
            <w:tcW w:w="964" w:type="dxa"/>
            <w:vAlign w:val="center"/>
          </w:tcPr>
          <w:p>
            <w:pPr>
              <w:pStyle w:val="16"/>
            </w:pPr>
            <w:r>
              <w:t>3.79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晋州市医疗保障局本级小计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0.75</w:t>
            </w:r>
          </w:p>
        </w:tc>
        <w:tc>
          <w:tcPr>
            <w:tcW w:w="964" w:type="dxa"/>
            <w:vAlign w:val="center"/>
          </w:tcPr>
          <w:p>
            <w:pPr>
              <w:pStyle w:val="16"/>
            </w:pPr>
            <w:r>
              <w:t>0.75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0.75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20</w:t>
            </w:r>
          </w:p>
        </w:tc>
        <w:tc>
          <w:tcPr>
            <w:tcW w:w="850" w:type="dxa"/>
            <w:vAlign w:val="center"/>
          </w:tcPr>
          <w:p>
            <w:pPr>
              <w:pStyle w:val="12"/>
            </w:pPr>
            <w:r>
              <w:t>0.02</w:t>
            </w:r>
          </w:p>
        </w:tc>
        <w:tc>
          <w:tcPr>
            <w:tcW w:w="964" w:type="dxa"/>
            <w:vAlign w:val="center"/>
          </w:tcPr>
          <w:p>
            <w:pPr>
              <w:pStyle w:val="12"/>
            </w:pPr>
            <w:r>
              <w:t>0.32</w:t>
            </w:r>
          </w:p>
        </w:tc>
        <w:tc>
          <w:tcPr>
            <w:tcW w:w="964" w:type="dxa"/>
            <w:vAlign w:val="center"/>
          </w:tcPr>
          <w:p>
            <w:pPr>
              <w:pStyle w:val="12"/>
            </w:pPr>
            <w:r>
              <w:t>0.32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30</w:t>
            </w:r>
          </w:p>
        </w:tc>
        <w:tc>
          <w:tcPr>
            <w:tcW w:w="850" w:type="dxa"/>
            <w:vAlign w:val="center"/>
          </w:tcPr>
          <w:p>
            <w:pPr>
              <w:pStyle w:val="12"/>
            </w:pPr>
            <w:r>
              <w:t>0.01</w:t>
            </w:r>
          </w:p>
        </w:tc>
        <w:tc>
          <w:tcPr>
            <w:tcW w:w="964" w:type="dxa"/>
            <w:vAlign w:val="center"/>
          </w:tcPr>
          <w:p>
            <w:pPr>
              <w:pStyle w:val="12"/>
            </w:pPr>
            <w:r>
              <w:t>0.24</w:t>
            </w:r>
          </w:p>
        </w:tc>
        <w:tc>
          <w:tcPr>
            <w:tcW w:w="964" w:type="dxa"/>
            <w:vAlign w:val="center"/>
          </w:tcPr>
          <w:p>
            <w:pPr>
              <w:pStyle w:val="12"/>
            </w:pPr>
            <w:r>
              <w:t>0.24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5</w:t>
            </w:r>
          </w:p>
        </w:tc>
        <w:tc>
          <w:tcPr>
            <w:tcW w:w="850" w:type="dxa"/>
            <w:vAlign w:val="center"/>
          </w:tcPr>
          <w:p>
            <w:pPr>
              <w:pStyle w:val="12"/>
            </w:pPr>
            <w:r>
              <w:t>0.04</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晋州市医疗保险中心小计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3.04</w:t>
            </w:r>
          </w:p>
        </w:tc>
        <w:tc>
          <w:tcPr>
            <w:tcW w:w="964" w:type="dxa"/>
            <w:vAlign w:val="center"/>
          </w:tcPr>
          <w:p>
            <w:pPr>
              <w:pStyle w:val="16"/>
            </w:pPr>
            <w:r>
              <w:t>3.04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70</w:t>
            </w:r>
          </w:p>
        </w:tc>
        <w:tc>
          <w:tcPr>
            <w:tcW w:w="850" w:type="dxa"/>
            <w:vAlign w:val="center"/>
          </w:tcPr>
          <w:p>
            <w:pPr>
              <w:pStyle w:val="12"/>
            </w:pPr>
            <w:r>
              <w:t>0.02</w:t>
            </w:r>
          </w:p>
        </w:tc>
        <w:tc>
          <w:tcPr>
            <w:tcW w:w="964" w:type="dxa"/>
            <w:vAlign w:val="center"/>
          </w:tcPr>
          <w:p>
            <w:pPr>
              <w:pStyle w:val="12"/>
            </w:pPr>
            <w:r>
              <w:t>1.26</w:t>
            </w:r>
          </w:p>
        </w:tc>
        <w:tc>
          <w:tcPr>
            <w:tcW w:w="964" w:type="dxa"/>
            <w:vAlign w:val="center"/>
          </w:tcPr>
          <w:p>
            <w:pPr>
              <w:pStyle w:val="12"/>
            </w:pPr>
            <w:r>
              <w:t>1.26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9.93</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0.02</w:t>
            </w:r>
          </w:p>
        </w:tc>
        <w:tc>
          <w:tcPr>
            <w:tcW w:w="964" w:type="dxa"/>
            <w:vAlign w:val="center"/>
          </w:tcPr>
          <w:p>
            <w:pPr>
              <w:pStyle w:val="12"/>
            </w:pPr>
            <w:r>
              <w:t>0.19</w:t>
            </w:r>
          </w:p>
        </w:tc>
        <w:tc>
          <w:tcPr>
            <w:tcW w:w="964" w:type="dxa"/>
            <w:vAlign w:val="center"/>
          </w:tcPr>
          <w:p>
            <w:pPr>
              <w:pStyle w:val="12"/>
            </w:pPr>
            <w:r>
              <w:t>0.19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9.93</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0.04</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9.93</w:t>
            </w:r>
          </w:p>
        </w:tc>
        <w:tc>
          <w:tcPr>
            <w:tcW w:w="1134" w:type="dxa"/>
            <w:vAlign w:val="center"/>
          </w:tcPr>
          <w:p>
            <w:pPr>
              <w:pStyle w:val="13"/>
            </w:pPr>
            <w:r>
              <w:t>鼓粉盒</w:t>
            </w:r>
          </w:p>
        </w:tc>
        <w:tc>
          <w:tcPr>
            <w:tcW w:w="1134" w:type="dxa"/>
            <w:vAlign w:val="center"/>
          </w:tcPr>
          <w:p>
            <w:pPr>
              <w:pStyle w:val="13"/>
            </w:pPr>
            <w:r>
              <w:t>A05040201</w:t>
            </w:r>
          </w:p>
        </w:tc>
        <w:tc>
          <w:tcPr>
            <w:tcW w:w="709" w:type="dxa"/>
            <w:vAlign w:val="center"/>
          </w:tcPr>
          <w:p>
            <w:pPr>
              <w:pStyle w:val="14"/>
            </w:pPr>
            <w:r>
              <w:t>个</w:t>
            </w:r>
          </w:p>
        </w:tc>
        <w:tc>
          <w:tcPr>
            <w:tcW w:w="850" w:type="dxa"/>
            <w:vAlign w:val="center"/>
          </w:tcPr>
          <w:p>
            <w:pPr>
              <w:pStyle w:val="12"/>
            </w:pPr>
            <w:r>
              <w:t>10</w:t>
            </w:r>
          </w:p>
        </w:tc>
        <w:tc>
          <w:tcPr>
            <w:tcW w:w="850" w:type="dxa"/>
            <w:vAlign w:val="center"/>
          </w:tcPr>
          <w:p>
            <w:pPr>
              <w:pStyle w:val="12"/>
            </w:pPr>
            <w:r>
              <w:t>0.03</w:t>
            </w:r>
          </w:p>
        </w:tc>
        <w:tc>
          <w:tcPr>
            <w:tcW w:w="964" w:type="dxa"/>
            <w:vAlign w:val="center"/>
          </w:tcPr>
          <w:p>
            <w:pPr>
              <w:pStyle w:val="12"/>
            </w:pPr>
            <w:r>
              <w:t>0.28</w:t>
            </w:r>
          </w:p>
        </w:tc>
        <w:tc>
          <w:tcPr>
            <w:tcW w:w="964" w:type="dxa"/>
            <w:vAlign w:val="center"/>
          </w:tcPr>
          <w:p>
            <w:pPr>
              <w:pStyle w:val="12"/>
            </w:pPr>
            <w:r>
              <w:t>0.28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9.93</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60</w:t>
            </w:r>
          </w:p>
        </w:tc>
        <w:tc>
          <w:tcPr>
            <w:tcW w:w="850" w:type="dxa"/>
            <w:vAlign w:val="center"/>
          </w:tcPr>
          <w:p>
            <w:pPr>
              <w:pStyle w:val="12"/>
            </w:pPr>
            <w:r>
              <w:t>0.02</w:t>
            </w:r>
          </w:p>
        </w:tc>
        <w:tc>
          <w:tcPr>
            <w:tcW w:w="964" w:type="dxa"/>
            <w:vAlign w:val="center"/>
          </w:tcPr>
          <w:p>
            <w:pPr>
              <w:pStyle w:val="12"/>
            </w:pPr>
            <w:r>
              <w:t>0.96</w:t>
            </w:r>
          </w:p>
        </w:tc>
        <w:tc>
          <w:tcPr>
            <w:tcW w:w="964" w:type="dxa"/>
            <w:vAlign w:val="center"/>
          </w:tcPr>
          <w:p>
            <w:pPr>
              <w:pStyle w:val="12"/>
            </w:pPr>
            <w:r>
              <w:t>0.96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0.96</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晋州市医疗保障局（含所属单位）上年末固定资产金额为180.66万元（详见下表）。本年度拟购置固定资产总额为0.00万元，已按要求列入政府采购预算，详见政府采购预算表。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450晋州市医疗保障局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180.66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4</w:t>
            </w:r>
          </w:p>
        </w:tc>
        <w:tc>
          <w:tcPr>
            <w:tcW w:w="2835" w:type="dxa"/>
            <w:vAlign w:val="center"/>
          </w:tcPr>
          <w:p>
            <w:pPr>
              <w:pStyle w:val="12"/>
            </w:pPr>
            <w:r>
              <w:t>47.76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548</w:t>
            </w:r>
          </w:p>
        </w:tc>
        <w:tc>
          <w:tcPr>
            <w:tcW w:w="2835" w:type="dxa"/>
            <w:vAlign w:val="center"/>
          </w:tcPr>
          <w:p>
            <w:pPr>
              <w:pStyle w:val="12"/>
            </w:pPr>
            <w:r>
              <w:t>132.90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4D9A465"/>
    <w:multiLevelType w:val="singleLevel"/>
    <w:tmpl w:val="A4D9A465"/>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7F742D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33</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2026-03-02T09:48:00Z</dcterms:created>
  <dc:creator>Administrator</dc:creator>
  <cp:lastModifiedBy>Administrator</cp:lastModifiedBy>
  <dcterms:modified xsi:type="dcterms:W3CDTF">2026-03-02T03:37:42Z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