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一、晋州市公安局交通管理大队本级收支预算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一、晋州市公安局交通管理大队本级收支预算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2469.09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2487.39</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2469.09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2487.39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18.30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2487.39</w:t>
            </w:r>
          </w:p>
        </w:tc>
        <w:tc>
          <w:tcPr>
            <w:tcW w:w="4535" w:type="dxa"/>
            <w:vAlign w:val="center"/>
          </w:tcPr>
          <w:p>
            <w:pPr>
              <w:pStyle w:val="单元格样式6"/>
            </w:pPr>
            <w:r>
              <w:t xml:space="preserve">支出总计</w:t>
            </w:r>
          </w:p>
        </w:tc>
        <w:tc>
          <w:tcPr>
            <w:tcW w:w="2126" w:type="dxa"/>
            <w:vAlign w:val="center"/>
          </w:tcPr>
          <w:p>
            <w:pPr>
              <w:pStyle w:val="单元格样式7"/>
            </w:pPr>
            <w:r>
              <w:t xml:space="preserve">2487.39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2487.39</w:t>
            </w:r>
          </w:p>
        </w:tc>
        <w:tc>
          <w:tcPr>
            <w:tcW w:w="1134" w:type="dxa"/>
            <w:vAlign w:val="center"/>
          </w:tcPr>
          <w:p>
            <w:pPr>
              <w:pStyle w:val="单元格样式7"/>
            </w:pPr>
            <w:r>
              <w:t xml:space="preserve">2469.09</w:t>
            </w:r>
          </w:p>
        </w:tc>
        <w:tc>
          <w:tcPr>
            <w:tcW w:w="1134" w:type="dxa"/>
            <w:vAlign w:val="center"/>
          </w:tcPr>
          <w:p>
            <w:pPr>
              <w:pStyle w:val="单元格样式7"/>
            </w:pPr>
            <w:r>
              <w:t xml:space="preserve">2469.09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18.30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2487.39</w:t>
            </w:r>
          </w:p>
        </w:tc>
        <w:tc>
          <w:tcPr>
            <w:tcW w:w="1134" w:type="dxa"/>
            <w:vAlign w:val="center"/>
          </w:tcPr>
          <w:p>
            <w:pPr>
              <w:pStyle w:val="单元格样式4"/>
            </w:pPr>
            <w:r>
              <w:t xml:space="preserve">2469.09</w:t>
            </w:r>
          </w:p>
        </w:tc>
        <w:tc>
          <w:tcPr>
            <w:tcW w:w="1134" w:type="dxa"/>
            <w:vAlign w:val="center"/>
          </w:tcPr>
          <w:p>
            <w:pPr>
              <w:pStyle w:val="单元格样式4"/>
            </w:pPr>
            <w:r>
              <w:t xml:space="preserve">2469.09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18.30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20402</w:t>
            </w:r>
          </w:p>
        </w:tc>
        <w:tc>
          <w:tcPr>
            <w:tcW w:w="1559" w:type="dxa"/>
            <w:vAlign w:val="center"/>
          </w:tcPr>
          <w:p>
            <w:pPr>
              <w:pStyle w:val="单元格样式2"/>
            </w:pPr>
            <w:r>
              <w:t xml:space="preserve">公安</w:t>
            </w:r>
          </w:p>
        </w:tc>
        <w:tc>
          <w:tcPr>
            <w:tcW w:w="1134" w:type="dxa"/>
            <w:vAlign w:val="center"/>
          </w:tcPr>
          <w:p>
            <w:pPr>
              <w:pStyle w:val="单元格样式4"/>
            </w:pPr>
            <w:r>
              <w:t xml:space="preserve">2487.39</w:t>
            </w:r>
          </w:p>
        </w:tc>
        <w:tc>
          <w:tcPr>
            <w:tcW w:w="1134" w:type="dxa"/>
            <w:vAlign w:val="center"/>
          </w:tcPr>
          <w:p>
            <w:pPr>
              <w:pStyle w:val="单元格样式4"/>
            </w:pPr>
            <w:r>
              <w:t xml:space="preserve">2469.09</w:t>
            </w:r>
          </w:p>
        </w:tc>
        <w:tc>
          <w:tcPr>
            <w:tcW w:w="1134" w:type="dxa"/>
            <w:vAlign w:val="center"/>
          </w:tcPr>
          <w:p>
            <w:pPr>
              <w:pStyle w:val="单元格样式4"/>
            </w:pPr>
            <w:r>
              <w:t xml:space="preserve">2469.09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18.30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2040220</w:t>
            </w:r>
          </w:p>
        </w:tc>
        <w:tc>
          <w:tcPr>
            <w:tcW w:w="1559" w:type="dxa"/>
            <w:vAlign w:val="center"/>
          </w:tcPr>
          <w:p>
            <w:pPr>
              <w:pStyle w:val="单元格样式2"/>
            </w:pPr>
            <w:r>
              <w:t xml:space="preserve">执法办案</w:t>
            </w:r>
          </w:p>
        </w:tc>
        <w:tc>
          <w:tcPr>
            <w:tcW w:w="1134" w:type="dxa"/>
            <w:vAlign w:val="center"/>
          </w:tcPr>
          <w:p>
            <w:pPr>
              <w:pStyle w:val="单元格样式4"/>
            </w:pPr>
            <w:r>
              <w:t xml:space="preserve">2487.39</w:t>
            </w:r>
          </w:p>
        </w:tc>
        <w:tc>
          <w:tcPr>
            <w:tcW w:w="1134" w:type="dxa"/>
            <w:vAlign w:val="center"/>
          </w:tcPr>
          <w:p>
            <w:pPr>
              <w:pStyle w:val="单元格样式4"/>
            </w:pPr>
            <w:r>
              <w:t xml:space="preserve">2469.09</w:t>
            </w:r>
          </w:p>
        </w:tc>
        <w:tc>
          <w:tcPr>
            <w:tcW w:w="1134" w:type="dxa"/>
            <w:vAlign w:val="center"/>
          </w:tcPr>
          <w:p>
            <w:pPr>
              <w:pStyle w:val="单元格样式4"/>
            </w:pPr>
            <w:r>
              <w:t xml:space="preserve">2469.09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18.30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2487.39</w:t>
            </w:r>
          </w:p>
        </w:tc>
        <w:tc>
          <w:tcPr>
            <w:tcW w:w="1361" w:type="dxa"/>
            <w:vAlign w:val="center"/>
          </w:tcPr>
          <w:p>
            <w:pPr>
              <w:pStyle w:val="单元格样式7"/>
            </w:pPr>
            <w:r>
              <w:t xml:space="preserve">68.65</w:t>
            </w:r>
          </w:p>
        </w:tc>
        <w:tc>
          <w:tcPr>
            <w:tcW w:w="1361" w:type="dxa"/>
            <w:vAlign w:val="center"/>
          </w:tcPr>
          <w:p>
            <w:pPr>
              <w:pStyle w:val="单元格样式7"/>
            </w:pPr>
            <w:r>
              <w:t xml:space="preserve">2418.74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2487.39</w:t>
            </w:r>
          </w:p>
        </w:tc>
        <w:tc>
          <w:tcPr>
            <w:tcW w:w="1361" w:type="dxa"/>
            <w:vAlign w:val="center"/>
          </w:tcPr>
          <w:p>
            <w:pPr>
              <w:pStyle w:val="单元格样式4"/>
            </w:pPr>
            <w:r>
              <w:t xml:space="preserve">68.65</w:t>
            </w:r>
          </w:p>
        </w:tc>
        <w:tc>
          <w:tcPr>
            <w:tcW w:w="1361" w:type="dxa"/>
            <w:vAlign w:val="center"/>
          </w:tcPr>
          <w:p>
            <w:pPr>
              <w:pStyle w:val="单元格样式4"/>
            </w:pPr>
            <w:r>
              <w:t xml:space="preserve">2418.74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20402</w:t>
            </w:r>
          </w:p>
        </w:tc>
        <w:tc>
          <w:tcPr>
            <w:tcW w:w="4535" w:type="dxa"/>
            <w:vAlign w:val="center"/>
          </w:tcPr>
          <w:p>
            <w:pPr>
              <w:pStyle w:val="单元格样式2"/>
            </w:pPr>
            <w:r>
              <w:t xml:space="preserve">公安</w:t>
            </w:r>
          </w:p>
        </w:tc>
        <w:tc>
          <w:tcPr>
            <w:tcW w:w="1361" w:type="dxa"/>
            <w:vAlign w:val="center"/>
          </w:tcPr>
          <w:p>
            <w:pPr>
              <w:pStyle w:val="单元格样式4"/>
            </w:pPr>
            <w:r>
              <w:t xml:space="preserve">2487.39</w:t>
            </w:r>
          </w:p>
        </w:tc>
        <w:tc>
          <w:tcPr>
            <w:tcW w:w="1361" w:type="dxa"/>
            <w:vAlign w:val="center"/>
          </w:tcPr>
          <w:p>
            <w:pPr>
              <w:pStyle w:val="单元格样式4"/>
            </w:pPr>
            <w:r>
              <w:t xml:space="preserve">68.65</w:t>
            </w:r>
          </w:p>
        </w:tc>
        <w:tc>
          <w:tcPr>
            <w:tcW w:w="1361" w:type="dxa"/>
            <w:vAlign w:val="center"/>
          </w:tcPr>
          <w:p>
            <w:pPr>
              <w:pStyle w:val="单元格样式4"/>
            </w:pPr>
            <w:r>
              <w:t xml:space="preserve">2418.74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1361" w:type="dxa"/>
            <w:vAlign w:val="center"/>
          </w:tcPr>
          <w:p>
            <w:pPr>
              <w:pStyle w:val="单元格样式4"/>
            </w:pPr>
            <w:r>
              <w:t xml:space="preserve">2487.39</w:t>
            </w:r>
          </w:p>
        </w:tc>
        <w:tc>
          <w:tcPr>
            <w:tcW w:w="1361" w:type="dxa"/>
            <w:vAlign w:val="center"/>
          </w:tcPr>
          <w:p>
            <w:pPr>
              <w:pStyle w:val="单元格样式4"/>
            </w:pPr>
            <w:r>
              <w:t xml:space="preserve">68.65</w:t>
            </w:r>
          </w:p>
        </w:tc>
        <w:tc>
          <w:tcPr>
            <w:tcW w:w="1361" w:type="dxa"/>
            <w:vAlign w:val="center"/>
          </w:tcPr>
          <w:p>
            <w:pPr>
              <w:pStyle w:val="单元格样式4"/>
            </w:pPr>
            <w:r>
              <w:t xml:space="preserve">2418.74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2469.09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2487.39</w:t>
            </w:r>
          </w:p>
        </w:tc>
        <w:tc>
          <w:tcPr>
            <w:tcW w:w="1474" w:type="dxa"/>
            <w:vAlign w:val="center"/>
          </w:tcPr>
          <w:p>
            <w:pPr>
              <w:pStyle w:val="单元格样式4"/>
            </w:pPr>
            <w:r>
              <w:t xml:space="preserve">2487.39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2469.09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2487.39</w:t>
            </w:r>
          </w:p>
        </w:tc>
        <w:tc>
          <w:tcPr>
            <w:tcW w:w="1474" w:type="dxa"/>
            <w:vAlign w:val="center"/>
          </w:tcPr>
          <w:p>
            <w:pPr>
              <w:pStyle w:val="单元格样式7"/>
            </w:pPr>
            <w:r>
              <w:t xml:space="preserve">2487.39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18.30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18.30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2487.39</w:t>
            </w:r>
          </w:p>
        </w:tc>
        <w:tc>
          <w:tcPr>
            <w:tcW w:w="3402" w:type="dxa"/>
            <w:vAlign w:val="center"/>
          </w:tcPr>
          <w:p>
            <w:pPr>
              <w:pStyle w:val="单元格样式6"/>
            </w:pPr>
            <w:r>
              <w:t xml:space="preserve">支出总计</w:t>
            </w:r>
          </w:p>
        </w:tc>
        <w:tc>
          <w:tcPr>
            <w:tcW w:w="1474" w:type="dxa"/>
            <w:vAlign w:val="center"/>
          </w:tcPr>
          <w:p>
            <w:pPr>
              <w:pStyle w:val="单元格样式7"/>
            </w:pPr>
            <w:r>
              <w:t xml:space="preserve">2487.39</w:t>
            </w:r>
          </w:p>
        </w:tc>
        <w:tc>
          <w:tcPr>
            <w:tcW w:w="1474" w:type="dxa"/>
            <w:vAlign w:val="center"/>
          </w:tcPr>
          <w:p>
            <w:pPr>
              <w:pStyle w:val="单元格样式7"/>
            </w:pPr>
            <w:r>
              <w:t xml:space="preserve">2487.39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2487.39</w:t>
            </w:r>
          </w:p>
        </w:tc>
        <w:tc>
          <w:tcPr>
            <w:tcW w:w="2551" w:type="dxa"/>
            <w:vAlign w:val="center"/>
          </w:tcPr>
          <w:p>
            <w:pPr>
              <w:pStyle w:val="单元格样式7"/>
            </w:pPr>
            <w:r>
              <w:t xml:space="preserve">68.65</w:t>
            </w:r>
          </w:p>
        </w:tc>
        <w:tc>
          <w:tcPr>
            <w:tcW w:w="2551" w:type="dxa"/>
            <w:vAlign w:val="center"/>
          </w:tcPr>
          <w:p>
            <w:pPr>
              <w:pStyle w:val="单元格样式7"/>
            </w:pPr>
            <w:r>
              <w:t xml:space="preserve">2418.74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2487.39</w:t>
            </w:r>
          </w:p>
        </w:tc>
        <w:tc>
          <w:tcPr>
            <w:tcW w:w="2551" w:type="dxa"/>
            <w:vAlign w:val="center"/>
          </w:tcPr>
          <w:p>
            <w:pPr>
              <w:pStyle w:val="单元格样式4"/>
            </w:pPr>
            <w:r>
              <w:t xml:space="preserve">68.65</w:t>
            </w:r>
          </w:p>
        </w:tc>
        <w:tc>
          <w:tcPr>
            <w:tcW w:w="2551" w:type="dxa"/>
            <w:vAlign w:val="center"/>
          </w:tcPr>
          <w:p>
            <w:pPr>
              <w:pStyle w:val="单元格样式4"/>
            </w:pPr>
            <w:r>
              <w:t xml:space="preserve">2418.74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20402</w:t>
            </w:r>
          </w:p>
        </w:tc>
        <w:tc>
          <w:tcPr>
            <w:tcW w:w="4535" w:type="dxa"/>
            <w:vAlign w:val="center"/>
          </w:tcPr>
          <w:p>
            <w:pPr>
              <w:pStyle w:val="单元格样式2"/>
            </w:pPr>
            <w:r>
              <w:t xml:space="preserve">公安</w:t>
            </w:r>
          </w:p>
        </w:tc>
        <w:tc>
          <w:tcPr>
            <w:tcW w:w="2551" w:type="dxa"/>
            <w:vAlign w:val="center"/>
          </w:tcPr>
          <w:p>
            <w:pPr>
              <w:pStyle w:val="单元格样式4"/>
            </w:pPr>
            <w:r>
              <w:t xml:space="preserve">2487.39</w:t>
            </w:r>
          </w:p>
        </w:tc>
        <w:tc>
          <w:tcPr>
            <w:tcW w:w="2551" w:type="dxa"/>
            <w:vAlign w:val="center"/>
          </w:tcPr>
          <w:p>
            <w:pPr>
              <w:pStyle w:val="单元格样式4"/>
            </w:pPr>
            <w:r>
              <w:t xml:space="preserve">68.65</w:t>
            </w:r>
          </w:p>
        </w:tc>
        <w:tc>
          <w:tcPr>
            <w:tcW w:w="2551" w:type="dxa"/>
            <w:vAlign w:val="center"/>
          </w:tcPr>
          <w:p>
            <w:pPr>
              <w:pStyle w:val="单元格样式4"/>
            </w:pPr>
            <w:r>
              <w:t xml:space="preserve">2418.74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2040220</w:t>
            </w:r>
          </w:p>
        </w:tc>
        <w:tc>
          <w:tcPr>
            <w:tcW w:w="4535" w:type="dxa"/>
            <w:vAlign w:val="center"/>
          </w:tcPr>
          <w:p>
            <w:pPr>
              <w:pStyle w:val="单元格样式2"/>
            </w:pPr>
            <w:r>
              <w:t xml:space="preserve">执法办案</w:t>
            </w:r>
          </w:p>
        </w:tc>
        <w:tc>
          <w:tcPr>
            <w:tcW w:w="2551" w:type="dxa"/>
            <w:vAlign w:val="center"/>
          </w:tcPr>
          <w:p>
            <w:pPr>
              <w:pStyle w:val="单元格样式4"/>
            </w:pPr>
            <w:r>
              <w:t xml:space="preserve">2487.39</w:t>
            </w:r>
          </w:p>
        </w:tc>
        <w:tc>
          <w:tcPr>
            <w:tcW w:w="2551" w:type="dxa"/>
            <w:vAlign w:val="center"/>
          </w:tcPr>
          <w:p>
            <w:pPr>
              <w:pStyle w:val="单元格样式4"/>
            </w:pPr>
            <w:r>
              <w:t xml:space="preserve">68.65</w:t>
            </w:r>
          </w:p>
        </w:tc>
        <w:tc>
          <w:tcPr>
            <w:tcW w:w="2551" w:type="dxa"/>
            <w:vAlign w:val="center"/>
          </w:tcPr>
          <w:p>
            <w:pPr>
              <w:pStyle w:val="单元格样式4"/>
            </w:pPr>
            <w:r>
              <w:t xml:space="preserve">2418.74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68.65</w:t>
            </w:r>
          </w:p>
        </w:tc>
        <w:tc>
          <w:tcPr>
            <w:tcW w:w="2551" w:type="dxa"/>
            <w:vAlign w:val="center"/>
          </w:tcPr>
          <w:p>
            <w:pPr>
              <w:pStyle w:val="单元格样式7"/>
            </w:pPr>
            <w:r>
              <w:t xml:space="preserve">44.28</w:t>
            </w:r>
          </w:p>
        </w:tc>
        <w:tc>
          <w:tcPr>
            <w:tcW w:w="2551" w:type="dxa"/>
            <w:vAlign w:val="center"/>
          </w:tcPr>
          <w:p>
            <w:pPr>
              <w:pStyle w:val="单元格样式7"/>
            </w:pPr>
            <w:r>
              <w:t xml:space="preserve">24.37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44.28</w:t>
            </w:r>
          </w:p>
        </w:tc>
        <w:tc>
          <w:tcPr>
            <w:tcW w:w="2551" w:type="dxa"/>
            <w:vAlign w:val="center"/>
          </w:tcPr>
          <w:p>
            <w:pPr>
              <w:pStyle w:val="单元格样式4"/>
            </w:pPr>
            <w:r>
              <w:t xml:space="preserve">44.28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44.28</w:t>
            </w:r>
          </w:p>
        </w:tc>
        <w:tc>
          <w:tcPr>
            <w:tcW w:w="2551" w:type="dxa"/>
            <w:vAlign w:val="center"/>
          </w:tcPr>
          <w:p>
            <w:pPr>
              <w:pStyle w:val="单元格样式4"/>
            </w:pPr>
            <w:r>
              <w:t xml:space="preserve">44.28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24.37</w:t>
            </w:r>
          </w:p>
        </w:tc>
        <w:tc>
          <w:tcPr>
            <w:tcW w:w="2551" w:type="dxa"/>
            <w:vAlign w:val="center"/>
          </w:tcPr>
          <w:p>
            <w:pPr>
              <w:pStyle w:val="单元格样式4"/>
            </w:pPr>
          </w:p>
        </w:tc>
        <w:tc>
          <w:tcPr>
            <w:tcW w:w="2551" w:type="dxa"/>
            <w:vAlign w:val="center"/>
          </w:tcPr>
          <w:p>
            <w:pPr>
              <w:pStyle w:val="单元格样式4"/>
            </w:pPr>
            <w:r>
              <w:t xml:space="preserve">24.37</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9.82</w:t>
            </w:r>
          </w:p>
        </w:tc>
        <w:tc>
          <w:tcPr>
            <w:tcW w:w="2551" w:type="dxa"/>
            <w:vAlign w:val="center"/>
          </w:tcPr>
          <w:p>
            <w:pPr>
              <w:pStyle w:val="单元格样式4"/>
            </w:pPr>
          </w:p>
        </w:tc>
        <w:tc>
          <w:tcPr>
            <w:tcW w:w="2551" w:type="dxa"/>
            <w:vAlign w:val="center"/>
          </w:tcPr>
          <w:p>
            <w:pPr>
              <w:pStyle w:val="单元格样式4"/>
            </w:pPr>
            <w:r>
              <w:t xml:space="preserve">9.82</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14.55</w:t>
            </w:r>
          </w:p>
        </w:tc>
        <w:tc>
          <w:tcPr>
            <w:tcW w:w="2551" w:type="dxa"/>
            <w:vAlign w:val="center"/>
          </w:tcPr>
          <w:p>
            <w:pPr>
              <w:pStyle w:val="单元格样式4"/>
            </w:pPr>
          </w:p>
        </w:tc>
        <w:tc>
          <w:tcPr>
            <w:tcW w:w="2551" w:type="dxa"/>
            <w:vAlign w:val="center"/>
          </w:tcPr>
          <w:p>
            <w:pPr>
              <w:pStyle w:val="单元格样式4"/>
            </w:pPr>
            <w:r>
              <w:t xml:space="preserve">14.55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14.55</w:t>
            </w:r>
          </w:p>
        </w:tc>
        <w:tc>
          <w:tcPr>
            <w:tcW w:w="2381" w:type="dxa"/>
            <w:vAlign w:val="center"/>
          </w:tcPr>
          <w:p>
            <w:pPr>
              <w:pStyle w:val="单元格样式7"/>
            </w:pPr>
            <w:r>
              <w:t xml:space="preserve">14.55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14.55</w:t>
            </w:r>
          </w:p>
        </w:tc>
        <w:tc>
          <w:tcPr>
            <w:tcW w:w="2381" w:type="dxa"/>
            <w:vAlign w:val="center"/>
          </w:tcPr>
          <w:p>
            <w:pPr>
              <w:pStyle w:val="单元格样式4"/>
            </w:pPr>
            <w:r>
              <w:t xml:space="preserve">14.55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14.55</w:t>
            </w:r>
          </w:p>
        </w:tc>
        <w:tc>
          <w:tcPr>
            <w:tcW w:w="2381" w:type="dxa"/>
            <w:vAlign w:val="center"/>
          </w:tcPr>
          <w:p>
            <w:pPr>
              <w:pStyle w:val="单元格样式4"/>
            </w:pPr>
            <w:r>
              <w:t xml:space="preserve">14.55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晋州市公安局交通管理大队本级2026年单位预算信息公开情况说明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按照《中华人民共和国预算法》、《地方预决算公开操作规程》和《关于进一步推进预算公开工作的实施意见》规定，现将晋州市公安局交通管理大队本级2026年单位预算公开如下：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道路交通管理：对国省县道实行统一科学管理，确保道路交通安全畅通、高效便捷。管理道路交通秩序，查处交通违法行为，认真贯彻落实公安部交通管理局提出的“减量控大”要求，严控重大交通事故发生。加大路面管控科技力量投入。继续推进公路巡警中队及执法服务站建设，强化农村道路安全设施建设，加强农村道路交通秩序管理。加大对涉牌涉证、酒驾、毒驾、“三超一疲劳”等交通违法行为查处力度，向科技要警力，提高非现场执法查处率，逐步消除道路交通安全隐患。</w:t>
      </w:r>
    </w:p>
    <w:p>
      <w:pPr>
        <w:pStyle w:val="插入文本样式-插入单位职责文件"/>
      </w:pPr>
      <w:r>
        <w:t xml:space="preserve">（二）车辆和驾驶人管理：根据《中华人民共和国道路交通安全法》有关规定，依法对交通参与的主体机动车和驾驶人实施有效监管。做好机动车安全技术检验、注册登记、核发牌证、转移登记、变更登记、抵押登记、注销登记工作。提高机动车检验率、登记率，严格驾驶人管理，从源头预防重特大交通事故发生。</w:t>
      </w:r>
    </w:p>
    <w:p>
      <w:pPr>
        <w:pStyle w:val="插入文本样式-插入单位职责文件"/>
      </w:pPr>
      <w:r>
        <w:t xml:space="preserve">（三）交通事故处理：勘验道路交通事故现场，侦破肇事逃逸案件，认真做好交通事故责任工作，调解事故损害赔偿，处罚事故责任人，接待群众来信来访，进行道路危险路段的排查、整治。依法公正、公开处理交通事故。</w:t>
      </w:r>
    </w:p>
    <w:p>
      <w:pPr>
        <w:pStyle w:val="插入文本样式-插入单位职责文件"/>
      </w:pPr>
      <w:r>
        <w:t xml:space="preserve">（四）交管政务管理：开展交通法制建设与安全宣传、交警系统行政性收费和经费保障工作、队伍建设工作指导和调研工作，组织、规划交通管理信息化建设与应用、通讯网建设和交通管理信息系统建设推广，开展新技术推广应用工作。 </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晋州市公安局交通管理大队本级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2487.39万元，其中：一般公共预算收入2469.09万元，基金预算收入0.00万元，国有资本经营预算收入0.00万元，财政专户核拨收入0.00万元，单位资金收入0.00万元，上年结转结余18.30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公安交通警察大队本级年度单位预算中支出预算的总体情况。2026年支出预算2487.39万元，其中基本支出68.65万元，包括人员经费44.28万元和日常公用经费24.37万元；项目支出2418.74万元，主要为（日常公用）、（警务辅助人员）、安全设施费、电子警察等；预计下年使用的单位资金结余0.00万元。委托业务费共计安排998.61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2487.39万元，较2025年预算减少94.57万元，其中：基本支出减少4.25万元，主要为人员经费减少。项目支出减少90.32万元，主要为警务辅助人员经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2026年，我单位机关运行经费共计安排24.37万元，主要用于日常维修、办公用房水电费、办公用房取暖费、办公用房物业管理费等日常运行支出。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14.55万元，其中因公出国（境）费0.00万元；公务用车购置及运维费14.55万元（其中：公务用车购置费为0.00万元，公务用车运维费14.55万元)；公务接待费0.00万元。与2025年相比减少0.45万元，增减变化的主要原因是我单位严格执行《党政机关厉行节约反对浪费条例》等相关文件规定。</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1、（警务辅助人员）绩效目标表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13018326P00032810320X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（警务辅助人员）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998.61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998.61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资金用于：警务辅助人员工资。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1.通过交通协管服务，缓解警力不足，实现警力无增长改善。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按业务量配备的协管人员</w:t>
            </w:r>
          </w:p>
        </w:tc>
        <w:tc>
          <w:tcPr>
            <w:tcW w:w="5386" w:type="dxa"/>
            <w:vAlign w:val="center"/>
          </w:tcPr>
          <w:p>
            <w:pPr>
              <w:pStyle w:val="单元格样式2"/>
            </w:pPr>
            <w:r>
              <w:t xml:space="preserve">根据业务量配备相应协管人员数量</w:t>
            </w:r>
          </w:p>
        </w:tc>
        <w:tc>
          <w:tcPr>
            <w:tcW w:w="2268" w:type="dxa"/>
            <w:vAlign w:val="center"/>
          </w:tcPr>
          <w:p>
            <w:pPr>
              <w:pStyle w:val="单元格样式2"/>
            </w:pPr>
            <w:r>
              <w:t xml:space="preserve">227人</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协管工作合格率</w:t>
            </w:r>
          </w:p>
        </w:tc>
        <w:tc>
          <w:tcPr>
            <w:tcW w:w="5386" w:type="dxa"/>
            <w:vAlign w:val="center"/>
          </w:tcPr>
          <w:p>
            <w:pPr>
              <w:pStyle w:val="单元格样式2"/>
            </w:pPr>
            <w:r>
              <w:t xml:space="preserve">交通协管人员工作合格率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项目总预算控制额</w:t>
            </w:r>
          </w:p>
        </w:tc>
        <w:tc>
          <w:tcPr>
            <w:tcW w:w="2268" w:type="dxa"/>
            <w:vAlign w:val="center"/>
          </w:tcPr>
          <w:p>
            <w:pPr>
              <w:pStyle w:val="单元格样式2"/>
            </w:pPr>
            <w:r>
              <w:t xml:space="preserve">998.61万元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100%</w:t>
            </w:r>
          </w:p>
        </w:tc>
        <w:tc>
          <w:tcPr>
            <w:tcW w:w="1276" w:type="dxa"/>
            <w:vAlign w:val="center"/>
          </w:tcPr>
          <w:p>
            <w:pPr>
              <w:pStyle w:val="单元格样式2"/>
            </w:pPr>
            <w:r>
              <w:t xml:space="preserve">参照2025年工作情况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人民群众满意度</w:t>
            </w:r>
          </w:p>
        </w:tc>
        <w:tc>
          <w:tcPr>
            <w:tcW w:w="5386" w:type="dxa"/>
            <w:vAlign w:val="center"/>
          </w:tcPr>
          <w:p>
            <w:pPr>
              <w:pStyle w:val="单元格样式2"/>
            </w:pPr>
            <w:r>
              <w:t xml:space="preserve">调查中满意和较满意的人数占调查总人数胡比率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2、（日常公用）绩效目标表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13018326P00032810317B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（日常公用）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资金用于：办公费、水费、电费、邮电费、取暖费、差旅费、维修维护费、租赁费、专用材料费、委托业务费、被装购置费、办公设备购置费、专用设备购置费、其他商品和服务支出、专用燃料费等。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1.交通管理工作正常运转，确保人民群众安全出行和社会安定。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宣传活动数量</w:t>
            </w:r>
          </w:p>
        </w:tc>
        <w:tc>
          <w:tcPr>
            <w:tcW w:w="5386" w:type="dxa"/>
            <w:vAlign w:val="center"/>
          </w:tcPr>
          <w:p>
            <w:pPr>
              <w:pStyle w:val="单元格样式2"/>
            </w:pPr>
            <w:r>
              <w:t xml:space="preserve">宣传活动数量</w:t>
            </w:r>
          </w:p>
        </w:tc>
        <w:tc>
          <w:tcPr>
            <w:tcW w:w="2268" w:type="dxa"/>
            <w:vAlign w:val="center"/>
          </w:tcPr>
          <w:p>
            <w:pPr>
              <w:pStyle w:val="单元格样式2"/>
            </w:pPr>
            <w:r>
              <w:t xml:space="preserve">≥90次</w:t>
            </w:r>
          </w:p>
        </w:tc>
        <w:tc>
          <w:tcPr>
            <w:tcW w:w="1276" w:type="dxa"/>
            <w:vAlign w:val="center"/>
          </w:tcPr>
          <w:p>
            <w:pPr>
              <w:pStyle w:val="单元格样式2"/>
            </w:pPr>
            <w:r>
              <w:t xml:space="preserve">大队年度工作计划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日常维修维护的合格率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维修维护合同约定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运维故障处理时间</w:t>
            </w:r>
          </w:p>
        </w:tc>
        <w:tc>
          <w:tcPr>
            <w:tcW w:w="5386" w:type="dxa"/>
            <w:vAlign w:val="center"/>
          </w:tcPr>
          <w:p>
            <w:pPr>
              <w:pStyle w:val="单元格样式2"/>
            </w:pPr>
            <w:r>
              <w:t xml:space="preserve">运维故障处理时间</w:t>
            </w:r>
          </w:p>
        </w:tc>
        <w:tc>
          <w:tcPr>
            <w:tcW w:w="2268" w:type="dxa"/>
            <w:vAlign w:val="center"/>
          </w:tcPr>
          <w:p>
            <w:pPr>
              <w:pStyle w:val="单元格样式2"/>
            </w:pPr>
            <w:r>
              <w:t xml:space="preserve">≤24小时</w:t>
            </w:r>
          </w:p>
        </w:tc>
        <w:tc>
          <w:tcPr>
            <w:tcW w:w="1276" w:type="dxa"/>
            <w:vAlign w:val="center"/>
          </w:tcPr>
          <w:p>
            <w:pPr>
              <w:pStyle w:val="单元格样式2"/>
            </w:pPr>
            <w:r>
              <w:t xml:space="preserve">维修维护合同约定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832万元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2026年交管业务工作计划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人民群众满意度</w:t>
            </w:r>
          </w:p>
        </w:tc>
        <w:tc>
          <w:tcPr>
            <w:tcW w:w="5386" w:type="dxa"/>
            <w:vAlign w:val="center"/>
          </w:tcPr>
          <w:p>
            <w:pPr>
              <w:pStyle w:val="单元格样式2"/>
            </w:pPr>
            <w:r>
              <w:t xml:space="preserve">群众对交管的服务满意度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3、安全设施费绩效目标表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13018326P00032810316P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安全设施费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资金用于：市区道路施划标线。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1.预防和减少道路交通事故,使我市道路标志标线清晰工整，道路交通秩序井然有序。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采购数量</w:t>
            </w:r>
          </w:p>
        </w:tc>
        <w:tc>
          <w:tcPr>
            <w:tcW w:w="5386" w:type="dxa"/>
            <w:vAlign w:val="center"/>
          </w:tcPr>
          <w:p>
            <w:pPr>
              <w:pStyle w:val="单元格样式2"/>
            </w:pPr>
            <w:r>
              <w:t xml:space="preserve">施划标线数量</w:t>
            </w:r>
          </w:p>
        </w:tc>
        <w:tc>
          <w:tcPr>
            <w:tcW w:w="2268" w:type="dxa"/>
            <w:vAlign w:val="center"/>
          </w:tcPr>
          <w:p>
            <w:pPr>
              <w:pStyle w:val="单元格样式2"/>
            </w:pPr>
            <w:r>
              <w:t xml:space="preserve">≤132900平方米</w:t>
            </w:r>
          </w:p>
        </w:tc>
        <w:tc>
          <w:tcPr>
            <w:tcW w:w="1276" w:type="dxa"/>
            <w:vAlign w:val="center"/>
          </w:tcPr>
          <w:p>
            <w:pPr>
              <w:pStyle w:val="单元格样式2"/>
            </w:pPr>
            <w:r>
              <w:t xml:space="preserve">大队年度工作计划</w:t>
            </w:r>
            <w:r>
              <w:tab/>
            </w:r>
          </w:p>
          <w:p>
            <w:pPr>
              <w:pStyle w:val="单元格样式2"/>
            </w:pPr>
          </w:p>
          <w:p>
            <w:pPr>
              <w:pStyle w:val="单元格样式2"/>
            </w:pP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采购合同约定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工期完工时间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采购合同约定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160万元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4、电子警察绩效目标表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13018326P00032810319J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电子警察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339.83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339.83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资金用于：购买电子警察，保证对违法信息的有效抓拍，有效治理城市道路通行状况，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1.保证对违法信息的有效抓拍，有效治理城市道路通行状况，实现市区各主要出入口、大中型路口路段覆盖。</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电子警察安装数量</w:t>
            </w:r>
          </w:p>
        </w:tc>
        <w:tc>
          <w:tcPr>
            <w:tcW w:w="5386" w:type="dxa"/>
            <w:vAlign w:val="center"/>
          </w:tcPr>
          <w:p>
            <w:pPr>
              <w:pStyle w:val="单元格样式2"/>
            </w:pPr>
            <w:r>
              <w:t xml:space="preserve">电子警察安装数量</w:t>
            </w:r>
          </w:p>
        </w:tc>
        <w:tc>
          <w:tcPr>
            <w:tcW w:w="2268" w:type="dxa"/>
            <w:vAlign w:val="center"/>
          </w:tcPr>
          <w:p>
            <w:pPr>
              <w:pStyle w:val="单元格样式2"/>
            </w:pPr>
            <w:r>
              <w:t xml:space="preserve">1批</w:t>
            </w:r>
          </w:p>
        </w:tc>
        <w:tc>
          <w:tcPr>
            <w:tcW w:w="1276" w:type="dxa"/>
            <w:vAlign w:val="center"/>
          </w:tcPr>
          <w:p>
            <w:pPr>
              <w:pStyle w:val="单元格样式2"/>
            </w:pPr>
            <w:r>
              <w:t xml:space="preserve">大队年度工作计划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采购合同约定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运维故障处理及时性</w:t>
            </w:r>
          </w:p>
        </w:tc>
        <w:tc>
          <w:tcPr>
            <w:tcW w:w="5386" w:type="dxa"/>
            <w:vAlign w:val="center"/>
          </w:tcPr>
          <w:p>
            <w:pPr>
              <w:pStyle w:val="单元格样式2"/>
            </w:pPr>
            <w:r>
              <w:t xml:space="preserve">运维故障处理及时性</w:t>
            </w:r>
          </w:p>
        </w:tc>
        <w:tc>
          <w:tcPr>
            <w:tcW w:w="2268" w:type="dxa"/>
            <w:vAlign w:val="center"/>
          </w:tcPr>
          <w:p>
            <w:pPr>
              <w:pStyle w:val="单元格样式2"/>
            </w:pPr>
            <w:r>
              <w:t xml:space="preserve">≤24小时</w:t>
            </w:r>
          </w:p>
        </w:tc>
        <w:tc>
          <w:tcPr>
            <w:tcW w:w="1276" w:type="dxa"/>
            <w:vAlign w:val="center"/>
          </w:tcPr>
          <w:p>
            <w:pPr>
              <w:pStyle w:val="单元格样式2"/>
            </w:pPr>
            <w:r>
              <w:t xml:space="preserve">采购合同约定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339.83万元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交管业务正常运转率</w:t>
            </w:r>
          </w:p>
        </w:tc>
        <w:tc>
          <w:tcPr>
            <w:tcW w:w="5386" w:type="dxa"/>
            <w:vAlign w:val="center"/>
          </w:tcPr>
          <w:p>
            <w:pPr>
              <w:pStyle w:val="单元格样式2"/>
            </w:pPr>
            <w:r>
              <w:t xml:space="preserve">交管业务正常运转率</w:t>
            </w:r>
          </w:p>
        </w:tc>
        <w:tc>
          <w:tcPr>
            <w:tcW w:w="2268" w:type="dxa"/>
            <w:vAlign w:val="center"/>
          </w:tcPr>
          <w:p>
            <w:pPr>
              <w:pStyle w:val="单元格样式2"/>
            </w:pPr>
            <w:r>
              <w:t xml:space="preserve">100%</w:t>
            </w: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人民群众满意度</w:t>
            </w:r>
          </w:p>
        </w:tc>
        <w:tc>
          <w:tcPr>
            <w:tcW w:w="5386" w:type="dxa"/>
            <w:vAlign w:val="center"/>
          </w:tcPr>
          <w:p>
            <w:pPr>
              <w:pStyle w:val="单元格样式2"/>
            </w:pPr>
            <w:r>
              <w:t xml:space="preserve">群众对交管的服务满意度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5、冀财政法[2024]50号提前下达2025年中央政法纪检监察转移支付资金（交警业务装备费）绩效目标表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13018325P00018410007A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冀财政法[2024]50号提前下达2025年中央政法纪检监察转移支付资金（交警业务装备费）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资金用于：购买民辅警服装费20万元，交管防护设备5万元，共计25万元。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1.预防和减少道路交通事故，保障道路交通安全、畅通、有序。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装备数量</w:t>
            </w:r>
          </w:p>
        </w:tc>
        <w:tc>
          <w:tcPr>
            <w:tcW w:w="5386" w:type="dxa"/>
            <w:vAlign w:val="center"/>
          </w:tcPr>
          <w:p>
            <w:pPr>
              <w:pStyle w:val="单元格样式2"/>
            </w:pPr>
            <w:r>
              <w:t xml:space="preserve">装备购置数量</w:t>
            </w:r>
          </w:p>
        </w:tc>
        <w:tc>
          <w:tcPr>
            <w:tcW w:w="2268" w:type="dxa"/>
            <w:vAlign w:val="center"/>
          </w:tcPr>
          <w:p>
            <w:pPr>
              <w:pStyle w:val="单元格样式2"/>
            </w:pPr>
            <w:r>
              <w:t xml:space="preserve">≥230套</w:t>
            </w:r>
          </w:p>
        </w:tc>
        <w:tc>
          <w:tcPr>
            <w:tcW w:w="1276" w:type="dxa"/>
            <w:vAlign w:val="center"/>
          </w:tcPr>
          <w:p>
            <w:pPr>
              <w:pStyle w:val="单元格样式2"/>
            </w:pPr>
            <w:r>
              <w:t xml:space="preserve">参照2024年工作情况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日常维修维护的合格率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工期完工时间</w:t>
            </w:r>
          </w:p>
        </w:tc>
        <w:tc>
          <w:tcPr>
            <w:tcW w:w="2268" w:type="dxa"/>
            <w:vAlign w:val="center"/>
          </w:tcPr>
          <w:p>
            <w:pPr>
              <w:pStyle w:val="单元格样式2"/>
            </w:pPr>
            <w:r>
              <w:t xml:space="preserve">2025 年12月31日前</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56437元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6、冀财政法[2024]52号提前下达2025年省级基层公检法司转移支付资金绩效目标表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13018325P000308100011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冀财政法[2024]52号提前下达2025年省级基层公检法司转移支付资金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资金用于：办案业务费28万元。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1.预防和减少道路交通事故，保障道路交通安全、畅通、有序。</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宣传活动数量</w:t>
            </w:r>
          </w:p>
        </w:tc>
        <w:tc>
          <w:tcPr>
            <w:tcW w:w="5386" w:type="dxa"/>
            <w:vAlign w:val="center"/>
          </w:tcPr>
          <w:p>
            <w:pPr>
              <w:pStyle w:val="单元格样式2"/>
            </w:pPr>
            <w:r>
              <w:t xml:space="preserve">交通安全宣传活动数量</w:t>
            </w:r>
          </w:p>
        </w:tc>
        <w:tc>
          <w:tcPr>
            <w:tcW w:w="2268" w:type="dxa"/>
            <w:vAlign w:val="center"/>
          </w:tcPr>
          <w:p>
            <w:pPr>
              <w:pStyle w:val="单元格样式2"/>
            </w:pPr>
            <w:r>
              <w:t xml:space="preserve">≥7次</w:t>
            </w:r>
          </w:p>
        </w:tc>
        <w:tc>
          <w:tcPr>
            <w:tcW w:w="1276" w:type="dxa"/>
            <w:vAlign w:val="center"/>
          </w:tcPr>
          <w:p>
            <w:pPr>
              <w:pStyle w:val="单元格样式2"/>
            </w:pPr>
            <w:r>
              <w:t xml:space="preserve">参照2024年工作情况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日常维修维护验收合格率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2025年12月31日</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126586.19元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p>
            <w:pPr>
              <w:pStyle w:val="单元格样式2"/>
            </w:pP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7、冀财政法[2025]42号省级提前下达2026年基层公检法司转移支付资金绩效目标表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冀财政法[2025]42号省级提前下达2026年基层公检法司转移支付资金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资金用于：办案业务费、交管专用材料费及维修维护等。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1.预防和减少道路交通事故，保障道路交通安全、畅通、有序。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宣传活动数量</w:t>
            </w:r>
          </w:p>
        </w:tc>
        <w:tc>
          <w:tcPr>
            <w:tcW w:w="5386" w:type="dxa"/>
            <w:vAlign w:val="center"/>
          </w:tcPr>
          <w:p>
            <w:pPr>
              <w:pStyle w:val="单元格样式2"/>
            </w:pPr>
            <w:r>
              <w:t xml:space="preserve">交通安全宣传活动数量</w:t>
            </w:r>
          </w:p>
        </w:tc>
        <w:tc>
          <w:tcPr>
            <w:tcW w:w="2268" w:type="dxa"/>
            <w:vAlign w:val="center"/>
          </w:tcPr>
          <w:p>
            <w:pPr>
              <w:pStyle w:val="单元格样式2"/>
            </w:pPr>
            <w:r>
              <w:t xml:space="preserve">≥7次</w:t>
            </w:r>
          </w:p>
        </w:tc>
        <w:tc>
          <w:tcPr>
            <w:tcW w:w="1276" w:type="dxa"/>
            <w:vAlign w:val="center"/>
          </w:tcPr>
          <w:p>
            <w:pPr>
              <w:pStyle w:val="单元格样式2"/>
            </w:pPr>
            <w:r>
              <w:t xml:space="preserve">参照2025年工作情况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日常维修维护验收合格率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p>
            <w:pPr>
              <w:pStyle w:val="单元格样式2"/>
            </w:pP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8、冀财政法[2025]43号提前下达2026年中央政法纪检监察转移支付资金（办案业务费）绩效目标表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冀财政法[2025]43号提前下达2026年中央政法纪检监察转移支付资金（办案业务费）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资金用于：办案业务费、交管专用材料费及维修维护等。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1.预防和减少道路交通事故，保障道路交通安全、畅通、有序。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宣传活动数量</w:t>
            </w:r>
          </w:p>
        </w:tc>
        <w:tc>
          <w:tcPr>
            <w:tcW w:w="5386" w:type="dxa"/>
            <w:vAlign w:val="center"/>
          </w:tcPr>
          <w:p>
            <w:pPr>
              <w:pStyle w:val="单元格样式2"/>
            </w:pPr>
            <w:r>
              <w:t xml:space="preserve">交通安全宣传活动数量</w:t>
            </w:r>
          </w:p>
        </w:tc>
        <w:tc>
          <w:tcPr>
            <w:tcW w:w="2268" w:type="dxa"/>
            <w:vAlign w:val="center"/>
          </w:tcPr>
          <w:p>
            <w:pPr>
              <w:pStyle w:val="单元格样式2"/>
            </w:pPr>
            <w:r>
              <w:t xml:space="preserve">≥7次</w:t>
            </w:r>
          </w:p>
        </w:tc>
        <w:tc>
          <w:tcPr>
            <w:tcW w:w="1276" w:type="dxa"/>
            <w:vAlign w:val="center"/>
          </w:tcPr>
          <w:p>
            <w:pPr>
              <w:pStyle w:val="单元格样式2"/>
            </w:pPr>
            <w:r>
              <w:t xml:space="preserve">参照2025年工作情况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日常维修维护验收合格率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项目完工时间</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24万元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p>
            <w:pPr>
              <w:pStyle w:val="单元格样式2"/>
            </w:pP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9、冀财政法[2025]43号提前下达2026年中央政法纪检监察转移支付资金（业务装备费）绩效目标表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13018326P000319100266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冀财政法[2025]43号提前下达2026年中央政法纪检监察转移支付资金（业务装备费）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资金用于：购买交管设施、服装等。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1.预防和减少道路交通事故，保障道路交通安全、畅通、有序。</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装备数量</w:t>
            </w:r>
          </w:p>
        </w:tc>
        <w:tc>
          <w:tcPr>
            <w:tcW w:w="5386" w:type="dxa"/>
            <w:vAlign w:val="center"/>
          </w:tcPr>
          <w:p>
            <w:pPr>
              <w:pStyle w:val="单元格样式2"/>
            </w:pPr>
            <w:r>
              <w:t xml:space="preserve">装备购置数量</w:t>
            </w:r>
          </w:p>
        </w:tc>
        <w:tc>
          <w:tcPr>
            <w:tcW w:w="2268" w:type="dxa"/>
            <w:vAlign w:val="center"/>
          </w:tcPr>
          <w:p>
            <w:pPr>
              <w:pStyle w:val="单元格样式2"/>
            </w:pPr>
            <w:r>
              <w:t xml:space="preserve">≥230套</w:t>
            </w:r>
          </w:p>
        </w:tc>
        <w:tc>
          <w:tcPr>
            <w:tcW w:w="1276" w:type="dxa"/>
            <w:vAlign w:val="center"/>
          </w:tcPr>
          <w:p>
            <w:pPr>
              <w:pStyle w:val="单元格样式2"/>
            </w:pPr>
            <w:r>
              <w:t xml:space="preserve">参照2025年工作情况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日常维修维护的合格率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工期完工时间</w:t>
            </w:r>
          </w:p>
        </w:tc>
        <w:tc>
          <w:tcPr>
            <w:tcW w:w="2268" w:type="dxa"/>
            <w:vAlign w:val="center"/>
          </w:tcPr>
          <w:p>
            <w:pPr>
              <w:pStyle w:val="单元格样式2"/>
            </w:pPr>
            <w:r>
              <w:t xml:space="preserve">2026 年12月31日前</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16万元</w:t>
            </w:r>
          </w:p>
        </w:tc>
        <w:tc>
          <w:tcPr>
            <w:tcW w:w="1276" w:type="dxa"/>
            <w:vAlign w:val="center"/>
          </w:tcPr>
          <w:p>
            <w:pPr>
              <w:pStyle w:val="单元格样式2"/>
            </w:pPr>
            <w:r>
              <w:t xml:space="preserve">实际测算需求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保障机动车和非机动车安全</w:t>
            </w:r>
          </w:p>
        </w:tc>
        <w:tc>
          <w:tcPr>
            <w:tcW w:w="5386" w:type="dxa"/>
            <w:vAlign w:val="center"/>
          </w:tcPr>
          <w:p>
            <w:pPr>
              <w:pStyle w:val="单元格样式2"/>
            </w:pPr>
            <w:r>
              <w:t xml:space="preserve">保障机动车和非机动车安全</w:t>
            </w:r>
          </w:p>
        </w:tc>
        <w:tc>
          <w:tcPr>
            <w:tcW w:w="2268" w:type="dxa"/>
            <w:vAlign w:val="center"/>
          </w:tcPr>
          <w:p>
            <w:pPr>
              <w:pStyle w:val="单元格样式2"/>
            </w:pPr>
            <w:r>
              <w:t xml:space="preserve">保障能力比上年有所加强</w:t>
            </w:r>
          </w:p>
        </w:tc>
        <w:tc>
          <w:tcPr>
            <w:tcW w:w="1276" w:type="dxa"/>
            <w:vAlign w:val="center"/>
          </w:tcPr>
          <w:p>
            <w:pPr>
              <w:pStyle w:val="单元格样式2"/>
            </w:pPr>
            <w:r>
              <w:t xml:space="preserve">交管业务工作方案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524.83</w:t>
            </w:r>
          </w:p>
        </w:tc>
        <w:tc>
          <w:tcPr>
            <w:tcW w:w="964" w:type="dxa"/>
            <w:vAlign w:val="center"/>
          </w:tcPr>
          <w:p>
            <w:pPr>
              <w:pStyle w:val="单元格样式7"/>
            </w:pPr>
            <w:r>
              <w:t xml:space="preserve">524.83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524.83</w:t>
            </w:r>
          </w:p>
        </w:tc>
      </w:tr>
      <w:tr>
        <w:tblPrEx>
          <w:jc w:val="center"/>
          <w:tblLayout w:type="fixed"/>
        </w:tblPrEx>
        <w:trPr>
          <w:jc w:val="center"/>
        </w:trPr>
        <w:tc>
          <w:tcPr>
            <w:tcW w:w="1701" w:type="dxa"/>
            <w:vAlign w:val="center"/>
          </w:tcPr>
          <w:p>
            <w:pPr>
              <w:pStyle w:val="单元格样式6"/>
            </w:pPr>
            <w:r>
              <w:t xml:space="preserve">晋州市公安局交通管理大队本级小计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524.83</w:t>
            </w:r>
          </w:p>
        </w:tc>
        <w:tc>
          <w:tcPr>
            <w:tcW w:w="964" w:type="dxa"/>
            <w:vAlign w:val="center"/>
          </w:tcPr>
          <w:p>
            <w:pPr>
              <w:pStyle w:val="单元格样式7"/>
            </w:pPr>
            <w:r>
              <w:t xml:space="preserve">524.83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524.83</w:t>
            </w:r>
          </w:p>
        </w:tc>
      </w:tr>
      <w:tr>
        <w:tblPrEx>
          <w:jc w:val="center"/>
          <w:tblLayout w:type="fixed"/>
        </w:tblPrEx>
        <w:trPr>
          <w:jc w:val="center"/>
        </w:trPr>
        <w:tc>
          <w:tcPr>
            <w:tcW w:w="1701" w:type="dxa"/>
            <w:vAlign w:val="center"/>
          </w:tcPr>
          <w:p>
            <w:pPr>
              <w:pStyle w:val="单元格样式2"/>
            </w:pPr>
            <w:r>
              <w:t xml:space="preserve">（日常公用）</w:t>
            </w:r>
          </w:p>
        </w:tc>
        <w:tc>
          <w:tcPr>
            <w:tcW w:w="964" w:type="dxa"/>
            <w:vAlign w:val="center"/>
          </w:tcPr>
          <w:p>
            <w:pPr>
              <w:pStyle w:val="单元格样式4"/>
            </w:pPr>
            <w:r>
              <w:t xml:space="preserve">832.00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25.00</w:t>
            </w:r>
          </w:p>
        </w:tc>
        <w:tc>
          <w:tcPr>
            <w:tcW w:w="964" w:type="dxa"/>
            <w:vAlign w:val="center"/>
          </w:tcPr>
          <w:p>
            <w:pPr>
              <w:pStyle w:val="单元格样式4"/>
            </w:pPr>
            <w:r>
              <w:t xml:space="preserve">25.00</w:t>
            </w:r>
          </w:p>
        </w:tc>
        <w:tc>
          <w:tcPr>
            <w:tcW w:w="964" w:type="dxa"/>
            <w:vAlign w:val="center"/>
          </w:tcPr>
          <w:p>
            <w:pPr>
              <w:pStyle w:val="单元格样式4"/>
            </w:pPr>
            <w:r>
              <w:t xml:space="preserve">25.00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25.00</w:t>
            </w:r>
          </w:p>
        </w:tc>
      </w:tr>
      <w:tr>
        <w:tblPrEx>
          <w:jc w:val="center"/>
          <w:tblLayout w:type="fixed"/>
        </w:tblPrEx>
        <w:trPr>
          <w:jc w:val="center"/>
        </w:trPr>
        <w:tc>
          <w:tcPr>
            <w:tcW w:w="1701" w:type="dxa"/>
            <w:vAlign w:val="center"/>
          </w:tcPr>
          <w:p>
            <w:pPr>
              <w:pStyle w:val="单元格样式2"/>
            </w:pPr>
            <w:r>
              <w:t xml:space="preserve">安全设施费</w:t>
            </w:r>
          </w:p>
        </w:tc>
        <w:tc>
          <w:tcPr>
            <w:tcW w:w="964" w:type="dxa"/>
            <w:vAlign w:val="center"/>
          </w:tcPr>
          <w:p>
            <w:pPr>
              <w:pStyle w:val="单元格样式4"/>
            </w:pPr>
            <w:r>
              <w:t xml:space="preserve">160.00</w:t>
            </w:r>
          </w:p>
        </w:tc>
        <w:tc>
          <w:tcPr>
            <w:tcW w:w="1134" w:type="dxa"/>
            <w:vAlign w:val="center"/>
          </w:tcPr>
          <w:p>
            <w:pPr>
              <w:pStyle w:val="单元格样式2"/>
            </w:pPr>
            <w:r>
              <w:t xml:space="preserve">公共安全服务</w:t>
            </w:r>
          </w:p>
        </w:tc>
        <w:tc>
          <w:tcPr>
            <w:tcW w:w="1134" w:type="dxa"/>
            <w:vAlign w:val="center"/>
          </w:tcPr>
          <w:p>
            <w:pPr>
              <w:pStyle w:val="单元格样式2"/>
            </w:pPr>
            <w:r>
              <w:t xml:space="preserve">C05040100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160.00</w:t>
            </w:r>
          </w:p>
        </w:tc>
        <w:tc>
          <w:tcPr>
            <w:tcW w:w="964" w:type="dxa"/>
            <w:vAlign w:val="center"/>
          </w:tcPr>
          <w:p>
            <w:pPr>
              <w:pStyle w:val="单元格样式4"/>
            </w:pPr>
            <w:r>
              <w:t xml:space="preserve">160.00</w:t>
            </w:r>
          </w:p>
        </w:tc>
        <w:tc>
          <w:tcPr>
            <w:tcW w:w="964" w:type="dxa"/>
            <w:vAlign w:val="center"/>
          </w:tcPr>
          <w:p>
            <w:pPr>
              <w:pStyle w:val="单元格样式4"/>
            </w:pPr>
            <w:r>
              <w:t xml:space="preserve">160.00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160.00</w:t>
            </w:r>
          </w:p>
        </w:tc>
      </w:tr>
      <w:tr>
        <w:tblPrEx>
          <w:jc w:val="center"/>
          <w:tblLayout w:type="fixed"/>
        </w:tblPrEx>
        <w:trPr>
          <w:jc w:val="center"/>
        </w:trPr>
        <w:tc>
          <w:tcPr>
            <w:tcW w:w="1701" w:type="dxa"/>
            <w:vAlign w:val="center"/>
          </w:tcPr>
          <w:p>
            <w:pPr>
              <w:pStyle w:val="单元格样式2"/>
            </w:pPr>
            <w:r>
              <w:t xml:space="preserve">电子警察</w:t>
            </w:r>
          </w:p>
        </w:tc>
        <w:tc>
          <w:tcPr>
            <w:tcW w:w="964" w:type="dxa"/>
            <w:vAlign w:val="center"/>
          </w:tcPr>
          <w:p>
            <w:pPr>
              <w:pStyle w:val="单元格样式4"/>
            </w:pPr>
            <w:r>
              <w:t xml:space="preserve">339.83</w:t>
            </w:r>
          </w:p>
        </w:tc>
        <w:tc>
          <w:tcPr>
            <w:tcW w:w="1134" w:type="dxa"/>
            <w:vAlign w:val="center"/>
          </w:tcPr>
          <w:p>
            <w:pPr>
              <w:pStyle w:val="单元格样式2"/>
            </w:pPr>
            <w:r>
              <w:t xml:space="preserve">交通管理设备</w:t>
            </w:r>
          </w:p>
        </w:tc>
        <w:tc>
          <w:tcPr>
            <w:tcW w:w="1134" w:type="dxa"/>
            <w:vAlign w:val="center"/>
          </w:tcPr>
          <w:p>
            <w:pPr>
              <w:pStyle w:val="单元格样式2"/>
            </w:pPr>
            <w:r>
              <w:t xml:space="preserve">A02370200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339.83</w:t>
            </w:r>
          </w:p>
        </w:tc>
        <w:tc>
          <w:tcPr>
            <w:tcW w:w="964" w:type="dxa"/>
            <w:vAlign w:val="center"/>
          </w:tcPr>
          <w:p>
            <w:pPr>
              <w:pStyle w:val="单元格样式4"/>
            </w:pPr>
            <w:r>
              <w:t xml:space="preserve">339.83</w:t>
            </w:r>
          </w:p>
        </w:tc>
        <w:tc>
          <w:tcPr>
            <w:tcW w:w="964" w:type="dxa"/>
            <w:vAlign w:val="center"/>
          </w:tcPr>
          <w:p>
            <w:pPr>
              <w:pStyle w:val="单元格样式4"/>
            </w:pPr>
            <w:r>
              <w:t xml:space="preserve">339.83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339.83</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晋州市公安局交通管理大队本级上年末固定资产金额为2941.31万元（详见下表）。本年度拟购置固定资产总额为0.00万元，已按要求列入政府采购预算，详见政府采购预算表。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451001晋州市公安局交通管理大队本级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2941.31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6064.59</w:t>
            </w:r>
          </w:p>
        </w:tc>
        <w:tc>
          <w:tcPr>
            <w:tcW w:w="2835" w:type="dxa"/>
            <w:vAlign w:val="center"/>
          </w:tcPr>
          <w:p>
            <w:pPr>
              <w:pStyle w:val="单元格样式4"/>
            </w:pPr>
            <w:r>
              <w:t xml:space="preserve">407.54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6064.59</w:t>
            </w:r>
          </w:p>
        </w:tc>
        <w:tc>
          <w:tcPr>
            <w:tcW w:w="2835" w:type="dxa"/>
            <w:vAlign w:val="center"/>
          </w:tcPr>
          <w:p>
            <w:pPr>
              <w:pStyle w:val="单元格样式4"/>
            </w:pPr>
            <w:r>
              <w:t xml:space="preserve">407.54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16</w:t>
            </w:r>
          </w:p>
        </w:tc>
        <w:tc>
          <w:tcPr>
            <w:tcW w:w="2835" w:type="dxa"/>
            <w:vAlign w:val="center"/>
          </w:tcPr>
          <w:p>
            <w:pPr>
              <w:pStyle w:val="单元格样式4"/>
            </w:pPr>
            <w:r>
              <w:t xml:space="preserve">152.52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4</w:t>
            </w:r>
          </w:p>
        </w:tc>
        <w:tc>
          <w:tcPr>
            <w:tcW w:w="2835" w:type="dxa"/>
            <w:vAlign w:val="center"/>
          </w:tcPr>
          <w:p>
            <w:pPr>
              <w:pStyle w:val="单元格样式4"/>
            </w:pPr>
            <w:r>
              <w:t xml:space="preserve">417.00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1954</w:t>
            </w:r>
          </w:p>
        </w:tc>
        <w:tc>
          <w:tcPr>
            <w:tcW w:w="2835" w:type="dxa"/>
            <w:vAlign w:val="center"/>
          </w:tcPr>
          <w:p>
            <w:pPr>
              <w:pStyle w:val="单元格样式4"/>
            </w:pPr>
            <w:r>
              <w:t xml:space="preserve">1964.25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2026-03-02T15:12:09Z</dcterms:created>
  <dcterms:modified xsi:type="dcterms:W3CDTF">2026-03-02T15:12:09Z</dcterms:modified>
</cp:coreProperties>
</file>