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451晋州市公安局交通管理大队</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2469.09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2487.39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2469.09</w:t>
            </w:r>
          </w:p>
        </w:tc>
        <w:tc>
          <w:tcPr>
            <w:tcW w:w="4535" w:type="dxa"/>
            <w:vAlign w:val="center"/>
          </w:tcPr>
          <w:p>
            <w:pPr>
              <w:pStyle w:val="15"/>
            </w:pPr>
            <w:r>
              <w:t>本年支出合计</w:t>
            </w:r>
          </w:p>
        </w:tc>
        <w:tc>
          <w:tcPr>
            <w:tcW w:w="2126" w:type="dxa"/>
            <w:vAlign w:val="center"/>
          </w:tcPr>
          <w:p>
            <w:pPr>
              <w:pStyle w:val="16"/>
            </w:pPr>
            <w:r>
              <w:t>2487.39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18.30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2487.39</w:t>
            </w:r>
          </w:p>
        </w:tc>
        <w:tc>
          <w:tcPr>
            <w:tcW w:w="4535" w:type="dxa"/>
            <w:vAlign w:val="center"/>
          </w:tcPr>
          <w:p>
            <w:pPr>
              <w:pStyle w:val="15"/>
            </w:pPr>
            <w:r>
              <w:t>支出总计</w:t>
            </w:r>
          </w:p>
        </w:tc>
        <w:tc>
          <w:tcPr>
            <w:tcW w:w="2126" w:type="dxa"/>
            <w:vAlign w:val="center"/>
          </w:tcPr>
          <w:p>
            <w:pPr>
              <w:pStyle w:val="16"/>
            </w:pPr>
            <w:r>
              <w:t>2487.39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451晋州市公安局交通管理大队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2487.39</w:t>
            </w:r>
          </w:p>
        </w:tc>
        <w:tc>
          <w:tcPr>
            <w:tcW w:w="1134" w:type="dxa"/>
            <w:vAlign w:val="center"/>
          </w:tcPr>
          <w:p>
            <w:pPr>
              <w:pStyle w:val="16"/>
            </w:pPr>
            <w:r>
              <w:t>2469.09</w:t>
            </w:r>
          </w:p>
        </w:tc>
        <w:tc>
          <w:tcPr>
            <w:tcW w:w="1134" w:type="dxa"/>
            <w:vAlign w:val="center"/>
          </w:tcPr>
          <w:p>
            <w:pPr>
              <w:pStyle w:val="16"/>
            </w:pPr>
            <w:r>
              <w:t>2469.09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2487.39</w:t>
            </w:r>
          </w:p>
        </w:tc>
        <w:tc>
          <w:tcPr>
            <w:tcW w:w="1134" w:type="dxa"/>
            <w:vAlign w:val="center"/>
          </w:tcPr>
          <w:p>
            <w:pPr>
              <w:pStyle w:val="12"/>
            </w:pPr>
            <w:r>
              <w:t>2469.09</w:t>
            </w:r>
          </w:p>
        </w:tc>
        <w:tc>
          <w:tcPr>
            <w:tcW w:w="1134" w:type="dxa"/>
            <w:vAlign w:val="center"/>
          </w:tcPr>
          <w:p>
            <w:pPr>
              <w:pStyle w:val="12"/>
            </w:pPr>
            <w:r>
              <w:t>2469.09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2487.39</w:t>
            </w:r>
          </w:p>
        </w:tc>
        <w:tc>
          <w:tcPr>
            <w:tcW w:w="1134" w:type="dxa"/>
            <w:vAlign w:val="center"/>
          </w:tcPr>
          <w:p>
            <w:pPr>
              <w:pStyle w:val="12"/>
            </w:pPr>
            <w:r>
              <w:t>2469.09</w:t>
            </w:r>
          </w:p>
        </w:tc>
        <w:tc>
          <w:tcPr>
            <w:tcW w:w="1134" w:type="dxa"/>
            <w:vAlign w:val="center"/>
          </w:tcPr>
          <w:p>
            <w:pPr>
              <w:pStyle w:val="12"/>
            </w:pPr>
            <w:r>
              <w:t>2469.09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2040220</w:t>
            </w:r>
          </w:p>
        </w:tc>
        <w:tc>
          <w:tcPr>
            <w:tcW w:w="1559" w:type="dxa"/>
            <w:vAlign w:val="center"/>
          </w:tcPr>
          <w:p>
            <w:pPr>
              <w:pStyle w:val="13"/>
            </w:pPr>
            <w:r>
              <w:t>执法办案</w:t>
            </w:r>
          </w:p>
        </w:tc>
        <w:tc>
          <w:tcPr>
            <w:tcW w:w="1134" w:type="dxa"/>
            <w:vAlign w:val="center"/>
          </w:tcPr>
          <w:p>
            <w:pPr>
              <w:pStyle w:val="12"/>
            </w:pPr>
            <w:r>
              <w:t>2487.39</w:t>
            </w:r>
          </w:p>
        </w:tc>
        <w:tc>
          <w:tcPr>
            <w:tcW w:w="1134" w:type="dxa"/>
            <w:vAlign w:val="center"/>
          </w:tcPr>
          <w:p>
            <w:pPr>
              <w:pStyle w:val="12"/>
            </w:pPr>
            <w:r>
              <w:t>2469.09</w:t>
            </w:r>
          </w:p>
        </w:tc>
        <w:tc>
          <w:tcPr>
            <w:tcW w:w="1134" w:type="dxa"/>
            <w:vAlign w:val="center"/>
          </w:tcPr>
          <w:p>
            <w:pPr>
              <w:pStyle w:val="12"/>
            </w:pPr>
            <w:r>
              <w:t>2469.09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18.30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451晋州市公安局交通管理大队</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2487.39</w:t>
            </w:r>
          </w:p>
        </w:tc>
        <w:tc>
          <w:tcPr>
            <w:tcW w:w="1361" w:type="dxa"/>
            <w:vAlign w:val="center"/>
          </w:tcPr>
          <w:p>
            <w:pPr>
              <w:pStyle w:val="16"/>
            </w:pPr>
            <w:r>
              <w:t>68.65</w:t>
            </w:r>
          </w:p>
        </w:tc>
        <w:tc>
          <w:tcPr>
            <w:tcW w:w="1361" w:type="dxa"/>
            <w:vAlign w:val="center"/>
          </w:tcPr>
          <w:p>
            <w:pPr>
              <w:pStyle w:val="16"/>
            </w:pPr>
            <w:r>
              <w:t>2418.74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2487.39</w:t>
            </w:r>
          </w:p>
        </w:tc>
        <w:tc>
          <w:tcPr>
            <w:tcW w:w="1361" w:type="dxa"/>
            <w:vAlign w:val="center"/>
          </w:tcPr>
          <w:p>
            <w:pPr>
              <w:pStyle w:val="12"/>
            </w:pPr>
            <w:r>
              <w:t>68.65</w:t>
            </w:r>
          </w:p>
        </w:tc>
        <w:tc>
          <w:tcPr>
            <w:tcW w:w="1361" w:type="dxa"/>
            <w:vAlign w:val="center"/>
          </w:tcPr>
          <w:p>
            <w:pPr>
              <w:pStyle w:val="12"/>
            </w:pPr>
            <w:r>
              <w:t>2418.74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2487.39</w:t>
            </w:r>
          </w:p>
        </w:tc>
        <w:tc>
          <w:tcPr>
            <w:tcW w:w="1361" w:type="dxa"/>
            <w:vAlign w:val="center"/>
          </w:tcPr>
          <w:p>
            <w:pPr>
              <w:pStyle w:val="12"/>
            </w:pPr>
            <w:r>
              <w:t>68.65</w:t>
            </w:r>
          </w:p>
        </w:tc>
        <w:tc>
          <w:tcPr>
            <w:tcW w:w="1361" w:type="dxa"/>
            <w:vAlign w:val="center"/>
          </w:tcPr>
          <w:p>
            <w:pPr>
              <w:pStyle w:val="12"/>
            </w:pPr>
            <w:r>
              <w:t>2418.74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2040220</w:t>
            </w:r>
          </w:p>
        </w:tc>
        <w:tc>
          <w:tcPr>
            <w:tcW w:w="4535" w:type="dxa"/>
            <w:vAlign w:val="center"/>
          </w:tcPr>
          <w:p>
            <w:pPr>
              <w:pStyle w:val="13"/>
            </w:pPr>
            <w:r>
              <w:t>执法办案</w:t>
            </w:r>
          </w:p>
        </w:tc>
        <w:tc>
          <w:tcPr>
            <w:tcW w:w="1361" w:type="dxa"/>
            <w:vAlign w:val="center"/>
          </w:tcPr>
          <w:p>
            <w:pPr>
              <w:pStyle w:val="12"/>
            </w:pPr>
            <w:r>
              <w:t>2487.39</w:t>
            </w:r>
          </w:p>
        </w:tc>
        <w:tc>
          <w:tcPr>
            <w:tcW w:w="1361" w:type="dxa"/>
            <w:vAlign w:val="center"/>
          </w:tcPr>
          <w:p>
            <w:pPr>
              <w:pStyle w:val="12"/>
            </w:pPr>
            <w:r>
              <w:t>68.65</w:t>
            </w:r>
          </w:p>
        </w:tc>
        <w:tc>
          <w:tcPr>
            <w:tcW w:w="1361" w:type="dxa"/>
            <w:vAlign w:val="center"/>
          </w:tcPr>
          <w:p>
            <w:pPr>
              <w:pStyle w:val="12"/>
            </w:pPr>
            <w:r>
              <w:t>2418.74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451晋州市公安局交通管理大队</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2469.09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2487.39</w:t>
            </w:r>
          </w:p>
        </w:tc>
        <w:tc>
          <w:tcPr>
            <w:tcW w:w="1474" w:type="dxa"/>
            <w:vAlign w:val="center"/>
          </w:tcPr>
          <w:p>
            <w:pPr>
              <w:pStyle w:val="12"/>
            </w:pPr>
            <w:r>
              <w:t>2487.39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2469.09</w:t>
            </w:r>
          </w:p>
        </w:tc>
        <w:tc>
          <w:tcPr>
            <w:tcW w:w="3402" w:type="dxa"/>
            <w:vAlign w:val="center"/>
          </w:tcPr>
          <w:p>
            <w:pPr>
              <w:pStyle w:val="15"/>
            </w:pPr>
            <w:r>
              <w:t>本年支出合计</w:t>
            </w:r>
          </w:p>
        </w:tc>
        <w:tc>
          <w:tcPr>
            <w:tcW w:w="1474" w:type="dxa"/>
            <w:vAlign w:val="center"/>
          </w:tcPr>
          <w:p>
            <w:pPr>
              <w:pStyle w:val="16"/>
            </w:pPr>
            <w:r>
              <w:t>2487.39</w:t>
            </w:r>
          </w:p>
        </w:tc>
        <w:tc>
          <w:tcPr>
            <w:tcW w:w="1474" w:type="dxa"/>
            <w:vAlign w:val="center"/>
          </w:tcPr>
          <w:p>
            <w:pPr>
              <w:pStyle w:val="16"/>
            </w:pPr>
            <w:r>
              <w:t>2487.39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18.30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18.30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2487.39</w:t>
            </w:r>
          </w:p>
        </w:tc>
        <w:tc>
          <w:tcPr>
            <w:tcW w:w="3402" w:type="dxa"/>
            <w:vAlign w:val="center"/>
          </w:tcPr>
          <w:p>
            <w:pPr>
              <w:pStyle w:val="15"/>
            </w:pPr>
            <w:r>
              <w:t>支出总计</w:t>
            </w:r>
          </w:p>
        </w:tc>
        <w:tc>
          <w:tcPr>
            <w:tcW w:w="1474" w:type="dxa"/>
            <w:vAlign w:val="center"/>
          </w:tcPr>
          <w:p>
            <w:pPr>
              <w:pStyle w:val="16"/>
            </w:pPr>
            <w:r>
              <w:t>2487.39</w:t>
            </w:r>
          </w:p>
        </w:tc>
        <w:tc>
          <w:tcPr>
            <w:tcW w:w="1474" w:type="dxa"/>
            <w:vAlign w:val="center"/>
          </w:tcPr>
          <w:p>
            <w:pPr>
              <w:pStyle w:val="16"/>
            </w:pPr>
            <w:r>
              <w:t>2487.39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451晋州市公安局交通管理大队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2487.39</w:t>
            </w:r>
          </w:p>
        </w:tc>
        <w:tc>
          <w:tcPr>
            <w:tcW w:w="2551" w:type="dxa"/>
            <w:vAlign w:val="center"/>
          </w:tcPr>
          <w:p>
            <w:pPr>
              <w:pStyle w:val="16"/>
            </w:pPr>
            <w:r>
              <w:t>68.65</w:t>
            </w:r>
          </w:p>
        </w:tc>
        <w:tc>
          <w:tcPr>
            <w:tcW w:w="2551" w:type="dxa"/>
            <w:vAlign w:val="center"/>
          </w:tcPr>
          <w:p>
            <w:pPr>
              <w:pStyle w:val="16"/>
            </w:pPr>
            <w:r>
              <w:t>2418.74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2487.39</w:t>
            </w:r>
          </w:p>
        </w:tc>
        <w:tc>
          <w:tcPr>
            <w:tcW w:w="2551" w:type="dxa"/>
            <w:vAlign w:val="center"/>
          </w:tcPr>
          <w:p>
            <w:pPr>
              <w:pStyle w:val="12"/>
            </w:pPr>
            <w:r>
              <w:t>68.65</w:t>
            </w:r>
          </w:p>
        </w:tc>
        <w:tc>
          <w:tcPr>
            <w:tcW w:w="2551" w:type="dxa"/>
            <w:vAlign w:val="center"/>
          </w:tcPr>
          <w:p>
            <w:pPr>
              <w:pStyle w:val="12"/>
            </w:pPr>
            <w:r>
              <w:t>2418.74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2487.39</w:t>
            </w:r>
          </w:p>
        </w:tc>
        <w:tc>
          <w:tcPr>
            <w:tcW w:w="2551" w:type="dxa"/>
            <w:vAlign w:val="center"/>
          </w:tcPr>
          <w:p>
            <w:pPr>
              <w:pStyle w:val="12"/>
            </w:pPr>
            <w:r>
              <w:t>68.65</w:t>
            </w:r>
          </w:p>
        </w:tc>
        <w:tc>
          <w:tcPr>
            <w:tcW w:w="2551" w:type="dxa"/>
            <w:vAlign w:val="center"/>
          </w:tcPr>
          <w:p>
            <w:pPr>
              <w:pStyle w:val="12"/>
            </w:pPr>
            <w:r>
              <w:t>2418.74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2040220</w:t>
            </w:r>
          </w:p>
        </w:tc>
        <w:tc>
          <w:tcPr>
            <w:tcW w:w="4535" w:type="dxa"/>
            <w:vAlign w:val="center"/>
          </w:tcPr>
          <w:p>
            <w:pPr>
              <w:pStyle w:val="13"/>
            </w:pPr>
            <w:r>
              <w:t>执法办案</w:t>
            </w:r>
          </w:p>
        </w:tc>
        <w:tc>
          <w:tcPr>
            <w:tcW w:w="2551" w:type="dxa"/>
            <w:vAlign w:val="center"/>
          </w:tcPr>
          <w:p>
            <w:pPr>
              <w:pStyle w:val="12"/>
            </w:pPr>
            <w:r>
              <w:t>2487.39</w:t>
            </w:r>
          </w:p>
        </w:tc>
        <w:tc>
          <w:tcPr>
            <w:tcW w:w="2551" w:type="dxa"/>
            <w:vAlign w:val="center"/>
          </w:tcPr>
          <w:p>
            <w:pPr>
              <w:pStyle w:val="12"/>
            </w:pPr>
            <w:r>
              <w:t>68.65</w:t>
            </w:r>
          </w:p>
        </w:tc>
        <w:tc>
          <w:tcPr>
            <w:tcW w:w="2551" w:type="dxa"/>
            <w:vAlign w:val="center"/>
          </w:tcPr>
          <w:p>
            <w:pPr>
              <w:pStyle w:val="12"/>
            </w:pPr>
            <w:r>
              <w:t>2418.74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451晋州市公安局交通管理大队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68.65</w:t>
            </w:r>
          </w:p>
        </w:tc>
        <w:tc>
          <w:tcPr>
            <w:tcW w:w="2551" w:type="dxa"/>
            <w:vAlign w:val="center"/>
          </w:tcPr>
          <w:p>
            <w:pPr>
              <w:pStyle w:val="16"/>
            </w:pPr>
            <w:r>
              <w:t>44.28</w:t>
            </w:r>
          </w:p>
        </w:tc>
        <w:tc>
          <w:tcPr>
            <w:tcW w:w="2551" w:type="dxa"/>
            <w:vAlign w:val="center"/>
          </w:tcPr>
          <w:p>
            <w:pPr>
              <w:pStyle w:val="16"/>
            </w:pPr>
            <w:r>
              <w:t>24.37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44.28</w:t>
            </w:r>
          </w:p>
        </w:tc>
        <w:tc>
          <w:tcPr>
            <w:tcW w:w="2551" w:type="dxa"/>
            <w:vAlign w:val="center"/>
          </w:tcPr>
          <w:p>
            <w:pPr>
              <w:pStyle w:val="12"/>
            </w:pPr>
            <w:r>
              <w:t>44.28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44.28</w:t>
            </w:r>
          </w:p>
        </w:tc>
        <w:tc>
          <w:tcPr>
            <w:tcW w:w="2551" w:type="dxa"/>
            <w:vAlign w:val="center"/>
          </w:tcPr>
          <w:p>
            <w:pPr>
              <w:pStyle w:val="12"/>
            </w:pPr>
            <w:r>
              <w:t>44.28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24.37</w:t>
            </w:r>
          </w:p>
        </w:tc>
        <w:tc>
          <w:tcPr>
            <w:tcW w:w="2551" w:type="dxa"/>
            <w:vAlign w:val="center"/>
          </w:tcPr>
          <w:p>
            <w:pPr>
              <w:pStyle w:val="12"/>
            </w:pPr>
          </w:p>
        </w:tc>
        <w:tc>
          <w:tcPr>
            <w:tcW w:w="2551" w:type="dxa"/>
            <w:vAlign w:val="center"/>
          </w:tcPr>
          <w:p>
            <w:pPr>
              <w:pStyle w:val="12"/>
            </w:pPr>
            <w:r>
              <w:t>24.37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9.82</w:t>
            </w:r>
          </w:p>
        </w:tc>
        <w:tc>
          <w:tcPr>
            <w:tcW w:w="2551" w:type="dxa"/>
            <w:vAlign w:val="center"/>
          </w:tcPr>
          <w:p>
            <w:pPr>
              <w:pStyle w:val="12"/>
            </w:pPr>
          </w:p>
        </w:tc>
        <w:tc>
          <w:tcPr>
            <w:tcW w:w="2551" w:type="dxa"/>
            <w:vAlign w:val="center"/>
          </w:tcPr>
          <w:p>
            <w:pPr>
              <w:pStyle w:val="12"/>
            </w:pPr>
            <w:r>
              <w:t>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14.55</w:t>
            </w:r>
          </w:p>
        </w:tc>
        <w:tc>
          <w:tcPr>
            <w:tcW w:w="2551" w:type="dxa"/>
            <w:vAlign w:val="center"/>
          </w:tcPr>
          <w:p>
            <w:pPr>
              <w:pStyle w:val="12"/>
            </w:pPr>
          </w:p>
        </w:tc>
        <w:tc>
          <w:tcPr>
            <w:tcW w:w="2551" w:type="dxa"/>
            <w:vAlign w:val="center"/>
          </w:tcPr>
          <w:p>
            <w:pPr>
              <w:pStyle w:val="12"/>
            </w:pPr>
            <w:r>
              <w:t>14.55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451晋州市公安局交通管理大队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451晋州市公安局交通管理大队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451晋州市公安局交通管理大队</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14.55</w:t>
            </w:r>
          </w:p>
        </w:tc>
        <w:tc>
          <w:tcPr>
            <w:tcW w:w="2381" w:type="dxa"/>
            <w:vAlign w:val="center"/>
          </w:tcPr>
          <w:p>
            <w:pPr>
              <w:pStyle w:val="16"/>
            </w:pPr>
            <w:r>
              <w:t>14.55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14.55</w:t>
            </w:r>
          </w:p>
        </w:tc>
        <w:tc>
          <w:tcPr>
            <w:tcW w:w="2381" w:type="dxa"/>
            <w:vAlign w:val="center"/>
          </w:tcPr>
          <w:p>
            <w:pPr>
              <w:pStyle w:val="12"/>
            </w:pPr>
            <w:r>
              <w:t>14.55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14.55</w:t>
            </w:r>
          </w:p>
        </w:tc>
        <w:tc>
          <w:tcPr>
            <w:tcW w:w="2381" w:type="dxa"/>
            <w:vAlign w:val="center"/>
          </w:tcPr>
          <w:p>
            <w:pPr>
              <w:pStyle w:val="12"/>
            </w:pPr>
            <w:r>
              <w:t>14.55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晋州市公安局交通管理大队2026年部门预算信息公开情况说明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晋州市公安局交通管理大队2026年部门预算信息公开情况说明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按照《中华人民共和国预算法》、《地方预决算公开操作规程》和《关于进一步推进预算公开工作的实施意见》规定，现将晋州市公安局交通管理大队2026年部门预算公开如下：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ind w:left="0" w:leftChars="0" w:firstLine="560" w:firstLineChars="200"/>
      </w:pPr>
      <w:r>
        <w:t>（</w:t>
      </w:r>
      <w:r>
        <w:rPr>
          <w:rFonts w:hint="eastAsia"/>
          <w:lang w:val="en-US" w:eastAsia="zh-CN"/>
        </w:rPr>
        <w:t>一</w:t>
      </w:r>
      <w:r>
        <w:t>）道路交通管理：对国省县道实行统一科学管理，确保道路交通安全畅通、高效便捷。管理道路交通秩序，查处交通违法行为，认真贯彻落实公安部交通管理局提出的“减量控大”要求，严控重大交通事故发生。加大路面管控科技力量投入。继续推进公路巡警中队及执法服务站建设，强化农村道路安全设施建设，加强农村道路交通秩序管理。加大对涉牌涉证、酒驾、毒驾、“三超一疲劳”等交通违法行为查处力度，向科技要警力，提高非现场执法查处率，逐步消除道路交通安全隐患。</w:t>
      </w:r>
    </w:p>
    <w:p>
      <w:pPr>
        <w:pStyle w:val="18"/>
        <w:ind w:left="0" w:leftChars="0" w:firstLine="560" w:firstLineChars="200"/>
      </w:pPr>
      <w:r>
        <w:t>（二）车辆和驾驶人管理：根据《中华人民共和国道路交通安全法》有关规定，依法对交通参与的主体机动车和驾驶人实施有效监管。做好机动车安全技术检验、注册登记、核发牌证、转移登记、变更登记、抵押登记、注销登记工作。提高机动车检验率、登记率，严格驾驶人管理，从源头预防重特大交通事故发生。</w:t>
      </w:r>
    </w:p>
    <w:p>
      <w:pPr>
        <w:pStyle w:val="18"/>
      </w:pPr>
      <w:r>
        <w:t>（三）交通事故处理：勘验道路交通事故现场，侦破肇事逃逸案件，认真做好交通事故责任工作，调解事故损害赔偿，处罚事故责任人，接待群众来信来访，进行道路危险路段的排查、整治。依法公正、公开处理交通事故。</w:t>
      </w:r>
    </w:p>
    <w:p>
      <w:pPr>
        <w:pStyle w:val="18"/>
      </w:pPr>
      <w:r>
        <w:t>（四）交管政务管理：开展交通法制建设与安全宣传、交警系统行政性收费和经费保障工作、队伍建设工作指导和调研工作，组织、规划交通管理信息化建设与应用、通讯网建设和交通管理信息系统建设推广，开展新技术推广应用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晋州市公安局交通管理大队本级</w:t>
            </w:r>
          </w:p>
        </w:tc>
        <w:tc>
          <w:tcPr>
            <w:tcW w:w="1843" w:type="dxa"/>
            <w:vAlign w:val="center"/>
          </w:tcPr>
          <w:p>
            <w:pPr>
              <w:pStyle w:val="14"/>
            </w:pPr>
            <w:r>
              <w:t>行政</w:t>
            </w:r>
          </w:p>
        </w:tc>
        <w:tc>
          <w:tcPr>
            <w:tcW w:w="2126" w:type="dxa"/>
            <w:vAlign w:val="center"/>
          </w:tcPr>
          <w:p>
            <w:pPr>
              <w:pStyle w:val="14"/>
            </w:pPr>
            <w:r>
              <w:t>副科级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按照预算管理有关规定，目前部门预算的编制实行综合预算管理，即全部收入和支出都反映在预算中。晋州市公安交通警察大队机关及所属事业单位的收支包含在部门预算中。</w:t>
      </w:r>
    </w:p>
    <w:p>
      <w:pPr>
        <w:pStyle w:val="19"/>
      </w:pPr>
      <w:r>
        <w:t>1、收入说明</w:t>
      </w:r>
    </w:p>
    <w:p>
      <w:pPr>
        <w:pStyle w:val="19"/>
      </w:pPr>
      <w:r>
        <w:t>反映本部门当年全部收入。2026年预算收入2487.39万元，其中：一般公共预算收入2469.09万元，基金预算收入0.00万元，国有资本经营预算收入0.00万元，财政专户核拨收入0.00万元，单位资金收入0.00万元，上年结转结余18.30万元。</w:t>
      </w:r>
    </w:p>
    <w:p>
      <w:pPr>
        <w:pStyle w:val="19"/>
      </w:pPr>
      <w:r>
        <w:t>2、支出说明</w:t>
      </w:r>
    </w:p>
    <w:p>
      <w:pPr>
        <w:pStyle w:val="19"/>
      </w:pPr>
      <w:r>
        <w:t>收支预算总表支出栏、基本支出表、项目支出表按经济分类和支出功能分类科目编制，反映晋州市公安交通警察大队年度部门预算中支出预算的总体情况。2026年支出预算2487.39万元，其中基本支出68.65万元，包括人员经费44.28万元和日常公用经费24.37万元；项目支出2418.74万元，主要为（日常公用）、（警务辅助人员）、安全设施费、电子警察等；预计下年使用的单位资金结余0.00万元。委托业务费共计安排998.61万元，主要用于因技术原因确需对外委托的辅助性工作和确有必要对外委托开展咨询、评审、规划等工作。</w:t>
      </w:r>
    </w:p>
    <w:p>
      <w:pPr>
        <w:pStyle w:val="19"/>
      </w:pPr>
      <w:r>
        <w:t>3、比上年增减情况</w:t>
      </w:r>
    </w:p>
    <w:p>
      <w:pPr>
        <w:pStyle w:val="19"/>
      </w:pPr>
      <w:r>
        <w:t>2026年预算收支安排2487.39万元，较2025年预算减少94.57万元，其中：基本支出减少4.25万元，主要为人员经费减少。项目支出减少90.32万元，主要为警务辅助人员经费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2026年，我部门机关运行经费共计安排24.37万元，主要用于日常维修、办公用房水电费、办公用房取暖费、办公用房物业管理费等日常运行支出。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严格执行《党政机关厉行节约反对浪费条例》等相关文件规定。</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牢固树立”以人为本、生命至上“的发展理念，紧紧围绕”“防事故、保畅通、促和谐、保稳定”，以“智慧交管”建设抓手，深入推进道路交通安全综合整治，全力维护道路交通安全畅通，持续抓重点、补短板，以队伍建设为根本，以提高道路管控能力和安全水平为核心，以科技信息化建设应用和完善制度机制为保障，坚持改革创新、问题导向，实现民警现场执法达到总执法量25%以上，交通事故死亡人数比上年降低2%，全市不发生一次死亡3人以上重特大交通事故。</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（一）全市道路交通秩序管理工作稳步推进</w:t>
      </w:r>
    </w:p>
    <w:p>
      <w:pPr>
        <w:pStyle w:val="23"/>
      </w:pPr>
      <w:r>
        <w:t>绩效目标：推动城市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全市道路交通安全形势持续稳定。</w:t>
      </w:r>
    </w:p>
    <w:p>
      <w:pPr>
        <w:pStyle w:val="23"/>
      </w:pPr>
      <w:r>
        <w:t>绩效指标：提升主干路机动车守法率和主要路口行人及非机动车守法率，全市交通违法现场查处率达到15%以上,全年酒驾醉驾、“三超一疲劳、涉牌涉证等严重交通违法行为查处量不少于近两年平均值的70%。</w:t>
      </w:r>
    </w:p>
    <w:p>
      <w:pPr>
        <w:pStyle w:val="23"/>
      </w:pPr>
      <w:r>
        <w:t>（二）事故处理及预防能力整体提升</w:t>
      </w:r>
    </w:p>
    <w:p>
      <w:pPr>
        <w:pStyle w:val="23"/>
      </w:pPr>
      <w:r>
        <w:t>绩效目标：简易交通事故处理效率进一步提高，交通事故处理执法进一步规范，当事人涉警投诉进一步减少，交通事故分析预防能力不断提升，道路交通安全隐患治理排查工作机制进一步完善。</w:t>
      </w:r>
    </w:p>
    <w:p>
      <w:pPr>
        <w:pStyle w:val="23"/>
      </w:pPr>
      <w:r>
        <w:t>绩效指标：采用互联网+技术快速处理交通事故，处理量占适用简易程序事故的10%以上，涉警执法不规范的事故信访案件控制在0起，对事故情况提出事故特点分析，预防对策每季度不少于一次，公安负责的道路交通安全隐患整治率不低于所有隐患的80%。</w:t>
      </w:r>
    </w:p>
    <w:p>
      <w:pPr>
        <w:pStyle w:val="23"/>
      </w:pPr>
      <w:r>
        <w:t>（三）交通安全源头隐患治理高效</w:t>
      </w:r>
    </w:p>
    <w:p>
      <w:pPr>
        <w:pStyle w:val="23"/>
      </w:pPr>
      <w:r>
        <w:t>绩效目标：生产经营单位交通安全源头隐患逐渐消除，监管手段和监管效能不断提升，生产经营单位落实道路交通安全主体责任不断增强，重大交通事故风险防控率不断提升，对重点车辆和驾驶人管理全面加强，“两客一危”重点车辆违法和事故率得到有效控制，企业道路交通隐患排查治理力度不断加强。</w:t>
      </w:r>
    </w:p>
    <w:p>
      <w:pPr>
        <w:pStyle w:val="23"/>
      </w:pPr>
      <w:r>
        <w:t>绩效指标：对达到重点监管标准的道路运输企业纳入“源头监管服务平台”监管率达到95%以上，源头监管任务完成达到98%以上。</w:t>
      </w:r>
    </w:p>
    <w:p>
      <w:pPr>
        <w:pStyle w:val="23"/>
      </w:pPr>
      <w:r>
        <w:t>（四）机动车及驾驶人管理规范有序</w:t>
      </w:r>
    </w:p>
    <w:p>
      <w:pPr>
        <w:pStyle w:val="23"/>
      </w:pPr>
      <w:r>
        <w:t>绩效目标：全市车辆核发、补换领号牌业务更加规范，便民利民力度不断增强，异地检车业务全面推广，“放管服”工作得到深入贯彻落实。</w:t>
      </w:r>
    </w:p>
    <w:p>
      <w:pPr>
        <w:pStyle w:val="23"/>
      </w:pPr>
      <w:r>
        <w:t>绩效指标：新增车辆注册率和挂牌率达到100%，机动车和驾驶人互联网平台注册率达到60%以上，互联网平台办理业务与去年车驾管业务占比达到50%。</w:t>
      </w:r>
    </w:p>
    <w:p>
      <w:pPr>
        <w:pStyle w:val="23"/>
      </w:pPr>
      <w:r>
        <w:t>（五）交通安全宣传教育水平全面提升</w:t>
      </w:r>
    </w:p>
    <w:p>
      <w:pPr>
        <w:pStyle w:val="23"/>
      </w:pPr>
      <w:r>
        <w:t>绩效目标：文明交通宣传覆盖面继续扩大，文明交通建设持续推进，法律法规的解读和宣传、违法行为曝光警示力度加大；农村交通安全宣传教育及中小学生安全防护知识传播逐步普及；交通安全宣传的传播力、引导力、影响力、公信力明显上升。</w:t>
      </w:r>
    </w:p>
    <w:p>
      <w:pPr>
        <w:pStyle w:val="23"/>
      </w:pPr>
      <w:r>
        <w:t>绩效指标：农村村镇宣传教育覆盖面超过50%，中小学宣传教育覆盖率超过60%，交管窗口宣传覆盖率80%以上。</w:t>
      </w:r>
    </w:p>
    <w:p>
      <w:pPr>
        <w:pStyle w:val="23"/>
      </w:pPr>
      <w:r>
        <w:t>（六）队伍建设与管理水平不断提高</w:t>
      </w:r>
    </w:p>
    <w:p>
      <w:pPr>
        <w:pStyle w:val="23"/>
      </w:pPr>
      <w:r>
        <w:t>绩效目标：干部民警的政策理论水平明显提高，骨干业务培训覆盖率不断扩大，交通管理执法办案、交通应急事件处置和群众工作、科技运用等能力水平进一步提高，干部民警职工政治觉悟政治定力不断增强。</w:t>
      </w:r>
    </w:p>
    <w:p>
      <w:pPr>
        <w:pStyle w:val="23"/>
      </w:pPr>
      <w:r>
        <w:t>绩效指标：全市举办政治理论学习讲座不少于4次，一线交辅警培训覆盖率70%，骨干培训覆盖率达40%。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加强组织领导。为全面推进预算绩效管理工作，我队成立由主要领导任组长的预算绩效工作领导小组，明确责任主体和内部绩效目标设置、监控、评价和审核的责任分工，细化工作方案，形成“一把手”亲自抓，分管副职具体抓的工作格局，全面落实各项绩效改革举措，将事前评估、目标管理、运行监控、绩效评价、结果运用有效融入预算管理的全过程。</w:t>
      </w:r>
    </w:p>
    <w:p>
      <w:pPr>
        <w:pStyle w:val="24"/>
      </w:pPr>
      <w:r>
        <w:t>完善制度建设。集中组织各科室制定完善预算绩效管理制度、资金管理办法、工作保障制度等，为全年预算绩效目标的实现奠定制度基础。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1、（警务辅助人员）绩效目标表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13018326P00032810320X</w:t>
            </w:r>
          </w:p>
        </w:tc>
        <w:tc>
          <w:tcPr>
            <w:tcW w:w="2835" w:type="dxa"/>
            <w:vAlign w:val="center"/>
          </w:tcPr>
          <w:p>
            <w:pPr>
              <w:pStyle w:val="11"/>
            </w:pPr>
            <w:r>
              <w:t>项目名称</w:t>
            </w:r>
          </w:p>
        </w:tc>
        <w:tc>
          <w:tcPr>
            <w:tcW w:w="6095" w:type="dxa"/>
            <w:gridSpan w:val="3"/>
            <w:vAlign w:val="center"/>
          </w:tcPr>
          <w:p>
            <w:pPr>
              <w:pStyle w:val="13"/>
            </w:pPr>
            <w:r>
              <w:t>（警务辅助人员）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998.61</w:t>
            </w:r>
          </w:p>
        </w:tc>
        <w:tc>
          <w:tcPr>
            <w:tcW w:w="2835" w:type="dxa"/>
            <w:vAlign w:val="center"/>
          </w:tcPr>
          <w:p>
            <w:pPr>
              <w:pStyle w:val="11"/>
            </w:pPr>
            <w:r>
              <w:t>其中：财政    资金</w:t>
            </w:r>
          </w:p>
        </w:tc>
        <w:tc>
          <w:tcPr>
            <w:tcW w:w="2551" w:type="dxa"/>
            <w:vAlign w:val="center"/>
          </w:tcPr>
          <w:p>
            <w:pPr>
              <w:pStyle w:val="13"/>
            </w:pPr>
            <w:r>
              <w:t>998.61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资金用于：警务辅助人员工资。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1.通过交通协管服务，缓解警力不足，实现警力无增长改善。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按业务量配备的协管人员</w:t>
            </w:r>
          </w:p>
        </w:tc>
        <w:tc>
          <w:tcPr>
            <w:tcW w:w="5386" w:type="dxa"/>
            <w:vAlign w:val="center"/>
          </w:tcPr>
          <w:p>
            <w:pPr>
              <w:pStyle w:val="13"/>
            </w:pPr>
            <w:r>
              <w:t>根据业务量配备相应协管人员数量</w:t>
            </w:r>
          </w:p>
        </w:tc>
        <w:tc>
          <w:tcPr>
            <w:tcW w:w="2268" w:type="dxa"/>
            <w:vAlign w:val="center"/>
          </w:tcPr>
          <w:p>
            <w:pPr>
              <w:pStyle w:val="13"/>
            </w:pPr>
            <w:r>
              <w:t>227人</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协管工作合格率</w:t>
            </w:r>
          </w:p>
        </w:tc>
        <w:tc>
          <w:tcPr>
            <w:tcW w:w="5386" w:type="dxa"/>
            <w:vAlign w:val="center"/>
          </w:tcPr>
          <w:p>
            <w:pPr>
              <w:pStyle w:val="13"/>
            </w:pPr>
            <w:r>
              <w:t>交通协管人员工作合格率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2026年12月31日前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项目总预算控制额</w:t>
            </w:r>
          </w:p>
        </w:tc>
        <w:tc>
          <w:tcPr>
            <w:tcW w:w="2268" w:type="dxa"/>
            <w:vAlign w:val="center"/>
          </w:tcPr>
          <w:p>
            <w:pPr>
              <w:pStyle w:val="13"/>
            </w:pPr>
            <w:r>
              <w:t>998.61万元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交管业务正常运转率</w:t>
            </w:r>
          </w:p>
        </w:tc>
        <w:tc>
          <w:tcPr>
            <w:tcW w:w="5386" w:type="dxa"/>
            <w:vAlign w:val="center"/>
          </w:tcPr>
          <w:p>
            <w:pPr>
              <w:pStyle w:val="13"/>
            </w:pPr>
            <w:r>
              <w:t>交管业务正常运转率</w:t>
            </w:r>
          </w:p>
        </w:tc>
        <w:tc>
          <w:tcPr>
            <w:tcW w:w="2268" w:type="dxa"/>
            <w:vAlign w:val="center"/>
          </w:tcPr>
          <w:p>
            <w:pPr>
              <w:pStyle w:val="13"/>
            </w:pPr>
            <w:r>
              <w:t>100%</w:t>
            </w:r>
          </w:p>
        </w:tc>
        <w:tc>
          <w:tcPr>
            <w:tcW w:w="1276" w:type="dxa"/>
            <w:vAlign w:val="center"/>
          </w:tcPr>
          <w:p>
            <w:pPr>
              <w:pStyle w:val="13"/>
            </w:pPr>
            <w:r>
              <w:t>参照2025年工作情况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人民群众满意度</w:t>
            </w:r>
          </w:p>
        </w:tc>
        <w:tc>
          <w:tcPr>
            <w:tcW w:w="5386" w:type="dxa"/>
            <w:vAlign w:val="center"/>
          </w:tcPr>
          <w:p>
            <w:pPr>
              <w:pStyle w:val="13"/>
            </w:pPr>
            <w:r>
              <w:t>调查中满意和较满意的人数占调查总人数胡比率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2、（日常公用）绩效目标表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13018326P00032810317B</w:t>
            </w:r>
          </w:p>
        </w:tc>
        <w:tc>
          <w:tcPr>
            <w:tcW w:w="2835" w:type="dxa"/>
            <w:vAlign w:val="center"/>
          </w:tcPr>
          <w:p>
            <w:pPr>
              <w:pStyle w:val="11"/>
            </w:pPr>
            <w:r>
              <w:t>项目名称</w:t>
            </w:r>
          </w:p>
        </w:tc>
        <w:tc>
          <w:tcPr>
            <w:tcW w:w="6095" w:type="dxa"/>
            <w:gridSpan w:val="3"/>
            <w:vAlign w:val="center"/>
          </w:tcPr>
          <w:p>
            <w:pPr>
              <w:pStyle w:val="13"/>
            </w:pPr>
            <w:r>
              <w:t>（日常公用）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832.00</w:t>
            </w:r>
          </w:p>
        </w:tc>
        <w:tc>
          <w:tcPr>
            <w:tcW w:w="2835" w:type="dxa"/>
            <w:vAlign w:val="center"/>
          </w:tcPr>
          <w:p>
            <w:pPr>
              <w:pStyle w:val="11"/>
            </w:pPr>
            <w:r>
              <w:t>其中：财政    资金</w:t>
            </w:r>
          </w:p>
        </w:tc>
        <w:tc>
          <w:tcPr>
            <w:tcW w:w="2551" w:type="dxa"/>
            <w:vAlign w:val="center"/>
          </w:tcPr>
          <w:p>
            <w:pPr>
              <w:pStyle w:val="13"/>
            </w:pPr>
            <w:r>
              <w:t>832.00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资金用于：办公费、水费、电费、邮电费、取暖费、差旅费、维修维护费、租赁费、专用材料费、委托业务费、被装购置费、办公设备购置费、专用设备购置费、其他商品和服务支出、专用燃料费等。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1.交通管理工作正常运转，确保人民群众安全出行和社会安定。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宣传活动数量</w:t>
            </w:r>
          </w:p>
        </w:tc>
        <w:tc>
          <w:tcPr>
            <w:tcW w:w="2268" w:type="dxa"/>
            <w:vAlign w:val="center"/>
          </w:tcPr>
          <w:p>
            <w:pPr>
              <w:pStyle w:val="13"/>
            </w:pPr>
            <w:r>
              <w:t>≥90次</w:t>
            </w:r>
          </w:p>
        </w:tc>
        <w:tc>
          <w:tcPr>
            <w:tcW w:w="1276" w:type="dxa"/>
            <w:vAlign w:val="center"/>
          </w:tcPr>
          <w:p>
            <w:pPr>
              <w:pStyle w:val="13"/>
            </w:pPr>
            <w:r>
              <w:t>大队年度工作计划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日常维修维护的合格率</w:t>
            </w:r>
          </w:p>
          <w:p>
            <w:pPr>
              <w:pStyle w:val="13"/>
            </w:pPr>
          </w:p>
        </w:tc>
        <w:tc>
          <w:tcPr>
            <w:tcW w:w="2268" w:type="dxa"/>
            <w:vAlign w:val="center"/>
          </w:tcPr>
          <w:p>
            <w:pPr>
              <w:pStyle w:val="13"/>
            </w:pPr>
            <w:r>
              <w:t>100%</w:t>
            </w:r>
          </w:p>
        </w:tc>
        <w:tc>
          <w:tcPr>
            <w:tcW w:w="1276" w:type="dxa"/>
            <w:vAlign w:val="center"/>
          </w:tcPr>
          <w:p>
            <w:pPr>
              <w:pStyle w:val="13"/>
            </w:pPr>
            <w:r>
              <w:t>维修维护合同约定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运维故障处理时间</w:t>
            </w:r>
          </w:p>
        </w:tc>
        <w:tc>
          <w:tcPr>
            <w:tcW w:w="5386" w:type="dxa"/>
            <w:vAlign w:val="center"/>
          </w:tcPr>
          <w:p>
            <w:pPr>
              <w:pStyle w:val="13"/>
            </w:pPr>
            <w:r>
              <w:t>运维故障处理时间</w:t>
            </w:r>
          </w:p>
        </w:tc>
        <w:tc>
          <w:tcPr>
            <w:tcW w:w="2268" w:type="dxa"/>
            <w:vAlign w:val="center"/>
          </w:tcPr>
          <w:p>
            <w:pPr>
              <w:pStyle w:val="13"/>
            </w:pPr>
            <w:r>
              <w:t>≤24小时</w:t>
            </w:r>
          </w:p>
        </w:tc>
        <w:tc>
          <w:tcPr>
            <w:tcW w:w="1276" w:type="dxa"/>
            <w:vAlign w:val="center"/>
          </w:tcPr>
          <w:p>
            <w:pPr>
              <w:pStyle w:val="13"/>
            </w:pPr>
            <w:r>
              <w:t>维修维护合同约定</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832万元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交管业务正常运转率</w:t>
            </w:r>
          </w:p>
        </w:tc>
        <w:tc>
          <w:tcPr>
            <w:tcW w:w="5386" w:type="dxa"/>
            <w:vAlign w:val="center"/>
          </w:tcPr>
          <w:p>
            <w:pPr>
              <w:pStyle w:val="13"/>
            </w:pPr>
            <w:r>
              <w:t>交管业务正常运转率</w:t>
            </w:r>
          </w:p>
        </w:tc>
        <w:tc>
          <w:tcPr>
            <w:tcW w:w="2268" w:type="dxa"/>
            <w:vAlign w:val="center"/>
          </w:tcPr>
          <w:p>
            <w:pPr>
              <w:pStyle w:val="13"/>
            </w:pPr>
            <w:r>
              <w:t>100%</w:t>
            </w:r>
          </w:p>
        </w:tc>
        <w:tc>
          <w:tcPr>
            <w:tcW w:w="1276" w:type="dxa"/>
            <w:vAlign w:val="center"/>
          </w:tcPr>
          <w:p>
            <w:pPr>
              <w:pStyle w:val="13"/>
            </w:pPr>
            <w:r>
              <w:t>2026年交管业务工作计划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人民群众满意度</w:t>
            </w:r>
          </w:p>
        </w:tc>
        <w:tc>
          <w:tcPr>
            <w:tcW w:w="5386" w:type="dxa"/>
            <w:vAlign w:val="center"/>
          </w:tcPr>
          <w:p>
            <w:pPr>
              <w:pStyle w:val="13"/>
            </w:pPr>
            <w:r>
              <w:t>群众对交管的服务满意度</w:t>
            </w:r>
          </w:p>
        </w:tc>
        <w:tc>
          <w:tcPr>
            <w:tcW w:w="2268" w:type="dxa"/>
            <w:vAlign w:val="center"/>
          </w:tcPr>
          <w:p>
            <w:pPr>
              <w:pStyle w:val="13"/>
            </w:pPr>
            <w:r>
              <w:t>≥95%</w:t>
            </w:r>
          </w:p>
        </w:tc>
        <w:tc>
          <w:tcPr>
            <w:tcW w:w="1276" w:type="dxa"/>
            <w:vAlign w:val="center"/>
          </w:tcPr>
          <w:p>
            <w:pPr>
              <w:pStyle w:val="13"/>
            </w:pPr>
            <w:r>
              <w:t>调查问卷</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3、安全设施费绩效目标表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13018326P00032810316P</w:t>
            </w:r>
          </w:p>
        </w:tc>
        <w:tc>
          <w:tcPr>
            <w:tcW w:w="2835" w:type="dxa"/>
            <w:vAlign w:val="center"/>
          </w:tcPr>
          <w:p>
            <w:pPr>
              <w:pStyle w:val="11"/>
            </w:pPr>
            <w:r>
              <w:t>项目名称</w:t>
            </w:r>
          </w:p>
        </w:tc>
        <w:tc>
          <w:tcPr>
            <w:tcW w:w="6095" w:type="dxa"/>
            <w:gridSpan w:val="3"/>
            <w:vAlign w:val="center"/>
          </w:tcPr>
          <w:p>
            <w:pPr>
              <w:pStyle w:val="13"/>
            </w:pPr>
            <w:r>
              <w:t>安全设施费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160.00</w:t>
            </w:r>
          </w:p>
        </w:tc>
        <w:tc>
          <w:tcPr>
            <w:tcW w:w="2835" w:type="dxa"/>
            <w:vAlign w:val="center"/>
          </w:tcPr>
          <w:p>
            <w:pPr>
              <w:pStyle w:val="11"/>
            </w:pPr>
            <w:r>
              <w:t>其中：财政    资金</w:t>
            </w:r>
          </w:p>
        </w:tc>
        <w:tc>
          <w:tcPr>
            <w:tcW w:w="2551" w:type="dxa"/>
            <w:vAlign w:val="center"/>
          </w:tcPr>
          <w:p>
            <w:pPr>
              <w:pStyle w:val="13"/>
            </w:pPr>
            <w:r>
              <w:t>160.00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资金用于：市区道路施划标线。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1.预防和减少道路交通事故,使我市道路标志标线清晰工整，道路交通秩序井然有序。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5386" w:type="dxa"/>
            <w:vAlign w:val="center"/>
          </w:tcPr>
          <w:p>
            <w:pPr>
              <w:pStyle w:val="13"/>
            </w:pPr>
            <w:r>
              <w:t>施划标线数量</w:t>
            </w:r>
          </w:p>
        </w:tc>
        <w:tc>
          <w:tcPr>
            <w:tcW w:w="2268" w:type="dxa"/>
            <w:vAlign w:val="center"/>
          </w:tcPr>
          <w:p>
            <w:pPr>
              <w:pStyle w:val="13"/>
            </w:pPr>
            <w:r>
              <w:t>≤132900平方米</w:t>
            </w:r>
          </w:p>
        </w:tc>
        <w:tc>
          <w:tcPr>
            <w:tcW w:w="1276" w:type="dxa"/>
            <w:vAlign w:val="center"/>
          </w:tcPr>
          <w:p>
            <w:pPr>
              <w:pStyle w:val="13"/>
            </w:pPr>
            <w:r>
              <w:t>大队年度工作计划</w:t>
            </w:r>
            <w:r>
              <w:tab/>
            </w:r>
          </w:p>
          <w:p>
            <w:pPr>
              <w:pStyle w:val="13"/>
            </w:pP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≥98%</w:t>
            </w:r>
          </w:p>
        </w:tc>
        <w:tc>
          <w:tcPr>
            <w:tcW w:w="1276" w:type="dxa"/>
            <w:vAlign w:val="center"/>
          </w:tcPr>
          <w:p>
            <w:pPr>
              <w:pStyle w:val="13"/>
            </w:pPr>
            <w:r>
              <w:t>采购合同约定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2026年12月31日前</w:t>
            </w:r>
          </w:p>
        </w:tc>
        <w:tc>
          <w:tcPr>
            <w:tcW w:w="1276" w:type="dxa"/>
            <w:vAlign w:val="center"/>
          </w:tcPr>
          <w:p>
            <w:pPr>
              <w:pStyle w:val="13"/>
            </w:pPr>
            <w:r>
              <w:t>采购合同约定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160万元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保障机动车和非机动车安全</w:t>
            </w:r>
          </w:p>
        </w:tc>
        <w:tc>
          <w:tcPr>
            <w:tcW w:w="5386" w:type="dxa"/>
            <w:vAlign w:val="center"/>
          </w:tcPr>
          <w:p>
            <w:pPr>
              <w:pStyle w:val="13"/>
            </w:pPr>
            <w:r>
              <w:t>保障机动车和非机动车安全</w:t>
            </w:r>
          </w:p>
        </w:tc>
        <w:tc>
          <w:tcPr>
            <w:tcW w:w="2268" w:type="dxa"/>
            <w:vAlign w:val="center"/>
          </w:tcPr>
          <w:p>
            <w:pPr>
              <w:pStyle w:val="13"/>
            </w:pPr>
            <w:r>
              <w:t>保障能力比上年有所加强</w:t>
            </w:r>
          </w:p>
        </w:tc>
        <w:tc>
          <w:tcPr>
            <w:tcW w:w="1276" w:type="dxa"/>
            <w:vAlign w:val="center"/>
          </w:tcPr>
          <w:p>
            <w:pPr>
              <w:pStyle w:val="13"/>
            </w:pPr>
            <w:r>
              <w:t>交管业务工作方案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服务对象调查问卷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4、电子警察绩效目标表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13018326P00032810319J</w:t>
            </w:r>
          </w:p>
        </w:tc>
        <w:tc>
          <w:tcPr>
            <w:tcW w:w="2835" w:type="dxa"/>
            <w:vAlign w:val="center"/>
          </w:tcPr>
          <w:p>
            <w:pPr>
              <w:pStyle w:val="11"/>
            </w:pPr>
            <w:r>
              <w:t>项目名称</w:t>
            </w:r>
          </w:p>
        </w:tc>
        <w:tc>
          <w:tcPr>
            <w:tcW w:w="6095" w:type="dxa"/>
            <w:gridSpan w:val="3"/>
            <w:vAlign w:val="center"/>
          </w:tcPr>
          <w:p>
            <w:pPr>
              <w:pStyle w:val="13"/>
            </w:pPr>
            <w:r>
              <w:t>电子警察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339.83</w:t>
            </w:r>
          </w:p>
        </w:tc>
        <w:tc>
          <w:tcPr>
            <w:tcW w:w="2835" w:type="dxa"/>
            <w:vAlign w:val="center"/>
          </w:tcPr>
          <w:p>
            <w:pPr>
              <w:pStyle w:val="11"/>
            </w:pPr>
            <w:r>
              <w:t>其中：财政    资金</w:t>
            </w:r>
          </w:p>
        </w:tc>
        <w:tc>
          <w:tcPr>
            <w:tcW w:w="2551" w:type="dxa"/>
            <w:vAlign w:val="center"/>
          </w:tcPr>
          <w:p>
            <w:pPr>
              <w:pStyle w:val="13"/>
            </w:pPr>
            <w:r>
              <w:t>339.83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资金用于：购买电子警察，保证对违法信息的有效抓拍，有效治理城市道路通行状况，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1.保证对违法信息的有效抓拍，有效治理城市道路通行状况，实现市区各主要出入口、大中型路口路段覆盖。</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电子警察安装数量</w:t>
            </w:r>
          </w:p>
        </w:tc>
        <w:tc>
          <w:tcPr>
            <w:tcW w:w="5386" w:type="dxa"/>
            <w:vAlign w:val="center"/>
          </w:tcPr>
          <w:p>
            <w:pPr>
              <w:pStyle w:val="13"/>
            </w:pPr>
            <w:r>
              <w:t>电子警察安装数量</w:t>
            </w:r>
          </w:p>
        </w:tc>
        <w:tc>
          <w:tcPr>
            <w:tcW w:w="2268" w:type="dxa"/>
            <w:vAlign w:val="center"/>
          </w:tcPr>
          <w:p>
            <w:pPr>
              <w:pStyle w:val="13"/>
            </w:pPr>
            <w:r>
              <w:t>1批</w:t>
            </w:r>
          </w:p>
        </w:tc>
        <w:tc>
          <w:tcPr>
            <w:tcW w:w="1276" w:type="dxa"/>
            <w:vAlign w:val="center"/>
          </w:tcPr>
          <w:p>
            <w:pPr>
              <w:pStyle w:val="13"/>
            </w:pPr>
            <w:r>
              <w:t>大队年度工作计划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≥98%</w:t>
            </w:r>
          </w:p>
        </w:tc>
        <w:tc>
          <w:tcPr>
            <w:tcW w:w="1276" w:type="dxa"/>
            <w:vAlign w:val="center"/>
          </w:tcPr>
          <w:p>
            <w:pPr>
              <w:pStyle w:val="13"/>
            </w:pPr>
            <w:r>
              <w:t>采购合同约定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运维故障处理及时性</w:t>
            </w:r>
          </w:p>
        </w:tc>
        <w:tc>
          <w:tcPr>
            <w:tcW w:w="5386" w:type="dxa"/>
            <w:vAlign w:val="center"/>
          </w:tcPr>
          <w:p>
            <w:pPr>
              <w:pStyle w:val="13"/>
            </w:pPr>
            <w:r>
              <w:t>运维故障处理及时性</w:t>
            </w:r>
          </w:p>
        </w:tc>
        <w:tc>
          <w:tcPr>
            <w:tcW w:w="2268" w:type="dxa"/>
            <w:vAlign w:val="center"/>
          </w:tcPr>
          <w:p>
            <w:pPr>
              <w:pStyle w:val="13"/>
            </w:pPr>
            <w:r>
              <w:t>≤24小时</w:t>
            </w:r>
          </w:p>
        </w:tc>
        <w:tc>
          <w:tcPr>
            <w:tcW w:w="1276" w:type="dxa"/>
            <w:vAlign w:val="center"/>
          </w:tcPr>
          <w:p>
            <w:pPr>
              <w:pStyle w:val="13"/>
            </w:pPr>
            <w:r>
              <w:t>采购合同约定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339.83万元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交管业务正常运转率</w:t>
            </w:r>
          </w:p>
        </w:tc>
        <w:tc>
          <w:tcPr>
            <w:tcW w:w="5386" w:type="dxa"/>
            <w:vAlign w:val="center"/>
          </w:tcPr>
          <w:p>
            <w:pPr>
              <w:pStyle w:val="13"/>
            </w:pPr>
            <w:r>
              <w:t>交管业务正常运转率</w:t>
            </w:r>
          </w:p>
        </w:tc>
        <w:tc>
          <w:tcPr>
            <w:tcW w:w="2268" w:type="dxa"/>
            <w:vAlign w:val="center"/>
          </w:tcPr>
          <w:p>
            <w:pPr>
              <w:pStyle w:val="13"/>
            </w:pPr>
            <w:r>
              <w:t>100%</w:t>
            </w:r>
          </w:p>
        </w:tc>
        <w:tc>
          <w:tcPr>
            <w:tcW w:w="1276" w:type="dxa"/>
            <w:vAlign w:val="center"/>
          </w:tcPr>
          <w:p>
            <w:pPr>
              <w:pStyle w:val="13"/>
            </w:pPr>
            <w:r>
              <w:t>交管业务工作方案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人民群众满意度</w:t>
            </w:r>
          </w:p>
        </w:tc>
        <w:tc>
          <w:tcPr>
            <w:tcW w:w="5386" w:type="dxa"/>
            <w:vAlign w:val="center"/>
          </w:tcPr>
          <w:p>
            <w:pPr>
              <w:pStyle w:val="13"/>
            </w:pPr>
            <w:r>
              <w:t>群众对交管的服务满意度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5、冀财政法[2024]50号提前下达2025年中央政法纪检监察转移支付资金（交警业务装备费）绩效目标表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13018325P00018410007A</w:t>
            </w:r>
          </w:p>
        </w:tc>
        <w:tc>
          <w:tcPr>
            <w:tcW w:w="2835" w:type="dxa"/>
            <w:vAlign w:val="center"/>
          </w:tcPr>
          <w:p>
            <w:pPr>
              <w:pStyle w:val="11"/>
            </w:pPr>
            <w:r>
              <w:t>项目名称</w:t>
            </w:r>
          </w:p>
        </w:tc>
        <w:tc>
          <w:tcPr>
            <w:tcW w:w="6095" w:type="dxa"/>
            <w:gridSpan w:val="3"/>
            <w:vAlign w:val="center"/>
          </w:tcPr>
          <w:p>
            <w:pPr>
              <w:pStyle w:val="13"/>
            </w:pPr>
            <w:r>
              <w:t>冀财政法[2024]50号提前下达2025年中央政法纪检监察转移支付资金（交警业务装备费）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5.64</w:t>
            </w:r>
          </w:p>
        </w:tc>
        <w:tc>
          <w:tcPr>
            <w:tcW w:w="2835" w:type="dxa"/>
            <w:vAlign w:val="center"/>
          </w:tcPr>
          <w:p>
            <w:pPr>
              <w:pStyle w:val="11"/>
            </w:pPr>
            <w:r>
              <w:t>其中：财政    资金</w:t>
            </w:r>
          </w:p>
        </w:tc>
        <w:tc>
          <w:tcPr>
            <w:tcW w:w="2551" w:type="dxa"/>
            <w:vAlign w:val="center"/>
          </w:tcPr>
          <w:p>
            <w:pPr>
              <w:pStyle w:val="13"/>
            </w:pPr>
            <w:r>
              <w:t>5.64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资金用于：购买民辅警服装费20万元，交管防护设备5万元，共计25万元。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1.预防和减少道路交通事故，保障道路交通安全、畅通、有序。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装备数量</w:t>
            </w:r>
          </w:p>
        </w:tc>
        <w:tc>
          <w:tcPr>
            <w:tcW w:w="5386" w:type="dxa"/>
            <w:vAlign w:val="center"/>
          </w:tcPr>
          <w:p>
            <w:pPr>
              <w:pStyle w:val="13"/>
            </w:pPr>
            <w:r>
              <w:t>装备购置数量</w:t>
            </w:r>
          </w:p>
        </w:tc>
        <w:tc>
          <w:tcPr>
            <w:tcW w:w="2268" w:type="dxa"/>
            <w:vAlign w:val="center"/>
          </w:tcPr>
          <w:p>
            <w:pPr>
              <w:pStyle w:val="13"/>
            </w:pPr>
            <w:r>
              <w:t>≥230套</w:t>
            </w:r>
          </w:p>
        </w:tc>
        <w:tc>
          <w:tcPr>
            <w:tcW w:w="1276" w:type="dxa"/>
            <w:vAlign w:val="center"/>
          </w:tcPr>
          <w:p>
            <w:pPr>
              <w:pStyle w:val="13"/>
            </w:pPr>
            <w:r>
              <w:t>参照2024年工作情况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日常维修维护的合格率</w:t>
            </w:r>
          </w:p>
          <w:p>
            <w:pPr>
              <w:pStyle w:val="13"/>
            </w:pP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2025 年12月31日前</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56437元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保障机动车和非机动车安全</w:t>
            </w:r>
          </w:p>
        </w:tc>
        <w:tc>
          <w:tcPr>
            <w:tcW w:w="5386" w:type="dxa"/>
            <w:vAlign w:val="center"/>
          </w:tcPr>
          <w:p>
            <w:pPr>
              <w:pStyle w:val="13"/>
            </w:pPr>
            <w:r>
              <w:t>保障机动车和非机动车安全</w:t>
            </w:r>
          </w:p>
        </w:tc>
        <w:tc>
          <w:tcPr>
            <w:tcW w:w="2268" w:type="dxa"/>
            <w:vAlign w:val="center"/>
          </w:tcPr>
          <w:p>
            <w:pPr>
              <w:pStyle w:val="13"/>
            </w:pPr>
            <w:r>
              <w:t>保障能力比上年有所加强</w:t>
            </w:r>
          </w:p>
        </w:tc>
        <w:tc>
          <w:tcPr>
            <w:tcW w:w="1276" w:type="dxa"/>
            <w:vAlign w:val="center"/>
          </w:tcPr>
          <w:p>
            <w:pPr>
              <w:pStyle w:val="13"/>
            </w:pPr>
            <w:r>
              <w:t>交管业务工作方案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6、冀财政法[2024]52号提前下达2025年省级基层公检法司转移支付资金绩效目标表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13018325P000308100011</w:t>
            </w:r>
          </w:p>
        </w:tc>
        <w:tc>
          <w:tcPr>
            <w:tcW w:w="2835" w:type="dxa"/>
            <w:vAlign w:val="center"/>
          </w:tcPr>
          <w:p>
            <w:pPr>
              <w:pStyle w:val="11"/>
            </w:pPr>
            <w:r>
              <w:t>项目名称</w:t>
            </w:r>
          </w:p>
        </w:tc>
        <w:tc>
          <w:tcPr>
            <w:tcW w:w="6095" w:type="dxa"/>
            <w:gridSpan w:val="3"/>
            <w:vAlign w:val="center"/>
          </w:tcPr>
          <w:p>
            <w:pPr>
              <w:pStyle w:val="13"/>
            </w:pPr>
            <w:r>
              <w:t>冀财政法[2024]52号提前下达2025年省级基层公检法司转移支付资金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12.66</w:t>
            </w:r>
          </w:p>
        </w:tc>
        <w:tc>
          <w:tcPr>
            <w:tcW w:w="2835" w:type="dxa"/>
            <w:vAlign w:val="center"/>
          </w:tcPr>
          <w:p>
            <w:pPr>
              <w:pStyle w:val="11"/>
            </w:pPr>
            <w:r>
              <w:t>其中：财政    资金</w:t>
            </w:r>
          </w:p>
        </w:tc>
        <w:tc>
          <w:tcPr>
            <w:tcW w:w="2551" w:type="dxa"/>
            <w:vAlign w:val="center"/>
          </w:tcPr>
          <w:p>
            <w:pPr>
              <w:pStyle w:val="13"/>
            </w:pPr>
            <w:r>
              <w:t>12.66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资金用于：办案业务费28万元。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1.预防和减少道路交通事故，保障道路交通安全、畅通、有序。</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交通安全宣传活动数量</w:t>
            </w:r>
          </w:p>
        </w:tc>
        <w:tc>
          <w:tcPr>
            <w:tcW w:w="2268" w:type="dxa"/>
            <w:vAlign w:val="center"/>
          </w:tcPr>
          <w:p>
            <w:pPr>
              <w:pStyle w:val="13"/>
            </w:pPr>
            <w:r>
              <w:t>≥7次</w:t>
            </w:r>
          </w:p>
        </w:tc>
        <w:tc>
          <w:tcPr>
            <w:tcW w:w="1276" w:type="dxa"/>
            <w:vAlign w:val="center"/>
          </w:tcPr>
          <w:p>
            <w:pPr>
              <w:pStyle w:val="13"/>
            </w:pPr>
            <w:r>
              <w:t>参照2024年工作情况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日常维修维护验收合格率</w:t>
            </w:r>
          </w:p>
          <w:p>
            <w:pPr>
              <w:pStyle w:val="13"/>
            </w:pP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项目完工时间</w:t>
            </w:r>
          </w:p>
        </w:tc>
        <w:tc>
          <w:tcPr>
            <w:tcW w:w="2268" w:type="dxa"/>
            <w:vAlign w:val="center"/>
          </w:tcPr>
          <w:p>
            <w:pPr>
              <w:pStyle w:val="13"/>
            </w:pPr>
            <w:r>
              <w:t>2025年12月31日</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126586.19元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保障机动车和非机动车安全</w:t>
            </w:r>
          </w:p>
        </w:tc>
        <w:tc>
          <w:tcPr>
            <w:tcW w:w="5386" w:type="dxa"/>
            <w:vAlign w:val="center"/>
          </w:tcPr>
          <w:p>
            <w:pPr>
              <w:pStyle w:val="13"/>
            </w:pPr>
            <w:r>
              <w:t>保障机动车和非机动车安全</w:t>
            </w:r>
          </w:p>
        </w:tc>
        <w:tc>
          <w:tcPr>
            <w:tcW w:w="2268" w:type="dxa"/>
            <w:vAlign w:val="center"/>
          </w:tcPr>
          <w:p>
            <w:pPr>
              <w:pStyle w:val="13"/>
            </w:pPr>
            <w:r>
              <w:t>保障能力比上年有所加强</w:t>
            </w:r>
          </w:p>
          <w:p>
            <w:pPr>
              <w:pStyle w:val="13"/>
            </w:pPr>
          </w:p>
        </w:tc>
        <w:tc>
          <w:tcPr>
            <w:tcW w:w="1276" w:type="dxa"/>
            <w:vAlign w:val="center"/>
          </w:tcPr>
          <w:p>
            <w:pPr>
              <w:pStyle w:val="13"/>
            </w:pPr>
            <w:r>
              <w:t>交管业务工作方案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7、冀财政法[2025]42号省级提前下达2026年基层公检法司转移支付资金绩效目标表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13018326P00031910027R</w:t>
            </w:r>
          </w:p>
        </w:tc>
        <w:tc>
          <w:tcPr>
            <w:tcW w:w="2835" w:type="dxa"/>
            <w:vAlign w:val="center"/>
          </w:tcPr>
          <w:p>
            <w:pPr>
              <w:pStyle w:val="11"/>
            </w:pPr>
            <w:r>
              <w:t>项目名称</w:t>
            </w:r>
          </w:p>
        </w:tc>
        <w:tc>
          <w:tcPr>
            <w:tcW w:w="6095" w:type="dxa"/>
            <w:gridSpan w:val="3"/>
            <w:vAlign w:val="center"/>
          </w:tcPr>
          <w:p>
            <w:pPr>
              <w:pStyle w:val="13"/>
            </w:pPr>
            <w:r>
              <w:t>冀财政法[2025]42号省级提前下达2026年基层公检法司转移支付资金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资金用于：办案业务费、交管专用材料费及维修维护等。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1.预防和减少道路交通事故，保障道路交通安全、畅通、有序。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交通安全宣传活动数量</w:t>
            </w:r>
          </w:p>
        </w:tc>
        <w:tc>
          <w:tcPr>
            <w:tcW w:w="2268" w:type="dxa"/>
            <w:vAlign w:val="center"/>
          </w:tcPr>
          <w:p>
            <w:pPr>
              <w:pStyle w:val="13"/>
            </w:pPr>
            <w:r>
              <w:t>≥7次</w:t>
            </w:r>
          </w:p>
        </w:tc>
        <w:tc>
          <w:tcPr>
            <w:tcW w:w="1276" w:type="dxa"/>
            <w:vAlign w:val="center"/>
          </w:tcPr>
          <w:p>
            <w:pPr>
              <w:pStyle w:val="13"/>
            </w:pPr>
            <w:r>
              <w:t>参照2025年工作情况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日常维修维护验收合格率</w:t>
            </w:r>
          </w:p>
          <w:p>
            <w:pPr>
              <w:pStyle w:val="13"/>
            </w:pP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项目完工时间</w:t>
            </w:r>
          </w:p>
        </w:tc>
        <w:tc>
          <w:tcPr>
            <w:tcW w:w="2268" w:type="dxa"/>
            <w:vAlign w:val="center"/>
          </w:tcPr>
          <w:p>
            <w:pPr>
              <w:pStyle w:val="13"/>
            </w:pPr>
            <w:r>
              <w:t>2026年12月31日</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30万元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保障机动车和非机动车安全</w:t>
            </w:r>
          </w:p>
        </w:tc>
        <w:tc>
          <w:tcPr>
            <w:tcW w:w="5386" w:type="dxa"/>
            <w:vAlign w:val="center"/>
          </w:tcPr>
          <w:p>
            <w:pPr>
              <w:pStyle w:val="13"/>
            </w:pPr>
            <w:r>
              <w:t>保障机动车和非机动车安全</w:t>
            </w:r>
          </w:p>
        </w:tc>
        <w:tc>
          <w:tcPr>
            <w:tcW w:w="2268" w:type="dxa"/>
            <w:vAlign w:val="center"/>
          </w:tcPr>
          <w:p>
            <w:pPr>
              <w:pStyle w:val="13"/>
            </w:pPr>
            <w:r>
              <w:t>保障能力比上年有所加强</w:t>
            </w:r>
          </w:p>
          <w:p>
            <w:pPr>
              <w:pStyle w:val="13"/>
            </w:pPr>
          </w:p>
        </w:tc>
        <w:tc>
          <w:tcPr>
            <w:tcW w:w="1276" w:type="dxa"/>
            <w:vAlign w:val="center"/>
          </w:tcPr>
          <w:p>
            <w:pPr>
              <w:pStyle w:val="13"/>
            </w:pPr>
            <w:r>
              <w:t>交管业务工作方案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8、冀财政法[2025]43号提前下达2026年中央政法纪检监察转移支付资金（办案业务费）绩效目标表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13018326P00031910025J</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冀财政法[2025]43号提前下达2026年中央政法纪检监察转移支付资金（办案业务费）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资金用于：办案业务费、交管专用材料费及维修维护等。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1.预防和减少道路交通事故，保障道路交通安全、畅通、有序。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宣传活动数量</w:t>
            </w:r>
          </w:p>
        </w:tc>
        <w:tc>
          <w:tcPr>
            <w:tcW w:w="5386" w:type="dxa"/>
            <w:vAlign w:val="center"/>
          </w:tcPr>
          <w:p>
            <w:pPr>
              <w:pStyle w:val="13"/>
            </w:pPr>
            <w:r>
              <w:t>交通安全宣传活动数量</w:t>
            </w:r>
          </w:p>
        </w:tc>
        <w:tc>
          <w:tcPr>
            <w:tcW w:w="2268" w:type="dxa"/>
            <w:vAlign w:val="center"/>
          </w:tcPr>
          <w:p>
            <w:pPr>
              <w:pStyle w:val="13"/>
            </w:pPr>
            <w:r>
              <w:t>≥7次</w:t>
            </w:r>
          </w:p>
        </w:tc>
        <w:tc>
          <w:tcPr>
            <w:tcW w:w="1276" w:type="dxa"/>
            <w:vAlign w:val="center"/>
          </w:tcPr>
          <w:p>
            <w:pPr>
              <w:pStyle w:val="13"/>
            </w:pPr>
            <w:r>
              <w:t>参照2025年工作情况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日常维修维护验收合格率</w:t>
            </w:r>
          </w:p>
          <w:p>
            <w:pPr>
              <w:pStyle w:val="13"/>
            </w:pP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项目完工时间</w:t>
            </w:r>
          </w:p>
        </w:tc>
        <w:tc>
          <w:tcPr>
            <w:tcW w:w="2268" w:type="dxa"/>
            <w:vAlign w:val="center"/>
          </w:tcPr>
          <w:p>
            <w:pPr>
              <w:pStyle w:val="13"/>
            </w:pPr>
            <w:r>
              <w:t>2026年12月31日</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24万元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保障机动车和非机动车安全</w:t>
            </w:r>
          </w:p>
        </w:tc>
        <w:tc>
          <w:tcPr>
            <w:tcW w:w="5386" w:type="dxa"/>
            <w:vAlign w:val="center"/>
          </w:tcPr>
          <w:p>
            <w:pPr>
              <w:pStyle w:val="13"/>
            </w:pPr>
            <w:r>
              <w:t>保障机动车和非机动车安全</w:t>
            </w:r>
          </w:p>
        </w:tc>
        <w:tc>
          <w:tcPr>
            <w:tcW w:w="2268" w:type="dxa"/>
            <w:vAlign w:val="center"/>
          </w:tcPr>
          <w:p>
            <w:pPr>
              <w:pStyle w:val="13"/>
            </w:pPr>
            <w:r>
              <w:t>保障能力比上年有所加强</w:t>
            </w:r>
          </w:p>
          <w:p>
            <w:pPr>
              <w:pStyle w:val="13"/>
            </w:pPr>
          </w:p>
        </w:tc>
        <w:tc>
          <w:tcPr>
            <w:tcW w:w="1276" w:type="dxa"/>
            <w:vAlign w:val="center"/>
          </w:tcPr>
          <w:p>
            <w:pPr>
              <w:pStyle w:val="13"/>
            </w:pPr>
            <w:r>
              <w:t>交管业务工作方案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9、冀财政法[2025]43号提前下达2026年中央政法纪检监察转移支付资金（业务装备费）绩效目标表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13018326P000319100266</w:t>
            </w:r>
          </w:p>
        </w:tc>
        <w:tc>
          <w:tcPr>
            <w:tcW w:w="2835" w:type="dxa"/>
            <w:vAlign w:val="center"/>
          </w:tcPr>
          <w:p>
            <w:pPr>
              <w:pStyle w:val="11"/>
            </w:pPr>
            <w:r>
              <w:t>项目名称</w:t>
            </w:r>
          </w:p>
        </w:tc>
        <w:tc>
          <w:tcPr>
            <w:tcW w:w="6095" w:type="dxa"/>
            <w:gridSpan w:val="3"/>
            <w:vAlign w:val="center"/>
          </w:tcPr>
          <w:p>
            <w:pPr>
              <w:pStyle w:val="13"/>
            </w:pPr>
            <w:r>
              <w:t>冀财政法[2025]43号提前下达2026年中央政法纪检监察转移支付资金（业务装备费）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资金用于：购买交管设施、服装等。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1.预防和减少道路交通事故，保障道路交通安全、畅通、有序。</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装备数量</w:t>
            </w:r>
          </w:p>
        </w:tc>
        <w:tc>
          <w:tcPr>
            <w:tcW w:w="5386" w:type="dxa"/>
            <w:vAlign w:val="center"/>
          </w:tcPr>
          <w:p>
            <w:pPr>
              <w:pStyle w:val="13"/>
            </w:pPr>
            <w:r>
              <w:t>装备购置数量</w:t>
            </w:r>
          </w:p>
        </w:tc>
        <w:tc>
          <w:tcPr>
            <w:tcW w:w="2268" w:type="dxa"/>
            <w:vAlign w:val="center"/>
          </w:tcPr>
          <w:p>
            <w:pPr>
              <w:pStyle w:val="13"/>
            </w:pPr>
            <w:r>
              <w:t>≥230套</w:t>
            </w:r>
          </w:p>
        </w:tc>
        <w:tc>
          <w:tcPr>
            <w:tcW w:w="1276" w:type="dxa"/>
            <w:vAlign w:val="center"/>
          </w:tcPr>
          <w:p>
            <w:pPr>
              <w:pStyle w:val="13"/>
            </w:pPr>
            <w:r>
              <w:t>参照2025年工作情况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日常维修维护的合格率</w:t>
            </w:r>
          </w:p>
          <w:p>
            <w:pPr>
              <w:pStyle w:val="13"/>
            </w:pPr>
          </w:p>
        </w:tc>
        <w:tc>
          <w:tcPr>
            <w:tcW w:w="2268" w:type="dxa"/>
            <w:vAlign w:val="center"/>
          </w:tcPr>
          <w:p>
            <w:pPr>
              <w:pStyle w:val="13"/>
            </w:pPr>
            <w:r>
              <w:t>100%</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工期完工时间</w:t>
            </w:r>
          </w:p>
        </w:tc>
        <w:tc>
          <w:tcPr>
            <w:tcW w:w="5386" w:type="dxa"/>
            <w:vAlign w:val="center"/>
          </w:tcPr>
          <w:p>
            <w:pPr>
              <w:pStyle w:val="13"/>
            </w:pPr>
            <w:r>
              <w:t>工期完工时间</w:t>
            </w:r>
          </w:p>
        </w:tc>
        <w:tc>
          <w:tcPr>
            <w:tcW w:w="2268" w:type="dxa"/>
            <w:vAlign w:val="center"/>
          </w:tcPr>
          <w:p>
            <w:pPr>
              <w:pStyle w:val="13"/>
            </w:pPr>
            <w:r>
              <w:t>2026 年12月31日前</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16万元</w:t>
            </w:r>
          </w:p>
        </w:tc>
        <w:tc>
          <w:tcPr>
            <w:tcW w:w="1276" w:type="dxa"/>
            <w:vAlign w:val="center"/>
          </w:tcPr>
          <w:p>
            <w:pPr>
              <w:pStyle w:val="13"/>
            </w:pPr>
            <w:r>
              <w:t>实际测算需求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保障机动车和非机动车安全</w:t>
            </w:r>
          </w:p>
        </w:tc>
        <w:tc>
          <w:tcPr>
            <w:tcW w:w="5386" w:type="dxa"/>
            <w:vAlign w:val="center"/>
          </w:tcPr>
          <w:p>
            <w:pPr>
              <w:pStyle w:val="13"/>
            </w:pPr>
            <w:r>
              <w:t>保障机动车和非机动车安全</w:t>
            </w:r>
          </w:p>
        </w:tc>
        <w:tc>
          <w:tcPr>
            <w:tcW w:w="2268" w:type="dxa"/>
            <w:vAlign w:val="center"/>
          </w:tcPr>
          <w:p>
            <w:pPr>
              <w:pStyle w:val="13"/>
            </w:pPr>
            <w:r>
              <w:t>保障能力比上年有所加强</w:t>
            </w:r>
          </w:p>
        </w:tc>
        <w:tc>
          <w:tcPr>
            <w:tcW w:w="1276" w:type="dxa"/>
            <w:vAlign w:val="center"/>
          </w:tcPr>
          <w:p>
            <w:pPr>
              <w:pStyle w:val="13"/>
            </w:pPr>
            <w:r>
              <w:t>交管业务工作方案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451晋州市公安局交通管理大队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524.83</w:t>
            </w:r>
          </w:p>
        </w:tc>
        <w:tc>
          <w:tcPr>
            <w:tcW w:w="964" w:type="dxa"/>
            <w:vAlign w:val="center"/>
          </w:tcPr>
          <w:p>
            <w:pPr>
              <w:pStyle w:val="16"/>
            </w:pPr>
            <w:r>
              <w:t>524.83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晋州市公安局交通管理大队本级小计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524.83</w:t>
            </w:r>
          </w:p>
        </w:tc>
        <w:tc>
          <w:tcPr>
            <w:tcW w:w="964" w:type="dxa"/>
            <w:vAlign w:val="center"/>
          </w:tcPr>
          <w:p>
            <w:pPr>
              <w:pStyle w:val="16"/>
            </w:pPr>
            <w:r>
              <w:t>524.83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524.83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（日常公用）</w:t>
            </w:r>
          </w:p>
        </w:tc>
        <w:tc>
          <w:tcPr>
            <w:tcW w:w="964" w:type="dxa"/>
            <w:vAlign w:val="center"/>
          </w:tcPr>
          <w:p>
            <w:pPr>
              <w:pStyle w:val="12"/>
            </w:pPr>
            <w:r>
              <w:t>832.00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25.00</w:t>
            </w:r>
          </w:p>
        </w:tc>
        <w:tc>
          <w:tcPr>
            <w:tcW w:w="964" w:type="dxa"/>
            <w:vAlign w:val="center"/>
          </w:tcPr>
          <w:p>
            <w:pPr>
              <w:pStyle w:val="12"/>
            </w:pPr>
            <w:r>
              <w:t>25.00</w:t>
            </w:r>
          </w:p>
        </w:tc>
        <w:tc>
          <w:tcPr>
            <w:tcW w:w="964" w:type="dxa"/>
            <w:vAlign w:val="center"/>
          </w:tcPr>
          <w:p>
            <w:pPr>
              <w:pStyle w:val="12"/>
            </w:pPr>
            <w:r>
              <w:t>25.00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安全设施费</w:t>
            </w:r>
          </w:p>
        </w:tc>
        <w:tc>
          <w:tcPr>
            <w:tcW w:w="964" w:type="dxa"/>
            <w:vAlign w:val="center"/>
          </w:tcPr>
          <w:p>
            <w:pPr>
              <w:pStyle w:val="12"/>
            </w:pPr>
            <w:r>
              <w:t>160.00</w:t>
            </w:r>
          </w:p>
        </w:tc>
        <w:tc>
          <w:tcPr>
            <w:tcW w:w="1134" w:type="dxa"/>
            <w:vAlign w:val="center"/>
          </w:tcPr>
          <w:p>
            <w:pPr>
              <w:pStyle w:val="13"/>
            </w:pPr>
            <w:r>
              <w:t>公共安全服务</w:t>
            </w:r>
          </w:p>
        </w:tc>
        <w:tc>
          <w:tcPr>
            <w:tcW w:w="1134" w:type="dxa"/>
            <w:vAlign w:val="center"/>
          </w:tcPr>
          <w:p>
            <w:pPr>
              <w:pStyle w:val="13"/>
            </w:pPr>
            <w:r>
              <w:t>C05040100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160.00</w:t>
            </w:r>
          </w:p>
        </w:tc>
        <w:tc>
          <w:tcPr>
            <w:tcW w:w="964" w:type="dxa"/>
            <w:vAlign w:val="center"/>
          </w:tcPr>
          <w:p>
            <w:pPr>
              <w:pStyle w:val="12"/>
            </w:pPr>
            <w:r>
              <w:t>160.00</w:t>
            </w:r>
          </w:p>
        </w:tc>
        <w:tc>
          <w:tcPr>
            <w:tcW w:w="964" w:type="dxa"/>
            <w:vAlign w:val="center"/>
          </w:tcPr>
          <w:p>
            <w:pPr>
              <w:pStyle w:val="12"/>
            </w:pPr>
            <w:r>
              <w:t>160.00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电子警察</w:t>
            </w:r>
          </w:p>
        </w:tc>
        <w:tc>
          <w:tcPr>
            <w:tcW w:w="964" w:type="dxa"/>
            <w:vAlign w:val="center"/>
          </w:tcPr>
          <w:p>
            <w:pPr>
              <w:pStyle w:val="12"/>
            </w:pPr>
            <w:r>
              <w:t>339.83</w:t>
            </w:r>
          </w:p>
        </w:tc>
        <w:tc>
          <w:tcPr>
            <w:tcW w:w="1134" w:type="dxa"/>
            <w:vAlign w:val="center"/>
          </w:tcPr>
          <w:p>
            <w:pPr>
              <w:pStyle w:val="13"/>
            </w:pPr>
            <w:r>
              <w:t>交通管理设备</w:t>
            </w:r>
          </w:p>
        </w:tc>
        <w:tc>
          <w:tcPr>
            <w:tcW w:w="1134" w:type="dxa"/>
            <w:vAlign w:val="center"/>
          </w:tcPr>
          <w:p>
            <w:pPr>
              <w:pStyle w:val="13"/>
            </w:pPr>
            <w:r>
              <w:t>A02370200</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339.83</w:t>
            </w:r>
          </w:p>
        </w:tc>
        <w:tc>
          <w:tcPr>
            <w:tcW w:w="964" w:type="dxa"/>
            <w:vAlign w:val="center"/>
          </w:tcPr>
          <w:p>
            <w:pPr>
              <w:pStyle w:val="12"/>
            </w:pPr>
            <w:r>
              <w:t>339.83</w:t>
            </w:r>
          </w:p>
        </w:tc>
        <w:tc>
          <w:tcPr>
            <w:tcW w:w="964" w:type="dxa"/>
            <w:vAlign w:val="center"/>
          </w:tcPr>
          <w:p>
            <w:pPr>
              <w:pStyle w:val="12"/>
            </w:pPr>
            <w:r>
              <w:t>339.83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339.83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晋州市公安局交通管理大队（含所属单位）上年末固定资产金额为2941.31万元（详见下表）。本年度拟购置固定资产总额为0.00万元，已按要求列入政府采购预算，详见政府采购预算表。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451晋州市公安局交通管理大队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2941.31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6064.59</w:t>
            </w:r>
          </w:p>
        </w:tc>
        <w:tc>
          <w:tcPr>
            <w:tcW w:w="2835" w:type="dxa"/>
            <w:vAlign w:val="center"/>
          </w:tcPr>
          <w:p>
            <w:pPr>
              <w:pStyle w:val="12"/>
            </w:pPr>
            <w:r>
              <w:t>407.54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6064.59</w:t>
            </w:r>
          </w:p>
        </w:tc>
        <w:tc>
          <w:tcPr>
            <w:tcW w:w="2835" w:type="dxa"/>
            <w:vAlign w:val="center"/>
          </w:tcPr>
          <w:p>
            <w:pPr>
              <w:pStyle w:val="12"/>
            </w:pPr>
            <w:r>
              <w:t>407.54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16</w:t>
            </w:r>
          </w:p>
        </w:tc>
        <w:tc>
          <w:tcPr>
            <w:tcW w:w="2835" w:type="dxa"/>
            <w:vAlign w:val="center"/>
          </w:tcPr>
          <w:p>
            <w:pPr>
              <w:pStyle w:val="12"/>
            </w:pPr>
            <w:r>
              <w:t>152.52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4</w:t>
            </w:r>
          </w:p>
        </w:tc>
        <w:tc>
          <w:tcPr>
            <w:tcW w:w="2835" w:type="dxa"/>
            <w:vAlign w:val="center"/>
          </w:tcPr>
          <w:p>
            <w:pPr>
              <w:pStyle w:val="12"/>
            </w:pPr>
            <w:r>
              <w:t>417.00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1954</w:t>
            </w:r>
          </w:p>
        </w:tc>
        <w:tc>
          <w:tcPr>
            <w:tcW w:w="2835" w:type="dxa"/>
            <w:vAlign w:val="center"/>
          </w:tcPr>
          <w:p>
            <w:pPr>
              <w:pStyle w:val="12"/>
            </w:pPr>
            <w:r>
              <w:t>1964.25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3A17319"/>
    <w:multiLevelType w:val="singleLevel"/>
    <w:tmpl w:val="63A17319"/>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7C7E5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2026-03-02T09:48:00Z</dcterms:created>
  <dc:creator>Administrator</dc:creator>
  <cp:lastModifiedBy>Administrator</cp:lastModifiedBy>
  <dcterms:modified xsi:type="dcterms:W3CDTF">2026-03-02T03:38:49Z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