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一、晋州市工商业联合会本级收支预算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一、晋州市工商业联合会本级收支预算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97.76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97.76</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97.76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97.76</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97.76</w:t>
            </w:r>
          </w:p>
        </w:tc>
        <w:tc>
          <w:tcPr>
            <w:tcW w:w="4535" w:type="dxa"/>
            <w:vAlign w:val="center"/>
          </w:tcPr>
          <w:p>
            <w:pPr>
              <w:pStyle w:val="单元格样式6"/>
            </w:pPr>
            <w:r>
              <w:t xml:space="preserve">支出总计</w:t>
            </w:r>
          </w:p>
        </w:tc>
        <w:tc>
          <w:tcPr>
            <w:tcW w:w="2126" w:type="dxa"/>
            <w:vAlign w:val="center"/>
          </w:tcPr>
          <w:p>
            <w:pPr>
              <w:pStyle w:val="单元格样式7"/>
            </w:pPr>
            <w:r>
              <w:t xml:space="preserve">97.76</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97.76</w:t>
            </w:r>
          </w:p>
        </w:tc>
        <w:tc>
          <w:tcPr>
            <w:tcW w:w="1134" w:type="dxa"/>
            <w:vAlign w:val="center"/>
          </w:tcPr>
          <w:p>
            <w:pPr>
              <w:pStyle w:val="单元格样式7"/>
            </w:pPr>
            <w:r>
              <w:t xml:space="preserve">97.76</w:t>
            </w:r>
          </w:p>
        </w:tc>
        <w:tc>
          <w:tcPr>
            <w:tcW w:w="1134" w:type="dxa"/>
            <w:vAlign w:val="center"/>
          </w:tcPr>
          <w:p>
            <w:pPr>
              <w:pStyle w:val="单元格样式7"/>
            </w:pPr>
            <w:r>
              <w:t xml:space="preserve">97.76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97.76</w:t>
            </w:r>
          </w:p>
        </w:tc>
        <w:tc>
          <w:tcPr>
            <w:tcW w:w="1134" w:type="dxa"/>
            <w:vAlign w:val="center"/>
          </w:tcPr>
          <w:p>
            <w:pPr>
              <w:pStyle w:val="单元格样式4"/>
            </w:pPr>
            <w:r>
              <w:t xml:space="preserve">97.76</w:t>
            </w:r>
          </w:p>
        </w:tc>
        <w:tc>
          <w:tcPr>
            <w:tcW w:w="1134" w:type="dxa"/>
            <w:vAlign w:val="center"/>
          </w:tcPr>
          <w:p>
            <w:pPr>
              <w:pStyle w:val="单元格样式4"/>
            </w:pPr>
            <w:r>
              <w:t xml:space="preserve">97.76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20128</w:t>
            </w:r>
          </w:p>
        </w:tc>
        <w:tc>
          <w:tcPr>
            <w:tcW w:w="1559" w:type="dxa"/>
            <w:vAlign w:val="center"/>
          </w:tcPr>
          <w:p>
            <w:pPr>
              <w:pStyle w:val="单元格样式2"/>
            </w:pPr>
            <w:r>
              <w:t xml:space="preserve">民主党派及工商联事务</w:t>
            </w:r>
          </w:p>
        </w:tc>
        <w:tc>
          <w:tcPr>
            <w:tcW w:w="1134" w:type="dxa"/>
            <w:vAlign w:val="center"/>
          </w:tcPr>
          <w:p>
            <w:pPr>
              <w:pStyle w:val="单元格样式4"/>
            </w:pPr>
            <w:r>
              <w:t xml:space="preserve">97.76</w:t>
            </w:r>
          </w:p>
        </w:tc>
        <w:tc>
          <w:tcPr>
            <w:tcW w:w="1134" w:type="dxa"/>
            <w:vAlign w:val="center"/>
          </w:tcPr>
          <w:p>
            <w:pPr>
              <w:pStyle w:val="单元格样式4"/>
            </w:pPr>
            <w:r>
              <w:t xml:space="preserve">97.76</w:t>
            </w:r>
          </w:p>
        </w:tc>
        <w:tc>
          <w:tcPr>
            <w:tcW w:w="1134" w:type="dxa"/>
            <w:vAlign w:val="center"/>
          </w:tcPr>
          <w:p>
            <w:pPr>
              <w:pStyle w:val="单元格样式4"/>
            </w:pPr>
            <w:r>
              <w:t xml:space="preserve">97.76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2012801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94.76</w:t>
            </w:r>
          </w:p>
        </w:tc>
        <w:tc>
          <w:tcPr>
            <w:tcW w:w="1134" w:type="dxa"/>
            <w:vAlign w:val="center"/>
          </w:tcPr>
          <w:p>
            <w:pPr>
              <w:pStyle w:val="单元格样式4"/>
            </w:pPr>
            <w:r>
              <w:t xml:space="preserve">94.76</w:t>
            </w:r>
          </w:p>
        </w:tc>
        <w:tc>
          <w:tcPr>
            <w:tcW w:w="1134" w:type="dxa"/>
            <w:vAlign w:val="center"/>
          </w:tcPr>
          <w:p>
            <w:pPr>
              <w:pStyle w:val="单元格样式4"/>
            </w:pPr>
            <w:r>
              <w:t xml:space="preserve">94.76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2012899</w:t>
            </w:r>
          </w:p>
        </w:tc>
        <w:tc>
          <w:tcPr>
            <w:tcW w:w="1559" w:type="dxa"/>
            <w:vAlign w:val="center"/>
          </w:tcPr>
          <w:p>
            <w:pPr>
              <w:pStyle w:val="单元格样式2"/>
            </w:pPr>
            <w:r>
              <w:t xml:space="preserve">其他民主党派及工商联事务支出</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97.76</w:t>
            </w:r>
          </w:p>
        </w:tc>
        <w:tc>
          <w:tcPr>
            <w:tcW w:w="1361" w:type="dxa"/>
            <w:vAlign w:val="center"/>
          </w:tcPr>
          <w:p>
            <w:pPr>
              <w:pStyle w:val="单元格样式7"/>
            </w:pPr>
            <w:r>
              <w:t xml:space="preserve">94.76</w:t>
            </w:r>
          </w:p>
        </w:tc>
        <w:tc>
          <w:tcPr>
            <w:tcW w:w="1361" w:type="dxa"/>
            <w:vAlign w:val="center"/>
          </w:tcPr>
          <w:p>
            <w:pPr>
              <w:pStyle w:val="单元格样式7"/>
            </w:pPr>
            <w:r>
              <w:t xml:space="preserve">3.00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97.76</w:t>
            </w:r>
          </w:p>
        </w:tc>
        <w:tc>
          <w:tcPr>
            <w:tcW w:w="1361" w:type="dxa"/>
            <w:vAlign w:val="center"/>
          </w:tcPr>
          <w:p>
            <w:pPr>
              <w:pStyle w:val="单元格样式4"/>
            </w:pPr>
            <w:r>
              <w:t xml:space="preserve">94.76</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20128</w:t>
            </w:r>
          </w:p>
        </w:tc>
        <w:tc>
          <w:tcPr>
            <w:tcW w:w="4535" w:type="dxa"/>
            <w:vAlign w:val="center"/>
          </w:tcPr>
          <w:p>
            <w:pPr>
              <w:pStyle w:val="单元格样式2"/>
            </w:pPr>
            <w:r>
              <w:t xml:space="preserve">民主党派及工商联事务</w:t>
            </w:r>
          </w:p>
        </w:tc>
        <w:tc>
          <w:tcPr>
            <w:tcW w:w="1361" w:type="dxa"/>
            <w:vAlign w:val="center"/>
          </w:tcPr>
          <w:p>
            <w:pPr>
              <w:pStyle w:val="单元格样式4"/>
            </w:pPr>
            <w:r>
              <w:t xml:space="preserve">97.76</w:t>
            </w:r>
          </w:p>
        </w:tc>
        <w:tc>
          <w:tcPr>
            <w:tcW w:w="1361" w:type="dxa"/>
            <w:vAlign w:val="center"/>
          </w:tcPr>
          <w:p>
            <w:pPr>
              <w:pStyle w:val="单元格样式4"/>
            </w:pPr>
            <w:r>
              <w:t xml:space="preserve">94.76</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2012801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94.76</w:t>
            </w:r>
          </w:p>
        </w:tc>
        <w:tc>
          <w:tcPr>
            <w:tcW w:w="1361" w:type="dxa"/>
            <w:vAlign w:val="center"/>
          </w:tcPr>
          <w:p>
            <w:pPr>
              <w:pStyle w:val="单元格样式4"/>
            </w:pPr>
            <w:r>
              <w:t xml:space="preserve">94.76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2012899</w:t>
            </w:r>
          </w:p>
        </w:tc>
        <w:tc>
          <w:tcPr>
            <w:tcW w:w="4535" w:type="dxa"/>
            <w:vAlign w:val="center"/>
          </w:tcPr>
          <w:p>
            <w:pPr>
              <w:pStyle w:val="单元格样式2"/>
            </w:pPr>
            <w:r>
              <w:t xml:space="preserve">其他民主党派及工商联事务支出</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97.76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97.76</w:t>
            </w:r>
          </w:p>
        </w:tc>
        <w:tc>
          <w:tcPr>
            <w:tcW w:w="1474" w:type="dxa"/>
            <w:vAlign w:val="center"/>
          </w:tcPr>
          <w:p>
            <w:pPr>
              <w:pStyle w:val="单元格样式4"/>
            </w:pPr>
            <w:r>
              <w:t xml:space="preserve">97.76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97.76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97.76</w:t>
            </w:r>
          </w:p>
        </w:tc>
        <w:tc>
          <w:tcPr>
            <w:tcW w:w="1474" w:type="dxa"/>
            <w:vAlign w:val="center"/>
          </w:tcPr>
          <w:p>
            <w:pPr>
              <w:pStyle w:val="单元格样式7"/>
            </w:pPr>
            <w:r>
              <w:t xml:space="preserve">97.76</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97.76</w:t>
            </w:r>
          </w:p>
        </w:tc>
        <w:tc>
          <w:tcPr>
            <w:tcW w:w="3402" w:type="dxa"/>
            <w:vAlign w:val="center"/>
          </w:tcPr>
          <w:p>
            <w:pPr>
              <w:pStyle w:val="单元格样式6"/>
            </w:pPr>
            <w:r>
              <w:t xml:space="preserve">支出总计</w:t>
            </w:r>
          </w:p>
        </w:tc>
        <w:tc>
          <w:tcPr>
            <w:tcW w:w="1474" w:type="dxa"/>
            <w:vAlign w:val="center"/>
          </w:tcPr>
          <w:p>
            <w:pPr>
              <w:pStyle w:val="单元格样式7"/>
            </w:pPr>
            <w:r>
              <w:t xml:space="preserve">97.76</w:t>
            </w:r>
          </w:p>
        </w:tc>
        <w:tc>
          <w:tcPr>
            <w:tcW w:w="1474" w:type="dxa"/>
            <w:vAlign w:val="center"/>
          </w:tcPr>
          <w:p>
            <w:pPr>
              <w:pStyle w:val="单元格样式7"/>
            </w:pPr>
            <w:r>
              <w:t xml:space="preserve">97.76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97.76</w:t>
            </w:r>
          </w:p>
        </w:tc>
        <w:tc>
          <w:tcPr>
            <w:tcW w:w="2551" w:type="dxa"/>
            <w:vAlign w:val="center"/>
          </w:tcPr>
          <w:p>
            <w:pPr>
              <w:pStyle w:val="单元格样式7"/>
            </w:pPr>
            <w:r>
              <w:t xml:space="preserve">94.76</w:t>
            </w:r>
          </w:p>
        </w:tc>
        <w:tc>
          <w:tcPr>
            <w:tcW w:w="2551" w:type="dxa"/>
            <w:vAlign w:val="center"/>
          </w:tcPr>
          <w:p>
            <w:pPr>
              <w:pStyle w:val="单元格样式7"/>
            </w:pPr>
            <w:r>
              <w:t xml:space="preserve">3.00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97.76</w:t>
            </w:r>
          </w:p>
        </w:tc>
        <w:tc>
          <w:tcPr>
            <w:tcW w:w="2551" w:type="dxa"/>
            <w:vAlign w:val="center"/>
          </w:tcPr>
          <w:p>
            <w:pPr>
              <w:pStyle w:val="单元格样式4"/>
            </w:pPr>
            <w:r>
              <w:t xml:space="preserve">94.76</w:t>
            </w: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20128</w:t>
            </w:r>
          </w:p>
        </w:tc>
        <w:tc>
          <w:tcPr>
            <w:tcW w:w="4535" w:type="dxa"/>
            <w:vAlign w:val="center"/>
          </w:tcPr>
          <w:p>
            <w:pPr>
              <w:pStyle w:val="单元格样式2"/>
            </w:pPr>
            <w:r>
              <w:t xml:space="preserve">民主党派及工商联事务</w:t>
            </w:r>
          </w:p>
        </w:tc>
        <w:tc>
          <w:tcPr>
            <w:tcW w:w="2551" w:type="dxa"/>
            <w:vAlign w:val="center"/>
          </w:tcPr>
          <w:p>
            <w:pPr>
              <w:pStyle w:val="单元格样式4"/>
            </w:pPr>
            <w:r>
              <w:t xml:space="preserve">97.76</w:t>
            </w:r>
          </w:p>
        </w:tc>
        <w:tc>
          <w:tcPr>
            <w:tcW w:w="2551" w:type="dxa"/>
            <w:vAlign w:val="center"/>
          </w:tcPr>
          <w:p>
            <w:pPr>
              <w:pStyle w:val="单元格样式4"/>
            </w:pPr>
            <w:r>
              <w:t xml:space="preserve">94.76</w:t>
            </w: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2012801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94.76</w:t>
            </w:r>
          </w:p>
        </w:tc>
        <w:tc>
          <w:tcPr>
            <w:tcW w:w="2551" w:type="dxa"/>
            <w:vAlign w:val="center"/>
          </w:tcPr>
          <w:p>
            <w:pPr>
              <w:pStyle w:val="单元格样式4"/>
            </w:pPr>
            <w:r>
              <w:t xml:space="preserve">94.76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2012899</w:t>
            </w:r>
          </w:p>
        </w:tc>
        <w:tc>
          <w:tcPr>
            <w:tcW w:w="4535" w:type="dxa"/>
            <w:vAlign w:val="center"/>
          </w:tcPr>
          <w:p>
            <w:pPr>
              <w:pStyle w:val="单元格样式2"/>
            </w:pPr>
            <w:r>
              <w:t xml:space="preserve">其他民主党派及工商联事务支出</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94.76</w:t>
            </w:r>
          </w:p>
        </w:tc>
        <w:tc>
          <w:tcPr>
            <w:tcW w:w="2551" w:type="dxa"/>
            <w:vAlign w:val="center"/>
          </w:tcPr>
          <w:p>
            <w:pPr>
              <w:pStyle w:val="单元格样式7"/>
            </w:pPr>
            <w:r>
              <w:t xml:space="preserve">84.38</w:t>
            </w:r>
          </w:p>
        </w:tc>
        <w:tc>
          <w:tcPr>
            <w:tcW w:w="2551" w:type="dxa"/>
            <w:vAlign w:val="center"/>
          </w:tcPr>
          <w:p>
            <w:pPr>
              <w:pStyle w:val="单元格样式7"/>
            </w:pPr>
            <w:r>
              <w:t xml:space="preserve">10.38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72.97</w:t>
            </w:r>
          </w:p>
        </w:tc>
        <w:tc>
          <w:tcPr>
            <w:tcW w:w="2551" w:type="dxa"/>
            <w:vAlign w:val="center"/>
          </w:tcPr>
          <w:p>
            <w:pPr>
              <w:pStyle w:val="单元格样式4"/>
            </w:pPr>
            <w:r>
              <w:t xml:space="preserve">72.97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30.27</w:t>
            </w:r>
          </w:p>
        </w:tc>
        <w:tc>
          <w:tcPr>
            <w:tcW w:w="2551" w:type="dxa"/>
            <w:vAlign w:val="center"/>
          </w:tcPr>
          <w:p>
            <w:pPr>
              <w:pStyle w:val="单元格样式4"/>
            </w:pPr>
            <w:r>
              <w:t xml:space="preserve">30.27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12.83</w:t>
            </w:r>
          </w:p>
        </w:tc>
        <w:tc>
          <w:tcPr>
            <w:tcW w:w="2551" w:type="dxa"/>
            <w:vAlign w:val="center"/>
          </w:tcPr>
          <w:p>
            <w:pPr>
              <w:pStyle w:val="单元格样式4"/>
            </w:pPr>
            <w:r>
              <w:t xml:space="preserve">12.83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11.43</w:t>
            </w:r>
          </w:p>
        </w:tc>
        <w:tc>
          <w:tcPr>
            <w:tcW w:w="2551" w:type="dxa"/>
            <w:vAlign w:val="center"/>
          </w:tcPr>
          <w:p>
            <w:pPr>
              <w:pStyle w:val="单元格样式4"/>
            </w:pPr>
            <w:r>
              <w:t xml:space="preserve">11.43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7.70</w:t>
            </w:r>
          </w:p>
        </w:tc>
        <w:tc>
          <w:tcPr>
            <w:tcW w:w="2551" w:type="dxa"/>
            <w:vAlign w:val="center"/>
          </w:tcPr>
          <w:p>
            <w:pPr>
              <w:pStyle w:val="单元格样式4"/>
            </w:pPr>
            <w:r>
              <w:t xml:space="preserve">7.70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2.90</w:t>
            </w:r>
          </w:p>
        </w:tc>
        <w:tc>
          <w:tcPr>
            <w:tcW w:w="2551" w:type="dxa"/>
            <w:vAlign w:val="center"/>
          </w:tcPr>
          <w:p>
            <w:pPr>
              <w:pStyle w:val="单元格样式4"/>
            </w:pPr>
            <w:r>
              <w:t xml:space="preserve">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1.48</w:t>
            </w:r>
          </w:p>
        </w:tc>
        <w:tc>
          <w:tcPr>
            <w:tcW w:w="2551" w:type="dxa"/>
            <w:vAlign w:val="center"/>
          </w:tcPr>
          <w:p>
            <w:pPr>
              <w:pStyle w:val="单元格样式4"/>
            </w:pPr>
            <w:r>
              <w:t xml:space="preserve">1.48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0.25</w:t>
            </w:r>
          </w:p>
        </w:tc>
        <w:tc>
          <w:tcPr>
            <w:tcW w:w="2551" w:type="dxa"/>
            <w:vAlign w:val="center"/>
          </w:tcPr>
          <w:p>
            <w:pPr>
              <w:pStyle w:val="单元格样式4"/>
            </w:pPr>
            <w:r>
              <w:t xml:space="preserve">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6.11</w:t>
            </w:r>
          </w:p>
        </w:tc>
        <w:tc>
          <w:tcPr>
            <w:tcW w:w="2551" w:type="dxa"/>
            <w:vAlign w:val="center"/>
          </w:tcPr>
          <w:p>
            <w:pPr>
              <w:pStyle w:val="单元格样式4"/>
            </w:pPr>
            <w:r>
              <w:t xml:space="preserve">6.11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10.38</w:t>
            </w:r>
          </w:p>
        </w:tc>
        <w:tc>
          <w:tcPr>
            <w:tcW w:w="2551" w:type="dxa"/>
            <w:vAlign w:val="center"/>
          </w:tcPr>
          <w:p>
            <w:pPr>
              <w:pStyle w:val="单元格样式4"/>
            </w:pPr>
          </w:p>
        </w:tc>
        <w:tc>
          <w:tcPr>
            <w:tcW w:w="2551" w:type="dxa"/>
            <w:vAlign w:val="center"/>
          </w:tcPr>
          <w:p>
            <w:pPr>
              <w:pStyle w:val="单元格样式4"/>
            </w:pPr>
            <w:r>
              <w:t xml:space="preserve">10.38</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1.92</w:t>
            </w:r>
          </w:p>
        </w:tc>
        <w:tc>
          <w:tcPr>
            <w:tcW w:w="2551" w:type="dxa"/>
            <w:vAlign w:val="center"/>
          </w:tcPr>
          <w:p>
            <w:pPr>
              <w:pStyle w:val="单元格样式4"/>
            </w:pPr>
          </w:p>
        </w:tc>
        <w:tc>
          <w:tcPr>
            <w:tcW w:w="2551" w:type="dxa"/>
            <w:vAlign w:val="center"/>
          </w:tcPr>
          <w:p>
            <w:pPr>
              <w:pStyle w:val="单元格样式4"/>
            </w:pPr>
            <w:r>
              <w:t xml:space="preserve">1.92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2.46</w:t>
            </w:r>
          </w:p>
        </w:tc>
        <w:tc>
          <w:tcPr>
            <w:tcW w:w="2551" w:type="dxa"/>
            <w:vAlign w:val="center"/>
          </w:tcPr>
          <w:p>
            <w:pPr>
              <w:pStyle w:val="单元格样式4"/>
            </w:pPr>
          </w:p>
        </w:tc>
        <w:tc>
          <w:tcPr>
            <w:tcW w:w="2551" w:type="dxa"/>
            <w:vAlign w:val="center"/>
          </w:tcPr>
          <w:p>
            <w:pPr>
              <w:pStyle w:val="单元格样式4"/>
            </w:pPr>
            <w:r>
              <w:t xml:space="preserve">2.46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0.58</w:t>
            </w:r>
          </w:p>
        </w:tc>
        <w:tc>
          <w:tcPr>
            <w:tcW w:w="2551" w:type="dxa"/>
            <w:vAlign w:val="center"/>
          </w:tcPr>
          <w:p>
            <w:pPr>
              <w:pStyle w:val="单元格样式4"/>
            </w:pPr>
          </w:p>
        </w:tc>
        <w:tc>
          <w:tcPr>
            <w:tcW w:w="2551" w:type="dxa"/>
            <w:vAlign w:val="center"/>
          </w:tcPr>
          <w:p>
            <w:pPr>
              <w:pStyle w:val="单元格样式4"/>
            </w:pPr>
            <w:r>
              <w:t xml:space="preserve">0.58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3.84</w:t>
            </w:r>
          </w:p>
        </w:tc>
        <w:tc>
          <w:tcPr>
            <w:tcW w:w="2551" w:type="dxa"/>
            <w:vAlign w:val="center"/>
          </w:tcPr>
          <w:p>
            <w:pPr>
              <w:pStyle w:val="单元格样式4"/>
            </w:pPr>
          </w:p>
        </w:tc>
        <w:tc>
          <w:tcPr>
            <w:tcW w:w="2551" w:type="dxa"/>
            <w:vAlign w:val="center"/>
          </w:tcPr>
          <w:p>
            <w:pPr>
              <w:pStyle w:val="单元格样式4"/>
            </w:pPr>
            <w:r>
              <w:t xml:space="preserve">3.84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1.58</w:t>
            </w:r>
          </w:p>
        </w:tc>
        <w:tc>
          <w:tcPr>
            <w:tcW w:w="2551" w:type="dxa"/>
            <w:vAlign w:val="center"/>
          </w:tcPr>
          <w:p>
            <w:pPr>
              <w:pStyle w:val="单元格样式4"/>
            </w:pPr>
          </w:p>
        </w:tc>
        <w:tc>
          <w:tcPr>
            <w:tcW w:w="2551" w:type="dxa"/>
            <w:vAlign w:val="center"/>
          </w:tcPr>
          <w:p>
            <w:pPr>
              <w:pStyle w:val="单元格样式4"/>
            </w:pPr>
            <w:r>
              <w:t xml:space="preserve">1.58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11.41</w:t>
            </w:r>
          </w:p>
        </w:tc>
        <w:tc>
          <w:tcPr>
            <w:tcW w:w="2551" w:type="dxa"/>
            <w:vAlign w:val="center"/>
          </w:tcPr>
          <w:p>
            <w:pPr>
              <w:pStyle w:val="单元格样式4"/>
            </w:pPr>
            <w:r>
              <w:t xml:space="preserve">11.41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11.41</w:t>
            </w:r>
          </w:p>
        </w:tc>
        <w:tc>
          <w:tcPr>
            <w:tcW w:w="2551" w:type="dxa"/>
            <w:vAlign w:val="center"/>
          </w:tcPr>
          <w:p>
            <w:pPr>
              <w:pStyle w:val="单元格样式4"/>
            </w:pPr>
            <w:r>
              <w:t xml:space="preserve">11.41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晋州市工商业联合会本级2026年单位预算信息公开情况说明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按照《中华人民共和国预算法》、《地方预决算公开操作规程》和《关于进一步推进预算公开工作的实施意见》规定，现将晋州市工商业联合会本级2026年单位预算公开如下：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1、加强和改进非公有制经济人士思想政治工作。</w:t>
      </w:r>
    </w:p>
    <w:p>
      <w:pPr>
        <w:pStyle w:val="插入文本样式-插入单位职责文件"/>
      </w:pPr>
      <w:r>
        <w:t xml:space="preserve">2、参与政治协商，发挥民主监督作用，积极参政议政。</w:t>
      </w:r>
    </w:p>
    <w:p>
      <w:pPr>
        <w:pStyle w:val="插入文本样式-插入单位职责文件"/>
      </w:pPr>
      <w:r>
        <w:t xml:space="preserve">3、协助政府管理和服务非公有制经济。</w:t>
      </w:r>
    </w:p>
    <w:p>
      <w:pPr>
        <w:pStyle w:val="插入文本样式-插入单位职责文件"/>
      </w:pPr>
      <w:r>
        <w:t xml:space="preserve">4、促进行业协会商会改革发展。</w:t>
      </w:r>
    </w:p>
    <w:p>
      <w:pPr>
        <w:pStyle w:val="插入文本样式-插入单位职责文件"/>
      </w:pPr>
      <w:r>
        <w:t xml:space="preserve">5、参与协调劳动关系，促进社会和谐发展。</w:t>
      </w:r>
    </w:p>
    <w:p>
      <w:pPr>
        <w:pStyle w:val="插入文本样式-插入单位职责文件"/>
      </w:pPr>
      <w:r>
        <w:t xml:space="preserve">6、代表维护会员的合法权益，反馈会员的意见、要求和建议，参与经济纠纷的调解、仲裁。</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晋州市工商业联合会本级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97.76万元，其中：一般公共预算收入97.76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工商业联合会本级年度单位预算中支出预算的总体情况。2026年支出预算97.76万元，其中基本支出94.76万元，包括人员经费84.38万元和日常公用经费10.38万元；项目支出3.00万元，主要为工商联办公和考察调研、学习教育专项经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2026年预算收支安排97.76万元，较2025年预算增加6.02万元，其中：基本支出增加6.02万元，主要为在职人员工资增长。项目支出增加0.00万元，主要为无变化。。预计下年使用的单位资金结余增加0.00万元。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2026年，我单位机关运行经费共计安排10.38万元，主要用于日常维修、办公用房水电费、办公用房取暖费、办公用房物业管理费等日常运行支出。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1、工商联办公和考察调研、学习教育专项经费绩效目标表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13018326P00032810465Q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工商联办公和考察调研、学习教育专项经费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召开工商联换届会议、执委会仪，组织非公有制经济人士开展理想信念教育、学习培训和交流活动。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1.促进非公有制经济健康发展和非公有制经济人士健康成长，助力民营企业发展壮大。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培训次数</w:t>
            </w:r>
          </w:p>
        </w:tc>
        <w:tc>
          <w:tcPr>
            <w:tcW w:w="5386" w:type="dxa"/>
            <w:vAlign w:val="center"/>
          </w:tcPr>
          <w:p>
            <w:pPr>
              <w:pStyle w:val="单元格样式2"/>
            </w:pPr>
            <w:r>
              <w:t xml:space="preserve">召开换届会议1次、执委会议1次，举办理想信念教育、学习交流、培训活动4次</w:t>
            </w:r>
          </w:p>
        </w:tc>
        <w:tc>
          <w:tcPr>
            <w:tcW w:w="2268" w:type="dxa"/>
            <w:vAlign w:val="center"/>
          </w:tcPr>
          <w:p>
            <w:pPr>
              <w:pStyle w:val="单元格样式2"/>
            </w:pPr>
            <w:r>
              <w:t xml:space="preserve">≥6次数</w:t>
            </w:r>
          </w:p>
        </w:tc>
        <w:tc>
          <w:tcPr>
            <w:tcW w:w="1276" w:type="dxa"/>
            <w:vAlign w:val="center"/>
          </w:tcPr>
          <w:p>
            <w:pPr>
              <w:pStyle w:val="单元格样式2"/>
            </w:pPr>
            <w:r>
              <w:t xml:space="preserve">依据中国工商联章程职能与任务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会议效果良好率</w:t>
            </w:r>
          </w:p>
        </w:tc>
        <w:tc>
          <w:tcPr>
            <w:tcW w:w="5386" w:type="dxa"/>
            <w:vAlign w:val="center"/>
          </w:tcPr>
          <w:p>
            <w:pPr>
              <w:pStyle w:val="单元格样式2"/>
            </w:pPr>
            <w:r>
              <w:t xml:space="preserve">完成会议各项议程、培训达到预期效果</w:t>
            </w:r>
          </w:p>
        </w:tc>
        <w:tc>
          <w:tcPr>
            <w:tcW w:w="2268" w:type="dxa"/>
            <w:vAlign w:val="center"/>
          </w:tcPr>
          <w:p>
            <w:pPr>
              <w:pStyle w:val="单元格样式2"/>
            </w:pPr>
            <w:r>
              <w:t xml:space="preserve">≥90%</w:t>
            </w:r>
          </w:p>
        </w:tc>
        <w:tc>
          <w:tcPr>
            <w:tcW w:w="1276" w:type="dxa"/>
            <w:vAlign w:val="center"/>
          </w:tcPr>
          <w:p>
            <w:pPr>
              <w:pStyle w:val="单元格样式2"/>
            </w:pPr>
            <w:r>
              <w:t xml:space="preserve">依据中国工商联章程职能与任务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按时完成工作任务率</w:t>
            </w:r>
          </w:p>
        </w:tc>
        <w:tc>
          <w:tcPr>
            <w:tcW w:w="5386" w:type="dxa"/>
            <w:vAlign w:val="center"/>
          </w:tcPr>
          <w:p>
            <w:pPr>
              <w:pStyle w:val="单元格样式2"/>
            </w:pPr>
            <w:r>
              <w:t xml:space="preserve">按时完成工作任务</w:t>
            </w:r>
          </w:p>
        </w:tc>
        <w:tc>
          <w:tcPr>
            <w:tcW w:w="2268" w:type="dxa"/>
            <w:vAlign w:val="center"/>
          </w:tcPr>
          <w:p>
            <w:pPr>
              <w:pStyle w:val="单元格样式2"/>
            </w:pPr>
            <w:r>
              <w:t xml:space="preserve">≥90%</w:t>
            </w:r>
          </w:p>
        </w:tc>
        <w:tc>
          <w:tcPr>
            <w:tcW w:w="1276" w:type="dxa"/>
            <w:vAlign w:val="center"/>
          </w:tcPr>
          <w:p>
            <w:pPr>
              <w:pStyle w:val="单元格样式2"/>
            </w:pPr>
            <w:r>
              <w:t xml:space="preserve">依据中国工商联章程职能与任务</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学习培训项目总成本</w:t>
            </w:r>
          </w:p>
        </w:tc>
        <w:tc>
          <w:tcPr>
            <w:tcW w:w="5386" w:type="dxa"/>
            <w:vAlign w:val="center"/>
          </w:tcPr>
          <w:p>
            <w:pPr>
              <w:pStyle w:val="单元格样式2"/>
            </w:pPr>
            <w:r>
              <w:t xml:space="preserve">按照会议、培训等有关规定，控制支出成本</w:t>
            </w:r>
          </w:p>
        </w:tc>
        <w:tc>
          <w:tcPr>
            <w:tcW w:w="2268" w:type="dxa"/>
            <w:vAlign w:val="center"/>
          </w:tcPr>
          <w:p>
            <w:pPr>
              <w:pStyle w:val="单元格样式2"/>
            </w:pPr>
            <w:r>
              <w:t xml:space="preserve">3万元</w:t>
            </w:r>
          </w:p>
        </w:tc>
        <w:tc>
          <w:tcPr>
            <w:tcW w:w="1276" w:type="dxa"/>
            <w:vAlign w:val="center"/>
          </w:tcPr>
          <w:p>
            <w:pPr>
              <w:pStyle w:val="单元格样式2"/>
            </w:pPr>
            <w:r>
              <w:t xml:space="preserve">依据中国工商联章程职能与任务</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管理服务成效</w:t>
            </w:r>
          </w:p>
        </w:tc>
        <w:tc>
          <w:tcPr>
            <w:tcW w:w="5386" w:type="dxa"/>
            <w:vAlign w:val="center"/>
          </w:tcPr>
          <w:p>
            <w:pPr>
              <w:pStyle w:val="单元格样式2"/>
            </w:pPr>
            <w:r>
              <w:t xml:space="preserve">班子健全、会议理论素质和政治站位高</w:t>
            </w:r>
          </w:p>
        </w:tc>
        <w:tc>
          <w:tcPr>
            <w:tcW w:w="2268" w:type="dxa"/>
            <w:vAlign w:val="center"/>
          </w:tcPr>
          <w:p>
            <w:pPr>
              <w:pStyle w:val="单元格样式2"/>
            </w:pPr>
            <w:r>
              <w:t xml:space="preserve">≥95%</w:t>
            </w:r>
          </w:p>
        </w:tc>
        <w:tc>
          <w:tcPr>
            <w:tcW w:w="1276" w:type="dxa"/>
            <w:vAlign w:val="center"/>
          </w:tcPr>
          <w:p>
            <w:pPr>
              <w:pStyle w:val="单元格样式2"/>
            </w:pPr>
            <w:r>
              <w:t xml:space="preserve">依据中国工商联章程职能与任务</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受训学员满意和较满意</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0.70</w:t>
            </w:r>
          </w:p>
        </w:tc>
        <w:tc>
          <w:tcPr>
            <w:tcW w:w="964" w:type="dxa"/>
            <w:vAlign w:val="center"/>
          </w:tcPr>
          <w:p>
            <w:pPr>
              <w:pStyle w:val="单元格样式7"/>
            </w:pPr>
            <w:r>
              <w:t xml:space="preserve">0.70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0.70</w:t>
            </w:r>
          </w:p>
        </w:tc>
      </w:tr>
      <w:tr>
        <w:tblPrEx>
          <w:jc w:val="center"/>
          <w:tblLayout w:type="fixed"/>
        </w:tblPrEx>
        <w:trPr>
          <w:jc w:val="center"/>
        </w:trPr>
        <w:tc>
          <w:tcPr>
            <w:tcW w:w="1701" w:type="dxa"/>
            <w:vAlign w:val="center"/>
          </w:tcPr>
          <w:p>
            <w:pPr>
              <w:pStyle w:val="单元格样式6"/>
            </w:pPr>
            <w:r>
              <w:t xml:space="preserve">晋州市工商业联合会本级小计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0.70</w:t>
            </w:r>
          </w:p>
        </w:tc>
        <w:tc>
          <w:tcPr>
            <w:tcW w:w="964" w:type="dxa"/>
            <w:vAlign w:val="center"/>
          </w:tcPr>
          <w:p>
            <w:pPr>
              <w:pStyle w:val="单元格样式7"/>
            </w:pPr>
            <w:r>
              <w:t xml:space="preserve">0.70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0.70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1.92</w:t>
            </w:r>
          </w:p>
        </w:tc>
        <w:tc>
          <w:tcPr>
            <w:tcW w:w="1134" w:type="dxa"/>
            <w:vAlign w:val="center"/>
          </w:tcPr>
          <w:p>
            <w:pPr>
              <w:pStyle w:val="单元格样式2"/>
            </w:pPr>
            <w:r>
              <w:t xml:space="preserve">其他信息化设备</w:t>
            </w:r>
          </w:p>
        </w:tc>
        <w:tc>
          <w:tcPr>
            <w:tcW w:w="1134" w:type="dxa"/>
            <w:vAlign w:val="center"/>
          </w:tcPr>
          <w:p>
            <w:pPr>
              <w:pStyle w:val="单元格样式2"/>
            </w:pPr>
            <w:r>
              <w:t xml:space="preserve">A02019900</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r>
              <w:t xml:space="preserve">0.50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0.50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1.92</w:t>
            </w:r>
          </w:p>
        </w:tc>
        <w:tc>
          <w:tcPr>
            <w:tcW w:w="1134" w:type="dxa"/>
            <w:vAlign w:val="center"/>
          </w:tcPr>
          <w:p>
            <w:pPr>
              <w:pStyle w:val="单元格样式2"/>
            </w:pPr>
            <w:r>
              <w:t xml:space="preserve">其他硒鼓、粉盒</w:t>
            </w:r>
          </w:p>
        </w:tc>
        <w:tc>
          <w:tcPr>
            <w:tcW w:w="1134" w:type="dxa"/>
            <w:vAlign w:val="center"/>
          </w:tcPr>
          <w:p>
            <w:pPr>
              <w:pStyle w:val="单元格样式2"/>
            </w:pPr>
            <w:r>
              <w:t xml:space="preserve">A05040299</w:t>
            </w:r>
          </w:p>
        </w:tc>
        <w:tc>
          <w:tcPr>
            <w:tcW w:w="709" w:type="dxa"/>
            <w:vAlign w:val="center"/>
          </w:tcPr>
          <w:p>
            <w:pPr>
              <w:pStyle w:val="单元格样式3"/>
            </w:pPr>
            <w:r>
              <w:t xml:space="preserve">个</w:t>
            </w:r>
          </w:p>
        </w:tc>
        <w:tc>
          <w:tcPr>
            <w:tcW w:w="850" w:type="dxa"/>
            <w:vAlign w:val="center"/>
          </w:tcPr>
          <w:p>
            <w:pPr>
              <w:pStyle w:val="单元格样式4"/>
            </w:pPr>
            <w:r>
              <w:t xml:space="preserve">5</w:t>
            </w:r>
          </w:p>
        </w:tc>
        <w:tc>
          <w:tcPr>
            <w:tcW w:w="850" w:type="dxa"/>
            <w:vAlign w:val="center"/>
          </w:tcPr>
          <w:p>
            <w:pPr>
              <w:pStyle w:val="单元格样式4"/>
            </w:pPr>
            <w:r>
              <w:t xml:space="preserve">0.02</w:t>
            </w:r>
          </w:p>
        </w:tc>
        <w:tc>
          <w:tcPr>
            <w:tcW w:w="964"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1.92</w:t>
            </w:r>
          </w:p>
        </w:tc>
        <w:tc>
          <w:tcPr>
            <w:tcW w:w="1134" w:type="dxa"/>
            <w:vAlign w:val="center"/>
          </w:tcPr>
          <w:p>
            <w:pPr>
              <w:pStyle w:val="单元格样式2"/>
            </w:pPr>
            <w:r>
              <w:t xml:space="preserve">其他办公用品</w:t>
            </w:r>
          </w:p>
        </w:tc>
        <w:tc>
          <w:tcPr>
            <w:tcW w:w="1134" w:type="dxa"/>
            <w:vAlign w:val="center"/>
          </w:tcPr>
          <w:p>
            <w:pPr>
              <w:pStyle w:val="单元格样式2"/>
            </w:pPr>
            <w:r>
              <w:t xml:space="preserve">A05049900</w:t>
            </w:r>
          </w:p>
        </w:tc>
        <w:tc>
          <w:tcPr>
            <w:tcW w:w="709" w:type="dxa"/>
            <w:vAlign w:val="center"/>
          </w:tcPr>
          <w:p>
            <w:pPr>
              <w:pStyle w:val="单元格样式3"/>
            </w:pPr>
            <w:r>
              <w:t xml:space="preserve">张</w:t>
            </w:r>
          </w:p>
        </w:tc>
        <w:tc>
          <w:tcPr>
            <w:tcW w:w="850" w:type="dxa"/>
            <w:vAlign w:val="center"/>
          </w:tcPr>
          <w:p>
            <w:pPr>
              <w:pStyle w:val="单元格样式4"/>
            </w:pPr>
            <w:r>
              <w:t xml:space="preserve">1</w:t>
            </w:r>
          </w:p>
        </w:tc>
        <w:tc>
          <w:tcPr>
            <w:tcW w:w="850"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晋州市工商业联合会本级上年末固定资产金额为17.00万元（详见下表）。本年度拟购置固定资产总额为0.00万元，已按要求列入政府采购预算，详见政府采购预算表。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714001晋州市工商业联合会本级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17.00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17</w:t>
            </w:r>
          </w:p>
        </w:tc>
        <w:tc>
          <w:tcPr>
            <w:tcW w:w="2835" w:type="dxa"/>
            <w:vAlign w:val="center"/>
          </w:tcPr>
          <w:p>
            <w:pPr>
              <w:pStyle w:val="单元格样式4"/>
            </w:pPr>
            <w:r>
              <w:t xml:space="preserve">17.00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2026-03-02T15:16:46Z</dcterms:created>
  <dcterms:modified xsi:type="dcterms:W3CDTF">2026-03-02T15:16:46Z</dcterms:modified>
</cp:coreProperties>
</file>