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714晋州市工商业联合会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97.76</w:t>
            </w:r>
          </w:p>
        </w:tc>
        <w:tc>
          <w:tcPr>
            <w:tcW w:w="4535" w:type="dxa"/>
            <w:vAlign w:val="center"/>
          </w:tcPr>
          <w:p>
            <w:pPr>
              <w:pStyle w:val="13"/>
            </w:pPr>
            <w:r>
              <w:t>一、一般公共服务支出</w:t>
            </w:r>
          </w:p>
        </w:tc>
        <w:tc>
          <w:tcPr>
            <w:tcW w:w="2126" w:type="dxa"/>
            <w:vAlign w:val="center"/>
          </w:tcPr>
          <w:p>
            <w:pPr>
              <w:pStyle w:val="12"/>
            </w:pPr>
            <w:r>
              <w:t>97.76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97.76</w:t>
            </w:r>
          </w:p>
        </w:tc>
        <w:tc>
          <w:tcPr>
            <w:tcW w:w="4535" w:type="dxa"/>
            <w:vAlign w:val="center"/>
          </w:tcPr>
          <w:p>
            <w:pPr>
              <w:pStyle w:val="15"/>
            </w:pPr>
            <w:r>
              <w:t>本年支出合计</w:t>
            </w:r>
          </w:p>
        </w:tc>
        <w:tc>
          <w:tcPr>
            <w:tcW w:w="2126" w:type="dxa"/>
            <w:vAlign w:val="center"/>
          </w:tcPr>
          <w:p>
            <w:pPr>
              <w:pStyle w:val="16"/>
            </w:pPr>
            <w:r>
              <w:t>97.76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97.76</w:t>
            </w:r>
          </w:p>
        </w:tc>
        <w:tc>
          <w:tcPr>
            <w:tcW w:w="4535" w:type="dxa"/>
            <w:vAlign w:val="center"/>
          </w:tcPr>
          <w:p>
            <w:pPr>
              <w:pStyle w:val="15"/>
            </w:pPr>
            <w:r>
              <w:t>支出总计</w:t>
            </w:r>
          </w:p>
        </w:tc>
        <w:tc>
          <w:tcPr>
            <w:tcW w:w="2126" w:type="dxa"/>
            <w:vAlign w:val="center"/>
          </w:tcPr>
          <w:p>
            <w:pPr>
              <w:pStyle w:val="16"/>
            </w:pPr>
            <w:r>
              <w:t>97.76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714晋州市工商业联合会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97.76</w:t>
            </w:r>
          </w:p>
        </w:tc>
        <w:tc>
          <w:tcPr>
            <w:tcW w:w="1134" w:type="dxa"/>
            <w:vAlign w:val="center"/>
          </w:tcPr>
          <w:p>
            <w:pPr>
              <w:pStyle w:val="16"/>
            </w:pPr>
            <w:r>
              <w:t>97.76</w:t>
            </w:r>
          </w:p>
        </w:tc>
        <w:tc>
          <w:tcPr>
            <w:tcW w:w="1134" w:type="dxa"/>
            <w:vAlign w:val="center"/>
          </w:tcPr>
          <w:p>
            <w:pPr>
              <w:pStyle w:val="16"/>
            </w:pPr>
            <w:r>
              <w:t>97.76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97.76</w:t>
            </w:r>
          </w:p>
        </w:tc>
        <w:tc>
          <w:tcPr>
            <w:tcW w:w="1134" w:type="dxa"/>
            <w:vAlign w:val="center"/>
          </w:tcPr>
          <w:p>
            <w:pPr>
              <w:pStyle w:val="12"/>
            </w:pPr>
            <w:r>
              <w:t>97.76</w:t>
            </w:r>
          </w:p>
        </w:tc>
        <w:tc>
          <w:tcPr>
            <w:tcW w:w="1134" w:type="dxa"/>
            <w:vAlign w:val="center"/>
          </w:tcPr>
          <w:p>
            <w:pPr>
              <w:pStyle w:val="12"/>
            </w:pPr>
            <w:r>
              <w:t>97.76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20128</w:t>
            </w:r>
          </w:p>
        </w:tc>
        <w:tc>
          <w:tcPr>
            <w:tcW w:w="1559" w:type="dxa"/>
            <w:vAlign w:val="center"/>
          </w:tcPr>
          <w:p>
            <w:pPr>
              <w:pStyle w:val="13"/>
            </w:pPr>
            <w:r>
              <w:t>民主党派及工商联事务</w:t>
            </w:r>
          </w:p>
        </w:tc>
        <w:tc>
          <w:tcPr>
            <w:tcW w:w="1134" w:type="dxa"/>
            <w:vAlign w:val="center"/>
          </w:tcPr>
          <w:p>
            <w:pPr>
              <w:pStyle w:val="12"/>
            </w:pPr>
            <w:r>
              <w:t>97.76</w:t>
            </w:r>
          </w:p>
        </w:tc>
        <w:tc>
          <w:tcPr>
            <w:tcW w:w="1134" w:type="dxa"/>
            <w:vAlign w:val="center"/>
          </w:tcPr>
          <w:p>
            <w:pPr>
              <w:pStyle w:val="12"/>
            </w:pPr>
            <w:r>
              <w:t>97.76</w:t>
            </w:r>
          </w:p>
        </w:tc>
        <w:tc>
          <w:tcPr>
            <w:tcW w:w="1134" w:type="dxa"/>
            <w:vAlign w:val="center"/>
          </w:tcPr>
          <w:p>
            <w:pPr>
              <w:pStyle w:val="12"/>
            </w:pPr>
            <w:r>
              <w:t>97.76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2012801</w:t>
            </w:r>
          </w:p>
        </w:tc>
        <w:tc>
          <w:tcPr>
            <w:tcW w:w="1559" w:type="dxa"/>
            <w:vAlign w:val="center"/>
          </w:tcPr>
          <w:p>
            <w:pPr>
              <w:pStyle w:val="13"/>
            </w:pPr>
            <w:r>
              <w:t>行政运行</w:t>
            </w:r>
          </w:p>
        </w:tc>
        <w:tc>
          <w:tcPr>
            <w:tcW w:w="1134" w:type="dxa"/>
            <w:vAlign w:val="center"/>
          </w:tcPr>
          <w:p>
            <w:pPr>
              <w:pStyle w:val="12"/>
            </w:pPr>
            <w:r>
              <w:t>94.76</w:t>
            </w:r>
          </w:p>
        </w:tc>
        <w:tc>
          <w:tcPr>
            <w:tcW w:w="1134" w:type="dxa"/>
            <w:vAlign w:val="center"/>
          </w:tcPr>
          <w:p>
            <w:pPr>
              <w:pStyle w:val="12"/>
            </w:pPr>
            <w:r>
              <w:t>94.76</w:t>
            </w:r>
          </w:p>
        </w:tc>
        <w:tc>
          <w:tcPr>
            <w:tcW w:w="1134" w:type="dxa"/>
            <w:vAlign w:val="center"/>
          </w:tcPr>
          <w:p>
            <w:pPr>
              <w:pStyle w:val="12"/>
            </w:pPr>
            <w:r>
              <w:t>94.76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2012899</w:t>
            </w:r>
          </w:p>
        </w:tc>
        <w:tc>
          <w:tcPr>
            <w:tcW w:w="1559" w:type="dxa"/>
            <w:vAlign w:val="center"/>
          </w:tcPr>
          <w:p>
            <w:pPr>
              <w:pStyle w:val="13"/>
            </w:pPr>
            <w:r>
              <w:t>其他民主党派及工商联事务支出</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714晋州市工商业联合会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97.76</w:t>
            </w:r>
          </w:p>
        </w:tc>
        <w:tc>
          <w:tcPr>
            <w:tcW w:w="1361" w:type="dxa"/>
            <w:vAlign w:val="center"/>
          </w:tcPr>
          <w:p>
            <w:pPr>
              <w:pStyle w:val="16"/>
            </w:pPr>
            <w:r>
              <w:t>94.76</w:t>
            </w:r>
          </w:p>
        </w:tc>
        <w:tc>
          <w:tcPr>
            <w:tcW w:w="1361" w:type="dxa"/>
            <w:vAlign w:val="center"/>
          </w:tcPr>
          <w:p>
            <w:pPr>
              <w:pStyle w:val="16"/>
            </w:pPr>
            <w:r>
              <w:t>3.00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97.76</w:t>
            </w:r>
          </w:p>
        </w:tc>
        <w:tc>
          <w:tcPr>
            <w:tcW w:w="1361" w:type="dxa"/>
            <w:vAlign w:val="center"/>
          </w:tcPr>
          <w:p>
            <w:pPr>
              <w:pStyle w:val="12"/>
            </w:pPr>
            <w:r>
              <w:t>94.76</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20128</w:t>
            </w:r>
          </w:p>
        </w:tc>
        <w:tc>
          <w:tcPr>
            <w:tcW w:w="4535" w:type="dxa"/>
            <w:vAlign w:val="center"/>
          </w:tcPr>
          <w:p>
            <w:pPr>
              <w:pStyle w:val="13"/>
            </w:pPr>
            <w:r>
              <w:t>民主党派及工商联事务</w:t>
            </w:r>
          </w:p>
        </w:tc>
        <w:tc>
          <w:tcPr>
            <w:tcW w:w="1361" w:type="dxa"/>
            <w:vAlign w:val="center"/>
          </w:tcPr>
          <w:p>
            <w:pPr>
              <w:pStyle w:val="12"/>
            </w:pPr>
            <w:r>
              <w:t>97.76</w:t>
            </w:r>
          </w:p>
        </w:tc>
        <w:tc>
          <w:tcPr>
            <w:tcW w:w="1361" w:type="dxa"/>
            <w:vAlign w:val="center"/>
          </w:tcPr>
          <w:p>
            <w:pPr>
              <w:pStyle w:val="12"/>
            </w:pPr>
            <w:r>
              <w:t>94.76</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2012801</w:t>
            </w:r>
          </w:p>
        </w:tc>
        <w:tc>
          <w:tcPr>
            <w:tcW w:w="4535" w:type="dxa"/>
            <w:vAlign w:val="center"/>
          </w:tcPr>
          <w:p>
            <w:pPr>
              <w:pStyle w:val="13"/>
            </w:pPr>
            <w:r>
              <w:t>行政运行</w:t>
            </w:r>
          </w:p>
        </w:tc>
        <w:tc>
          <w:tcPr>
            <w:tcW w:w="1361" w:type="dxa"/>
            <w:vAlign w:val="center"/>
          </w:tcPr>
          <w:p>
            <w:pPr>
              <w:pStyle w:val="12"/>
            </w:pPr>
            <w:r>
              <w:t>94.76</w:t>
            </w:r>
          </w:p>
        </w:tc>
        <w:tc>
          <w:tcPr>
            <w:tcW w:w="1361" w:type="dxa"/>
            <w:vAlign w:val="center"/>
          </w:tcPr>
          <w:p>
            <w:pPr>
              <w:pStyle w:val="12"/>
            </w:pPr>
            <w:r>
              <w:t>94.76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2012899</w:t>
            </w:r>
          </w:p>
        </w:tc>
        <w:tc>
          <w:tcPr>
            <w:tcW w:w="4535" w:type="dxa"/>
            <w:vAlign w:val="center"/>
          </w:tcPr>
          <w:p>
            <w:pPr>
              <w:pStyle w:val="13"/>
            </w:pPr>
            <w:r>
              <w:t>其他民主党派及工商联事务支出</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714晋州市工商业联合会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97.76</w:t>
            </w:r>
          </w:p>
        </w:tc>
        <w:tc>
          <w:tcPr>
            <w:tcW w:w="3402" w:type="dxa"/>
            <w:vAlign w:val="center"/>
          </w:tcPr>
          <w:p>
            <w:pPr>
              <w:pStyle w:val="13"/>
            </w:pPr>
            <w:r>
              <w:t>一、一般公共服务支出</w:t>
            </w:r>
          </w:p>
        </w:tc>
        <w:tc>
          <w:tcPr>
            <w:tcW w:w="1474" w:type="dxa"/>
            <w:vAlign w:val="center"/>
          </w:tcPr>
          <w:p>
            <w:pPr>
              <w:pStyle w:val="12"/>
            </w:pPr>
            <w:r>
              <w:t>97.76</w:t>
            </w:r>
          </w:p>
        </w:tc>
        <w:tc>
          <w:tcPr>
            <w:tcW w:w="1474" w:type="dxa"/>
            <w:vAlign w:val="center"/>
          </w:tcPr>
          <w:p>
            <w:pPr>
              <w:pStyle w:val="12"/>
            </w:pPr>
            <w:r>
              <w:t>97.76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97.76</w:t>
            </w:r>
          </w:p>
        </w:tc>
        <w:tc>
          <w:tcPr>
            <w:tcW w:w="3402" w:type="dxa"/>
            <w:vAlign w:val="center"/>
          </w:tcPr>
          <w:p>
            <w:pPr>
              <w:pStyle w:val="15"/>
            </w:pPr>
            <w:r>
              <w:t>本年支出合计</w:t>
            </w:r>
          </w:p>
        </w:tc>
        <w:tc>
          <w:tcPr>
            <w:tcW w:w="1474" w:type="dxa"/>
            <w:vAlign w:val="center"/>
          </w:tcPr>
          <w:p>
            <w:pPr>
              <w:pStyle w:val="16"/>
            </w:pPr>
            <w:r>
              <w:t>97.76</w:t>
            </w:r>
          </w:p>
        </w:tc>
        <w:tc>
          <w:tcPr>
            <w:tcW w:w="1474" w:type="dxa"/>
            <w:vAlign w:val="center"/>
          </w:tcPr>
          <w:p>
            <w:pPr>
              <w:pStyle w:val="16"/>
            </w:pPr>
            <w:r>
              <w:t>97.76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97.76</w:t>
            </w:r>
          </w:p>
        </w:tc>
        <w:tc>
          <w:tcPr>
            <w:tcW w:w="3402" w:type="dxa"/>
            <w:vAlign w:val="center"/>
          </w:tcPr>
          <w:p>
            <w:pPr>
              <w:pStyle w:val="15"/>
            </w:pPr>
            <w:r>
              <w:t>支出总计</w:t>
            </w:r>
          </w:p>
        </w:tc>
        <w:tc>
          <w:tcPr>
            <w:tcW w:w="1474" w:type="dxa"/>
            <w:vAlign w:val="center"/>
          </w:tcPr>
          <w:p>
            <w:pPr>
              <w:pStyle w:val="16"/>
            </w:pPr>
            <w:r>
              <w:t>97.76</w:t>
            </w:r>
          </w:p>
        </w:tc>
        <w:tc>
          <w:tcPr>
            <w:tcW w:w="1474" w:type="dxa"/>
            <w:vAlign w:val="center"/>
          </w:tcPr>
          <w:p>
            <w:pPr>
              <w:pStyle w:val="16"/>
            </w:pPr>
            <w:r>
              <w:t>97.76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714晋州市工商业联合会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97.76</w:t>
            </w:r>
          </w:p>
        </w:tc>
        <w:tc>
          <w:tcPr>
            <w:tcW w:w="2551" w:type="dxa"/>
            <w:vAlign w:val="center"/>
          </w:tcPr>
          <w:p>
            <w:pPr>
              <w:pStyle w:val="16"/>
            </w:pPr>
            <w:r>
              <w:t>94.76</w:t>
            </w:r>
          </w:p>
        </w:tc>
        <w:tc>
          <w:tcPr>
            <w:tcW w:w="2551"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97.76</w:t>
            </w:r>
          </w:p>
        </w:tc>
        <w:tc>
          <w:tcPr>
            <w:tcW w:w="2551" w:type="dxa"/>
            <w:vAlign w:val="center"/>
          </w:tcPr>
          <w:p>
            <w:pPr>
              <w:pStyle w:val="12"/>
            </w:pPr>
            <w:r>
              <w:t>94.76</w:t>
            </w: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20128</w:t>
            </w:r>
          </w:p>
        </w:tc>
        <w:tc>
          <w:tcPr>
            <w:tcW w:w="4535" w:type="dxa"/>
            <w:vAlign w:val="center"/>
          </w:tcPr>
          <w:p>
            <w:pPr>
              <w:pStyle w:val="13"/>
            </w:pPr>
            <w:r>
              <w:t>民主党派及工商联事务</w:t>
            </w:r>
          </w:p>
        </w:tc>
        <w:tc>
          <w:tcPr>
            <w:tcW w:w="2551" w:type="dxa"/>
            <w:vAlign w:val="center"/>
          </w:tcPr>
          <w:p>
            <w:pPr>
              <w:pStyle w:val="12"/>
            </w:pPr>
            <w:r>
              <w:t>97.76</w:t>
            </w:r>
          </w:p>
        </w:tc>
        <w:tc>
          <w:tcPr>
            <w:tcW w:w="2551" w:type="dxa"/>
            <w:vAlign w:val="center"/>
          </w:tcPr>
          <w:p>
            <w:pPr>
              <w:pStyle w:val="12"/>
            </w:pPr>
            <w:r>
              <w:t>94.76</w:t>
            </w: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2012801</w:t>
            </w:r>
          </w:p>
        </w:tc>
        <w:tc>
          <w:tcPr>
            <w:tcW w:w="4535" w:type="dxa"/>
            <w:vAlign w:val="center"/>
          </w:tcPr>
          <w:p>
            <w:pPr>
              <w:pStyle w:val="13"/>
            </w:pPr>
            <w:r>
              <w:t>行政运行</w:t>
            </w:r>
          </w:p>
        </w:tc>
        <w:tc>
          <w:tcPr>
            <w:tcW w:w="2551" w:type="dxa"/>
            <w:vAlign w:val="center"/>
          </w:tcPr>
          <w:p>
            <w:pPr>
              <w:pStyle w:val="12"/>
            </w:pPr>
            <w:r>
              <w:t>94.76</w:t>
            </w:r>
          </w:p>
        </w:tc>
        <w:tc>
          <w:tcPr>
            <w:tcW w:w="2551" w:type="dxa"/>
            <w:vAlign w:val="center"/>
          </w:tcPr>
          <w:p>
            <w:pPr>
              <w:pStyle w:val="12"/>
            </w:pPr>
            <w:r>
              <w:t>94.76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2012899</w:t>
            </w:r>
          </w:p>
        </w:tc>
        <w:tc>
          <w:tcPr>
            <w:tcW w:w="4535" w:type="dxa"/>
            <w:vAlign w:val="center"/>
          </w:tcPr>
          <w:p>
            <w:pPr>
              <w:pStyle w:val="13"/>
            </w:pPr>
            <w:r>
              <w:t>其他民主党派及工商联事务支出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714晋州市工商业联合会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94.76</w:t>
            </w:r>
          </w:p>
        </w:tc>
        <w:tc>
          <w:tcPr>
            <w:tcW w:w="2551" w:type="dxa"/>
            <w:vAlign w:val="center"/>
          </w:tcPr>
          <w:p>
            <w:pPr>
              <w:pStyle w:val="16"/>
            </w:pPr>
            <w:r>
              <w:t>84.38</w:t>
            </w:r>
          </w:p>
        </w:tc>
        <w:tc>
          <w:tcPr>
            <w:tcW w:w="2551" w:type="dxa"/>
            <w:vAlign w:val="center"/>
          </w:tcPr>
          <w:p>
            <w:pPr>
              <w:pStyle w:val="16"/>
            </w:pPr>
            <w:r>
              <w:t>10.38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72.97</w:t>
            </w:r>
          </w:p>
        </w:tc>
        <w:tc>
          <w:tcPr>
            <w:tcW w:w="2551" w:type="dxa"/>
            <w:vAlign w:val="center"/>
          </w:tcPr>
          <w:p>
            <w:pPr>
              <w:pStyle w:val="12"/>
            </w:pPr>
            <w:r>
              <w:t>72.97</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30.27</w:t>
            </w:r>
          </w:p>
        </w:tc>
        <w:tc>
          <w:tcPr>
            <w:tcW w:w="2551" w:type="dxa"/>
            <w:vAlign w:val="center"/>
          </w:tcPr>
          <w:p>
            <w:pPr>
              <w:pStyle w:val="12"/>
            </w:pPr>
            <w:r>
              <w:t>30.27</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12.83</w:t>
            </w:r>
          </w:p>
        </w:tc>
        <w:tc>
          <w:tcPr>
            <w:tcW w:w="2551" w:type="dxa"/>
            <w:vAlign w:val="center"/>
          </w:tcPr>
          <w:p>
            <w:pPr>
              <w:pStyle w:val="12"/>
            </w:pPr>
            <w:r>
              <w:t>12.83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11.43</w:t>
            </w:r>
          </w:p>
        </w:tc>
        <w:tc>
          <w:tcPr>
            <w:tcW w:w="2551" w:type="dxa"/>
            <w:vAlign w:val="center"/>
          </w:tcPr>
          <w:p>
            <w:pPr>
              <w:pStyle w:val="12"/>
            </w:pPr>
            <w:r>
              <w:t>11.43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2.90</w:t>
            </w:r>
          </w:p>
        </w:tc>
        <w:tc>
          <w:tcPr>
            <w:tcW w:w="2551" w:type="dxa"/>
            <w:vAlign w:val="center"/>
          </w:tcPr>
          <w:p>
            <w:pPr>
              <w:pStyle w:val="12"/>
            </w:pPr>
            <w:r>
              <w:t>2.90</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1.48</w:t>
            </w:r>
          </w:p>
        </w:tc>
        <w:tc>
          <w:tcPr>
            <w:tcW w:w="2551" w:type="dxa"/>
            <w:vAlign w:val="center"/>
          </w:tcPr>
          <w:p>
            <w:pPr>
              <w:pStyle w:val="12"/>
            </w:pPr>
            <w:r>
              <w:t>1.48</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0.25</w:t>
            </w:r>
          </w:p>
        </w:tc>
        <w:tc>
          <w:tcPr>
            <w:tcW w:w="2551" w:type="dxa"/>
            <w:vAlign w:val="center"/>
          </w:tcPr>
          <w:p>
            <w:pPr>
              <w:pStyle w:val="12"/>
            </w:pPr>
            <w:r>
              <w:t>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6.11</w:t>
            </w:r>
          </w:p>
        </w:tc>
        <w:tc>
          <w:tcPr>
            <w:tcW w:w="2551" w:type="dxa"/>
            <w:vAlign w:val="center"/>
          </w:tcPr>
          <w:p>
            <w:pPr>
              <w:pStyle w:val="12"/>
            </w:pPr>
            <w:r>
              <w:t>6.11</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10.38</w:t>
            </w:r>
          </w:p>
        </w:tc>
        <w:tc>
          <w:tcPr>
            <w:tcW w:w="2551" w:type="dxa"/>
            <w:vAlign w:val="center"/>
          </w:tcPr>
          <w:p>
            <w:pPr>
              <w:pStyle w:val="12"/>
            </w:pPr>
          </w:p>
        </w:tc>
        <w:tc>
          <w:tcPr>
            <w:tcW w:w="2551" w:type="dxa"/>
            <w:vAlign w:val="center"/>
          </w:tcPr>
          <w:p>
            <w:pPr>
              <w:pStyle w:val="12"/>
            </w:pPr>
            <w:r>
              <w:t>10.38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1.92</w:t>
            </w:r>
          </w:p>
        </w:tc>
        <w:tc>
          <w:tcPr>
            <w:tcW w:w="2551" w:type="dxa"/>
            <w:vAlign w:val="center"/>
          </w:tcPr>
          <w:p>
            <w:pPr>
              <w:pStyle w:val="12"/>
            </w:pPr>
          </w:p>
        </w:tc>
        <w:tc>
          <w:tcPr>
            <w:tcW w:w="2551" w:type="dxa"/>
            <w:vAlign w:val="center"/>
          </w:tcPr>
          <w:p>
            <w:pPr>
              <w:pStyle w:val="12"/>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2.46</w:t>
            </w:r>
          </w:p>
        </w:tc>
        <w:tc>
          <w:tcPr>
            <w:tcW w:w="2551" w:type="dxa"/>
            <w:vAlign w:val="center"/>
          </w:tcPr>
          <w:p>
            <w:pPr>
              <w:pStyle w:val="12"/>
            </w:pPr>
          </w:p>
        </w:tc>
        <w:tc>
          <w:tcPr>
            <w:tcW w:w="2551" w:type="dxa"/>
            <w:vAlign w:val="center"/>
          </w:tcPr>
          <w:p>
            <w:pPr>
              <w:pStyle w:val="12"/>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0.58</w:t>
            </w:r>
          </w:p>
        </w:tc>
        <w:tc>
          <w:tcPr>
            <w:tcW w:w="2551" w:type="dxa"/>
            <w:vAlign w:val="center"/>
          </w:tcPr>
          <w:p>
            <w:pPr>
              <w:pStyle w:val="12"/>
            </w:pPr>
          </w:p>
        </w:tc>
        <w:tc>
          <w:tcPr>
            <w:tcW w:w="2551" w:type="dxa"/>
            <w:vAlign w:val="center"/>
          </w:tcPr>
          <w:p>
            <w:pPr>
              <w:pStyle w:val="12"/>
            </w:pPr>
            <w:r>
              <w:t>0.58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1.58</w:t>
            </w:r>
          </w:p>
        </w:tc>
        <w:tc>
          <w:tcPr>
            <w:tcW w:w="2551" w:type="dxa"/>
            <w:vAlign w:val="center"/>
          </w:tcPr>
          <w:p>
            <w:pPr>
              <w:pStyle w:val="12"/>
            </w:pPr>
          </w:p>
        </w:tc>
        <w:tc>
          <w:tcPr>
            <w:tcW w:w="2551" w:type="dxa"/>
            <w:vAlign w:val="center"/>
          </w:tcPr>
          <w:p>
            <w:pPr>
              <w:pStyle w:val="12"/>
            </w:pPr>
            <w:r>
              <w:t>1.58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714晋州市工商业联合会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714晋州市工商业联合会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714晋州市工商业联合会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晋州市工商业联合会2026年部门预算信息公开情况说明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晋州市工商业联合会2026年部门预算信息公开情况说明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按照《中华人民共和国预算法》、《地方预决算公开操作规程》和《关于进一步推进预算公开工作的实施意见》规定，现将晋州市工商业联合会2026年部门预算公开如下：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1、加强和改进非公有制经济人士思想政治工作。</w:t>
      </w:r>
    </w:p>
    <w:p>
      <w:pPr>
        <w:pStyle w:val="18"/>
      </w:pPr>
      <w:r>
        <w:t>2、参与政治协商，发挥民主监督作用，积极参政议政。</w:t>
      </w:r>
    </w:p>
    <w:p>
      <w:pPr>
        <w:pStyle w:val="18"/>
      </w:pPr>
      <w:r>
        <w:t>3、协助政府管理和服务非公有制经济。</w:t>
      </w:r>
    </w:p>
    <w:p>
      <w:pPr>
        <w:pStyle w:val="18"/>
      </w:pPr>
      <w:r>
        <w:t>4、促进行业协会商会改革发展。</w:t>
      </w:r>
    </w:p>
    <w:p>
      <w:pPr>
        <w:pStyle w:val="18"/>
      </w:pPr>
      <w:r>
        <w:t>5、参与协调劳动关系，促进社会和谐发展。</w:t>
      </w:r>
    </w:p>
    <w:p>
      <w:pPr>
        <w:pStyle w:val="18"/>
      </w:pPr>
      <w:r>
        <w:t>6、代表并维护会员的合法权益，反馈会员的意见、要求和建议，参与经济纠纷的调解、仲裁。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晋州市工商业联合会本级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按照预算管理有关规定，目前部门预算的编制实行综合预算管理，即全部收入和支出都反映在预算中。晋州市工商业联合会机关及所属事业单位的收支包含在部门预算中。</w:t>
      </w:r>
    </w:p>
    <w:p>
      <w:pPr>
        <w:pStyle w:val="19"/>
      </w:pPr>
      <w:r>
        <w:t>1、收入说明</w:t>
      </w:r>
    </w:p>
    <w:p>
      <w:pPr>
        <w:pStyle w:val="19"/>
      </w:pPr>
      <w:r>
        <w:t>反映本部门当年全部收入。2026年预算收入97.76万元，其中：一般公共预算收入97.76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工商业联合会年度部门预算中支出预算的总体情况。2026年支出预算97.76万元，其中基本支出94.76万元，包括人员经费84.38万元和日常公用经费10.38万元；项目支出3.00万元，主要为工商联办公和考察调研，学习教育专项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2026年预算收支安排97.76万元，较2025年预算增加6.02万元，其中：基本支出增加6.02万元，主要为在职人员工资增长。项目支出增加0.00万元，主要为无变化。预计下年使用的单位资金结余增加0.00万元。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2026年，我部门机关运行经费共计安排10.38万元，主要用于日常维修、办公用房水电费、办公用房取暖费、办公用房物业管理费等日常运行支出。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全面贯彻党的二十大精神，坚持以习近平新时代中国特色社会主义思想为统领，扎实推进市委市政府工作部署落地落实。认真履行工商联章程，努力做好会员各项服务工作。推进学习培训、商会交流，积极参政议政，努力做好非公有制经济人士思想政治工作，全面促进我市非公有制经济健康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（一）履行工商联章程，做好各项服务工作，搞好学习交流</w:t>
      </w:r>
    </w:p>
    <w:p>
      <w:pPr>
        <w:pStyle w:val="23"/>
      </w:pPr>
      <w:r>
        <w:t>绩效目标：做好企业家学习交流，促进我市非公有制经济快速健康发展。</w:t>
      </w:r>
    </w:p>
    <w:p>
      <w:pPr>
        <w:pStyle w:val="23"/>
      </w:pPr>
      <w:r>
        <w:t>绩效指标：推进学习培训、商会交流，组织企业家培训3次，外出学习考察1次。</w:t>
      </w:r>
    </w:p>
    <w:p>
      <w:pPr>
        <w:pStyle w:val="23"/>
      </w:pPr>
      <w:r>
        <w:t>（二）按照工商联章程召开换届会1次、执委会1次</w:t>
      </w:r>
    </w:p>
    <w:p>
      <w:pPr>
        <w:pStyle w:val="23"/>
      </w:pPr>
      <w:r>
        <w:t>绩效目标：搞好工商联班子建设，提升工商联影响力。</w:t>
      </w:r>
    </w:p>
    <w:p>
      <w:pPr>
        <w:pStyle w:val="23"/>
      </w:pPr>
      <w:r>
        <w:t>绩效指标：组织召开换届会1次、执委会1次，参会人数≥90%。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1、工商联办公和考察调研、学习教育专项经费绩效目标表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13018326P00032810465Q</w:t>
            </w:r>
          </w:p>
        </w:tc>
        <w:tc>
          <w:tcPr>
            <w:tcW w:w="2835" w:type="dxa"/>
            <w:vAlign w:val="center"/>
          </w:tcPr>
          <w:p>
            <w:pPr>
              <w:pStyle w:val="11"/>
            </w:pPr>
            <w:r>
              <w:t>项目名称</w:t>
            </w:r>
          </w:p>
        </w:tc>
        <w:tc>
          <w:tcPr>
            <w:tcW w:w="6095" w:type="dxa"/>
            <w:gridSpan w:val="3"/>
            <w:vAlign w:val="center"/>
          </w:tcPr>
          <w:p>
            <w:pPr>
              <w:pStyle w:val="13"/>
            </w:pPr>
            <w:r>
              <w:t>工商联办公和考察调研、学习教育专项经费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召开工商联换届会议、执委会仪，组织非公有制经济人士开展理想信念教育、学习培训和交流活动。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1.促进非公有制经济健康发展和非公有制经济人士健康成长，助力民营企业发展壮大。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召开换届会议1次、执委会议1次，举办理想信念教育、学习交流、培训活动4次</w:t>
            </w:r>
          </w:p>
        </w:tc>
        <w:tc>
          <w:tcPr>
            <w:tcW w:w="2268" w:type="dxa"/>
            <w:vAlign w:val="center"/>
          </w:tcPr>
          <w:p>
            <w:pPr>
              <w:pStyle w:val="13"/>
            </w:pPr>
            <w:r>
              <w:t>≥6次数</w:t>
            </w:r>
          </w:p>
        </w:tc>
        <w:tc>
          <w:tcPr>
            <w:tcW w:w="1276" w:type="dxa"/>
            <w:vAlign w:val="center"/>
          </w:tcPr>
          <w:p>
            <w:pPr>
              <w:pStyle w:val="13"/>
            </w:pPr>
            <w:r>
              <w:t>依据中国工商联章程职能与任务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会议效果良好率</w:t>
            </w:r>
          </w:p>
        </w:tc>
        <w:tc>
          <w:tcPr>
            <w:tcW w:w="5386" w:type="dxa"/>
            <w:vAlign w:val="center"/>
          </w:tcPr>
          <w:p>
            <w:pPr>
              <w:pStyle w:val="13"/>
            </w:pPr>
            <w:r>
              <w:t>完成会议各项议程、培训达到预期效果</w:t>
            </w:r>
          </w:p>
        </w:tc>
        <w:tc>
          <w:tcPr>
            <w:tcW w:w="2268" w:type="dxa"/>
            <w:vAlign w:val="center"/>
          </w:tcPr>
          <w:p>
            <w:pPr>
              <w:pStyle w:val="13"/>
            </w:pPr>
            <w:r>
              <w:t>≥90%</w:t>
            </w:r>
          </w:p>
        </w:tc>
        <w:tc>
          <w:tcPr>
            <w:tcW w:w="1276" w:type="dxa"/>
            <w:vAlign w:val="center"/>
          </w:tcPr>
          <w:p>
            <w:pPr>
              <w:pStyle w:val="13"/>
            </w:pPr>
            <w:r>
              <w:t>依据中国工商联章程职能与任务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按时完成工作任务率</w:t>
            </w:r>
          </w:p>
        </w:tc>
        <w:tc>
          <w:tcPr>
            <w:tcW w:w="5386" w:type="dxa"/>
            <w:vAlign w:val="center"/>
          </w:tcPr>
          <w:p>
            <w:pPr>
              <w:pStyle w:val="13"/>
            </w:pPr>
            <w:r>
              <w:t>按时完成工作任务</w:t>
            </w:r>
          </w:p>
        </w:tc>
        <w:tc>
          <w:tcPr>
            <w:tcW w:w="2268" w:type="dxa"/>
            <w:vAlign w:val="center"/>
          </w:tcPr>
          <w:p>
            <w:pPr>
              <w:pStyle w:val="13"/>
            </w:pPr>
            <w:r>
              <w:t>≥90%</w:t>
            </w:r>
          </w:p>
        </w:tc>
        <w:tc>
          <w:tcPr>
            <w:tcW w:w="1276" w:type="dxa"/>
            <w:vAlign w:val="center"/>
          </w:tcPr>
          <w:p>
            <w:pPr>
              <w:pStyle w:val="13"/>
            </w:pPr>
            <w:r>
              <w:t>依据中国工商联章程职能与任务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学习培训项目总成本</w:t>
            </w:r>
          </w:p>
        </w:tc>
        <w:tc>
          <w:tcPr>
            <w:tcW w:w="5386" w:type="dxa"/>
            <w:vAlign w:val="center"/>
          </w:tcPr>
          <w:p>
            <w:pPr>
              <w:pStyle w:val="13"/>
            </w:pPr>
            <w:r>
              <w:t>按照会议、培训等有关规定，控制支出成本</w:t>
            </w:r>
          </w:p>
        </w:tc>
        <w:tc>
          <w:tcPr>
            <w:tcW w:w="2268" w:type="dxa"/>
            <w:vAlign w:val="center"/>
          </w:tcPr>
          <w:p>
            <w:pPr>
              <w:pStyle w:val="13"/>
            </w:pPr>
            <w:r>
              <w:t>3万元</w:t>
            </w:r>
          </w:p>
        </w:tc>
        <w:tc>
          <w:tcPr>
            <w:tcW w:w="1276" w:type="dxa"/>
            <w:vAlign w:val="center"/>
          </w:tcPr>
          <w:p>
            <w:pPr>
              <w:pStyle w:val="13"/>
            </w:pPr>
            <w:r>
              <w:t>依据中国工商联章程职能与任务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管理服务成效</w:t>
            </w:r>
          </w:p>
        </w:tc>
        <w:tc>
          <w:tcPr>
            <w:tcW w:w="5386" w:type="dxa"/>
            <w:vAlign w:val="center"/>
          </w:tcPr>
          <w:p>
            <w:pPr>
              <w:pStyle w:val="13"/>
            </w:pPr>
            <w:r>
              <w:t>班子健全、会议理论素质和政治站位高</w:t>
            </w:r>
          </w:p>
        </w:tc>
        <w:tc>
          <w:tcPr>
            <w:tcW w:w="2268" w:type="dxa"/>
            <w:vAlign w:val="center"/>
          </w:tcPr>
          <w:p>
            <w:pPr>
              <w:pStyle w:val="13"/>
            </w:pPr>
            <w:r>
              <w:t>≥95%</w:t>
            </w:r>
          </w:p>
        </w:tc>
        <w:tc>
          <w:tcPr>
            <w:tcW w:w="1276" w:type="dxa"/>
            <w:vAlign w:val="center"/>
          </w:tcPr>
          <w:p>
            <w:pPr>
              <w:pStyle w:val="13"/>
            </w:pPr>
            <w:r>
              <w:t>依据中国工商联章程职能与任务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受训学员满意和较满意</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714晋州市工商业联合会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0.70</w:t>
            </w:r>
          </w:p>
        </w:tc>
        <w:tc>
          <w:tcPr>
            <w:tcW w:w="964" w:type="dxa"/>
            <w:vAlign w:val="center"/>
          </w:tcPr>
          <w:p>
            <w:pPr>
              <w:pStyle w:val="16"/>
            </w:pPr>
            <w:r>
              <w:t>0.70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晋州市工商业联合会本级小计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0.70</w:t>
            </w:r>
          </w:p>
        </w:tc>
        <w:tc>
          <w:tcPr>
            <w:tcW w:w="964" w:type="dxa"/>
            <w:vAlign w:val="center"/>
          </w:tcPr>
          <w:p>
            <w:pPr>
              <w:pStyle w:val="16"/>
            </w:pPr>
            <w:r>
              <w:t>0.70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0.02</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晋州市工商业联合会（含所属单位）上年末固定资产金额为17.00万元（详见下表）。本年度拟购置固定资产总额为0.00万元，已按要求列入政府采购预算，详见政府采购预算表。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714晋州市工商业联合会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17</w:t>
            </w:r>
          </w:p>
        </w:tc>
        <w:tc>
          <w:tcPr>
            <w:tcW w:w="2835" w:type="dxa"/>
            <w:vAlign w:val="center"/>
          </w:tcPr>
          <w:p>
            <w:pPr>
              <w:pStyle w:val="12"/>
            </w:pPr>
            <w:r>
              <w:t>17.00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1F83FB"/>
    <w:multiLevelType w:val="singleLevel"/>
    <w:tmpl w:val="CD1F83F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3C1E5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2026-03-02T09:52:00Z</dcterms:created>
  <dc:creator>Administrator</dc:creator>
  <cp:lastModifiedBy>Administrator</cp:lastModifiedBy>
  <dcterms:modified xsi:type="dcterms:W3CDTF">2026-03-02T03:41:36Z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