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721晋州市文学艺术界联合会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96.62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96.62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96.62</w:t>
            </w:r>
          </w:p>
        </w:tc>
        <w:tc>
          <w:tcPr>
            <w:tcW w:w="4535" w:type="dxa"/>
            <w:vAlign w:val="center"/>
          </w:tcPr>
          <w:p>
            <w:pPr>
              <w:pStyle w:val="15"/>
            </w:pPr>
            <w:r>
              <w:t>本年支出合计</w:t>
            </w:r>
          </w:p>
        </w:tc>
        <w:tc>
          <w:tcPr>
            <w:tcW w:w="2126" w:type="dxa"/>
            <w:vAlign w:val="center"/>
          </w:tcPr>
          <w:p>
            <w:pPr>
              <w:pStyle w:val="16"/>
            </w:pPr>
            <w:r>
              <w:t>96.62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96.62</w:t>
            </w:r>
          </w:p>
        </w:tc>
        <w:tc>
          <w:tcPr>
            <w:tcW w:w="4535" w:type="dxa"/>
            <w:vAlign w:val="center"/>
          </w:tcPr>
          <w:p>
            <w:pPr>
              <w:pStyle w:val="15"/>
            </w:pPr>
            <w:r>
              <w:t>支出总计</w:t>
            </w:r>
          </w:p>
        </w:tc>
        <w:tc>
          <w:tcPr>
            <w:tcW w:w="2126" w:type="dxa"/>
            <w:vAlign w:val="center"/>
          </w:tcPr>
          <w:p>
            <w:pPr>
              <w:pStyle w:val="16"/>
            </w:pPr>
            <w:r>
              <w:t>96.62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721晋州市文学艺术界联合会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96.62</w:t>
            </w:r>
          </w:p>
        </w:tc>
        <w:tc>
          <w:tcPr>
            <w:tcW w:w="1134" w:type="dxa"/>
            <w:vAlign w:val="center"/>
          </w:tcPr>
          <w:p>
            <w:pPr>
              <w:pStyle w:val="16"/>
            </w:pPr>
            <w:r>
              <w:t>96.62</w:t>
            </w:r>
          </w:p>
        </w:tc>
        <w:tc>
          <w:tcPr>
            <w:tcW w:w="1134" w:type="dxa"/>
            <w:vAlign w:val="center"/>
          </w:tcPr>
          <w:p>
            <w:pPr>
              <w:pStyle w:val="16"/>
            </w:pPr>
            <w:r>
              <w:t>96.62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r>
              <w:t>96.62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96.62</w:t>
            </w:r>
          </w:p>
        </w:tc>
        <w:tc>
          <w:tcPr>
            <w:tcW w:w="1361" w:type="dxa"/>
            <w:vAlign w:val="center"/>
          </w:tcPr>
          <w:p>
            <w:pPr>
              <w:pStyle w:val="16"/>
            </w:pPr>
            <w:r>
              <w:t>95.62</w:t>
            </w:r>
          </w:p>
        </w:tc>
        <w:tc>
          <w:tcPr>
            <w:tcW w:w="1361" w:type="dxa"/>
            <w:vAlign w:val="center"/>
          </w:tcPr>
          <w:p>
            <w:pPr>
              <w:pStyle w:val="16"/>
            </w:pPr>
            <w:r>
              <w:t>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96.62</w:t>
            </w:r>
          </w:p>
        </w:tc>
        <w:tc>
          <w:tcPr>
            <w:tcW w:w="1361" w:type="dxa"/>
            <w:vAlign w:val="center"/>
          </w:tcPr>
          <w:p>
            <w:pPr>
              <w:pStyle w:val="12"/>
            </w:pPr>
            <w:r>
              <w:t>95.62</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96.62</w:t>
            </w:r>
          </w:p>
        </w:tc>
        <w:tc>
          <w:tcPr>
            <w:tcW w:w="1361" w:type="dxa"/>
            <w:vAlign w:val="center"/>
          </w:tcPr>
          <w:p>
            <w:pPr>
              <w:pStyle w:val="12"/>
            </w:pPr>
            <w:r>
              <w:t>95.62</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96.62</w:t>
            </w:r>
          </w:p>
        </w:tc>
        <w:tc>
          <w:tcPr>
            <w:tcW w:w="1361" w:type="dxa"/>
            <w:vAlign w:val="center"/>
          </w:tcPr>
          <w:p>
            <w:pPr>
              <w:pStyle w:val="12"/>
            </w:pPr>
            <w:r>
              <w:t>95.62</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96.62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96.62</w:t>
            </w:r>
          </w:p>
        </w:tc>
        <w:tc>
          <w:tcPr>
            <w:tcW w:w="1474" w:type="dxa"/>
            <w:vAlign w:val="center"/>
          </w:tcPr>
          <w:p>
            <w:pPr>
              <w:pStyle w:val="12"/>
            </w:pPr>
            <w:r>
              <w:t>96.62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96.62</w:t>
            </w:r>
          </w:p>
        </w:tc>
        <w:tc>
          <w:tcPr>
            <w:tcW w:w="3402" w:type="dxa"/>
            <w:vAlign w:val="center"/>
          </w:tcPr>
          <w:p>
            <w:pPr>
              <w:pStyle w:val="15"/>
            </w:pPr>
            <w:r>
              <w:t>本年支出合计</w:t>
            </w:r>
          </w:p>
        </w:tc>
        <w:tc>
          <w:tcPr>
            <w:tcW w:w="1474" w:type="dxa"/>
            <w:vAlign w:val="center"/>
          </w:tcPr>
          <w:p>
            <w:pPr>
              <w:pStyle w:val="16"/>
            </w:pPr>
            <w:r>
              <w:t>96.62</w:t>
            </w:r>
          </w:p>
        </w:tc>
        <w:tc>
          <w:tcPr>
            <w:tcW w:w="1474" w:type="dxa"/>
            <w:vAlign w:val="center"/>
          </w:tcPr>
          <w:p>
            <w:pPr>
              <w:pStyle w:val="16"/>
            </w:pPr>
            <w:r>
              <w:t>96.62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96.62</w:t>
            </w:r>
          </w:p>
        </w:tc>
        <w:tc>
          <w:tcPr>
            <w:tcW w:w="3402" w:type="dxa"/>
            <w:vAlign w:val="center"/>
          </w:tcPr>
          <w:p>
            <w:pPr>
              <w:pStyle w:val="15"/>
            </w:pPr>
            <w:r>
              <w:t>支出总计</w:t>
            </w:r>
          </w:p>
        </w:tc>
        <w:tc>
          <w:tcPr>
            <w:tcW w:w="1474" w:type="dxa"/>
            <w:vAlign w:val="center"/>
          </w:tcPr>
          <w:p>
            <w:pPr>
              <w:pStyle w:val="16"/>
            </w:pPr>
            <w:r>
              <w:t>96.62</w:t>
            </w:r>
          </w:p>
        </w:tc>
        <w:tc>
          <w:tcPr>
            <w:tcW w:w="1474" w:type="dxa"/>
            <w:vAlign w:val="center"/>
          </w:tcPr>
          <w:p>
            <w:pPr>
              <w:pStyle w:val="16"/>
            </w:pPr>
            <w:r>
              <w:t>96.62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96.62</w:t>
            </w:r>
          </w:p>
        </w:tc>
        <w:tc>
          <w:tcPr>
            <w:tcW w:w="2551" w:type="dxa"/>
            <w:vAlign w:val="center"/>
          </w:tcPr>
          <w:p>
            <w:pPr>
              <w:pStyle w:val="16"/>
            </w:pPr>
            <w:r>
              <w:t>95.62</w:t>
            </w:r>
          </w:p>
        </w:tc>
        <w:tc>
          <w:tcPr>
            <w:tcW w:w="2551"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96.62</w:t>
            </w:r>
          </w:p>
        </w:tc>
        <w:tc>
          <w:tcPr>
            <w:tcW w:w="2551" w:type="dxa"/>
            <w:vAlign w:val="center"/>
          </w:tcPr>
          <w:p>
            <w:pPr>
              <w:pStyle w:val="12"/>
            </w:pPr>
            <w:r>
              <w:t>95.62</w:t>
            </w: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96.62</w:t>
            </w:r>
          </w:p>
        </w:tc>
        <w:tc>
          <w:tcPr>
            <w:tcW w:w="2551" w:type="dxa"/>
            <w:vAlign w:val="center"/>
          </w:tcPr>
          <w:p>
            <w:pPr>
              <w:pStyle w:val="12"/>
            </w:pPr>
            <w:r>
              <w:t>95.62</w:t>
            </w: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96.62</w:t>
            </w:r>
          </w:p>
        </w:tc>
        <w:tc>
          <w:tcPr>
            <w:tcW w:w="2551" w:type="dxa"/>
            <w:vAlign w:val="center"/>
          </w:tcPr>
          <w:p>
            <w:pPr>
              <w:pStyle w:val="12"/>
            </w:pPr>
            <w:r>
              <w:t>95.62</w:t>
            </w:r>
          </w:p>
        </w:tc>
        <w:tc>
          <w:tcPr>
            <w:tcW w:w="2551"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95.62</w:t>
            </w:r>
          </w:p>
        </w:tc>
        <w:tc>
          <w:tcPr>
            <w:tcW w:w="2551" w:type="dxa"/>
            <w:vAlign w:val="center"/>
          </w:tcPr>
          <w:p>
            <w:pPr>
              <w:pStyle w:val="16"/>
            </w:pPr>
            <w:r>
              <w:t>85.42</w:t>
            </w:r>
          </w:p>
        </w:tc>
        <w:tc>
          <w:tcPr>
            <w:tcW w:w="2551" w:type="dxa"/>
            <w:vAlign w:val="center"/>
          </w:tcPr>
          <w:p>
            <w:pPr>
              <w:pStyle w:val="16"/>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70.89</w:t>
            </w:r>
          </w:p>
        </w:tc>
        <w:tc>
          <w:tcPr>
            <w:tcW w:w="2551" w:type="dxa"/>
            <w:vAlign w:val="center"/>
          </w:tcPr>
          <w:p>
            <w:pPr>
              <w:pStyle w:val="12"/>
            </w:pPr>
            <w:r>
              <w:t>70.89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29.14</w:t>
            </w:r>
          </w:p>
        </w:tc>
        <w:tc>
          <w:tcPr>
            <w:tcW w:w="2551" w:type="dxa"/>
            <w:vAlign w:val="center"/>
          </w:tcPr>
          <w:p>
            <w:pPr>
              <w:pStyle w:val="12"/>
            </w:pPr>
            <w:r>
              <w:t>29.14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12.45</w:t>
            </w:r>
          </w:p>
        </w:tc>
        <w:tc>
          <w:tcPr>
            <w:tcW w:w="2551" w:type="dxa"/>
            <w:vAlign w:val="center"/>
          </w:tcPr>
          <w:p>
            <w:pPr>
              <w:pStyle w:val="12"/>
            </w:pPr>
            <w:r>
              <w:t>12.45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11.32</w:t>
            </w:r>
          </w:p>
        </w:tc>
        <w:tc>
          <w:tcPr>
            <w:tcW w:w="2551" w:type="dxa"/>
            <w:vAlign w:val="center"/>
          </w:tcPr>
          <w:p>
            <w:pPr>
              <w:pStyle w:val="12"/>
            </w:pPr>
            <w:r>
              <w:t>11.32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2.84</w:t>
            </w:r>
          </w:p>
        </w:tc>
        <w:tc>
          <w:tcPr>
            <w:tcW w:w="2551" w:type="dxa"/>
            <w:vAlign w:val="center"/>
          </w:tcPr>
          <w:p>
            <w:pPr>
              <w:pStyle w:val="12"/>
            </w:pPr>
            <w:r>
              <w:t>2.84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1.44</w:t>
            </w:r>
          </w:p>
        </w:tc>
        <w:tc>
          <w:tcPr>
            <w:tcW w:w="2551" w:type="dxa"/>
            <w:vAlign w:val="center"/>
          </w:tcPr>
          <w:p>
            <w:pPr>
              <w:pStyle w:val="12"/>
            </w:pPr>
            <w:r>
              <w:t>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0.24</w:t>
            </w:r>
          </w:p>
        </w:tc>
        <w:tc>
          <w:tcPr>
            <w:tcW w:w="2551" w:type="dxa"/>
            <w:vAlign w:val="center"/>
          </w:tcPr>
          <w:p>
            <w:pPr>
              <w:pStyle w:val="12"/>
            </w:pPr>
            <w:r>
              <w:t>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5.96</w:t>
            </w:r>
          </w:p>
        </w:tc>
        <w:tc>
          <w:tcPr>
            <w:tcW w:w="2551" w:type="dxa"/>
            <w:vAlign w:val="center"/>
          </w:tcPr>
          <w:p>
            <w:pPr>
              <w:pStyle w:val="12"/>
            </w:pPr>
            <w:r>
              <w:t>5.96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10.20</w:t>
            </w:r>
          </w:p>
        </w:tc>
        <w:tc>
          <w:tcPr>
            <w:tcW w:w="2551" w:type="dxa"/>
            <w:vAlign w:val="center"/>
          </w:tcPr>
          <w:p>
            <w:pPr>
              <w:pStyle w:val="12"/>
            </w:pPr>
          </w:p>
        </w:tc>
        <w:tc>
          <w:tcPr>
            <w:tcW w:w="2551" w:type="dxa"/>
            <w:vAlign w:val="center"/>
          </w:tcPr>
          <w:p>
            <w:pPr>
              <w:pStyle w:val="12"/>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1.12</w:t>
            </w:r>
          </w:p>
        </w:tc>
        <w:tc>
          <w:tcPr>
            <w:tcW w:w="2551" w:type="dxa"/>
            <w:vAlign w:val="center"/>
          </w:tcPr>
          <w:p>
            <w:pPr>
              <w:pStyle w:val="12"/>
            </w:pPr>
          </w:p>
        </w:tc>
        <w:tc>
          <w:tcPr>
            <w:tcW w:w="2551"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0.07</w:t>
            </w:r>
          </w:p>
        </w:tc>
        <w:tc>
          <w:tcPr>
            <w:tcW w:w="2551" w:type="dxa"/>
            <w:vAlign w:val="center"/>
          </w:tcPr>
          <w:p>
            <w:pPr>
              <w:pStyle w:val="12"/>
            </w:pPr>
          </w:p>
        </w:tc>
        <w:tc>
          <w:tcPr>
            <w:tcW w:w="2551"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0.49</w:t>
            </w:r>
          </w:p>
        </w:tc>
        <w:tc>
          <w:tcPr>
            <w:tcW w:w="2551" w:type="dxa"/>
            <w:vAlign w:val="center"/>
          </w:tcPr>
          <w:p>
            <w:pPr>
              <w:pStyle w:val="12"/>
            </w:pPr>
          </w:p>
        </w:tc>
        <w:tc>
          <w:tcPr>
            <w:tcW w:w="2551"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2.69</w:t>
            </w:r>
          </w:p>
        </w:tc>
        <w:tc>
          <w:tcPr>
            <w:tcW w:w="2551" w:type="dxa"/>
            <w:vAlign w:val="center"/>
          </w:tcPr>
          <w:p>
            <w:pPr>
              <w:pStyle w:val="12"/>
            </w:pPr>
          </w:p>
        </w:tc>
        <w:tc>
          <w:tcPr>
            <w:tcW w:w="2551" w:type="dxa"/>
            <w:vAlign w:val="center"/>
          </w:tcPr>
          <w:p>
            <w:pPr>
              <w:pStyle w:val="12"/>
            </w:pPr>
            <w:r>
              <w:t>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3.66</w:t>
            </w:r>
          </w:p>
        </w:tc>
        <w:tc>
          <w:tcPr>
            <w:tcW w:w="2551" w:type="dxa"/>
            <w:vAlign w:val="center"/>
          </w:tcPr>
          <w:p>
            <w:pPr>
              <w:pStyle w:val="12"/>
            </w:pPr>
          </w:p>
        </w:tc>
        <w:tc>
          <w:tcPr>
            <w:tcW w:w="2551" w:type="dxa"/>
            <w:vAlign w:val="center"/>
          </w:tcPr>
          <w:p>
            <w:pPr>
              <w:pStyle w:val="12"/>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1.25</w:t>
            </w:r>
          </w:p>
        </w:tc>
        <w:tc>
          <w:tcPr>
            <w:tcW w:w="2551" w:type="dxa"/>
            <w:vAlign w:val="center"/>
          </w:tcPr>
          <w:p>
            <w:pPr>
              <w:pStyle w:val="12"/>
            </w:pPr>
          </w:p>
        </w:tc>
        <w:tc>
          <w:tcPr>
            <w:tcW w:w="2551" w:type="dxa"/>
            <w:vAlign w:val="center"/>
          </w:tcPr>
          <w:p>
            <w:pPr>
              <w:pStyle w:val="12"/>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14.53</w:t>
            </w:r>
          </w:p>
        </w:tc>
        <w:tc>
          <w:tcPr>
            <w:tcW w:w="2551" w:type="dxa"/>
            <w:vAlign w:val="center"/>
          </w:tcPr>
          <w:p>
            <w:pPr>
              <w:pStyle w:val="12"/>
            </w:pPr>
            <w:r>
              <w:t>14.53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13.47</w:t>
            </w:r>
          </w:p>
        </w:tc>
        <w:tc>
          <w:tcPr>
            <w:tcW w:w="2551" w:type="dxa"/>
            <w:vAlign w:val="center"/>
          </w:tcPr>
          <w:p>
            <w:pPr>
              <w:pStyle w:val="12"/>
            </w:pPr>
            <w:r>
              <w:t>13.47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1.06</w:t>
            </w:r>
          </w:p>
        </w:tc>
        <w:tc>
          <w:tcPr>
            <w:tcW w:w="2551" w:type="dxa"/>
            <w:vAlign w:val="center"/>
          </w:tcPr>
          <w:p>
            <w:pPr>
              <w:pStyle w:val="12"/>
            </w:pPr>
            <w:r>
              <w:t>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721晋州市文学艺术界联合会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晋州市文学艺术界联合会2026年部门预算信息公开情况说明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晋州市文学艺术界联合会2026年部门预算信息公开情况说明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按照《中华人民共和国预算法》、《地方预决算公开操作规程》和《关于进一步推进预算公开工作的实施意见》规定，现将晋州市文学艺术界联合会2026年部门预算公开如下：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1.坚持和加强党的全面领导，贯彻落实党的文艺方针政策和决策部署，协调、引导、联络、服务各文艺团体工作。</w:t>
      </w:r>
    </w:p>
    <w:p>
      <w:pPr>
        <w:pStyle w:val="18"/>
      </w:pPr>
      <w:r>
        <w:t>2.组织召开全市文联系统工作会议，指导各文艺家协会召开代表大会、理事会、主席团会议。</w:t>
      </w:r>
    </w:p>
    <w:p>
      <w:pPr>
        <w:pStyle w:val="18"/>
      </w:pPr>
      <w:r>
        <w:t>3.组织开展采风创作、文艺志愿服务、主题文艺活动。</w:t>
      </w:r>
    </w:p>
    <w:p>
      <w:pPr>
        <w:pStyle w:val="18"/>
      </w:pPr>
      <w:r>
        <w:t>4.组织开展文艺人才教育培训、培养、举荐、创作扶持等工作。</w:t>
      </w:r>
    </w:p>
    <w:p>
      <w:pPr>
        <w:pStyle w:val="18"/>
      </w:pPr>
      <w:r>
        <w:t>5.协同有关部门组织文艺活动的重大评奖活动。组织开展文艺评论、文艺理论研究、学术交流研讨等活动。</w:t>
      </w:r>
    </w:p>
    <w:p>
      <w:pPr>
        <w:pStyle w:val="18"/>
      </w:pPr>
      <w:r>
        <w:t>6.服务市委、市政府工作大局，传播中华优秀传统文化，组织开展文化交流合作。</w:t>
      </w:r>
    </w:p>
    <w:p>
      <w:pPr>
        <w:pStyle w:val="18"/>
      </w:pPr>
      <w:r>
        <w:t>7.开展行风建设和职业道德建设。</w:t>
      </w:r>
    </w:p>
    <w:p>
      <w:pPr>
        <w:pStyle w:val="18"/>
      </w:pPr>
      <w:r>
        <w:t>8.联络、协调、服务和指导各文艺家协会编辑出版有关文艺刊物和文艺书籍。</w:t>
      </w:r>
    </w:p>
    <w:p>
      <w:pPr>
        <w:pStyle w:val="18"/>
      </w:pPr>
      <w:r>
        <w:t>9.维护文艺工作者合法权益。</w:t>
      </w:r>
    </w:p>
    <w:p>
      <w:pPr>
        <w:pStyle w:val="18"/>
      </w:pPr>
      <w:r>
        <w:t>10.完成市委、市政府交办的其他事项。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晋州市文学艺术界联合会本级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按照预算管理有关规定，目前部门预算的编制实行综合预算管理，即全部收入和支出都反映在预算中。晋州市文学艺术界联合会机关及所属事业单位的收支包含在部门预算中。</w:t>
      </w:r>
    </w:p>
    <w:p>
      <w:pPr>
        <w:pStyle w:val="19"/>
      </w:pPr>
      <w:r>
        <w:t>1、收入说明</w:t>
      </w:r>
    </w:p>
    <w:p>
      <w:pPr>
        <w:pStyle w:val="19"/>
      </w:pPr>
      <w:r>
        <w:t>反映本部门当年全部收入。2026年预算收入96.62万元，其中：一般公共预算收入96.62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文学艺术界联合会年度部门预算中支出预算的总体情况。2026年支出预算96.62万元，其中基本支出95.62万元，包括人员经费85.42万元和日常公用经费10.20万元；项目支出1.00万元，主要为书、美、摄协系列展览活动；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96.62万元，较2025年预算增加4.29万元，其中：基本支出增加4.29万元，主要为单位人员工资标准提高。项目支出增加0.00万元，主要为项目支出未发生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2026年，我部门机关运行经费共计安排10.20万元，主要用于日常维修、办公用房水电费、办公用房取暖费、办公用房物业管理费等日常运行支出。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围绕市委、市政府中心工作开展主题文艺活动；推荐优秀文艺作品不少于30幅，推荐文艺新人3人以上；组织各协会开展文艺活动不少于5次；举办书法、美术、摄影等展览活动不少于4次；开展主题文艺创作，打造晋州文艺品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（一）举办书、美、摄影展览系列展览活动，弘扬优秀传统文化，推动文化强市建设，提高我市文化凝聚力和影响力。</w:t>
      </w:r>
    </w:p>
    <w:p>
      <w:pPr>
        <w:pStyle w:val="23"/>
      </w:pPr>
      <w:r>
        <w:t>绩效目标：举办书法、美术、摄影展览活动4次以上。</w:t>
      </w:r>
      <w:r>
        <w:tab/>
      </w:r>
    </w:p>
    <w:p>
      <w:pPr>
        <w:pStyle w:val="23"/>
      </w:pPr>
      <w:r>
        <w:t>绩效指标：举办文艺活动完成率大于90%，群众满意度大于90%。</w:t>
      </w:r>
    </w:p>
    <w:p>
      <w:pPr>
        <w:pStyle w:val="23"/>
      </w:pPr>
      <w:r>
        <w:t>（二）组织主题文艺活动，开展文艺创作，进一步提高市文化艺术的影响力和美誉度。</w:t>
      </w:r>
    </w:p>
    <w:p>
      <w:pPr>
        <w:pStyle w:val="23"/>
      </w:pPr>
      <w:r>
        <w:t>绩效目标：组织文艺活动5次以上，开展文艺创作，推荐文艺作品30幅以上，文艺新人3人以上。</w:t>
      </w:r>
    </w:p>
    <w:p>
      <w:pPr>
        <w:pStyle w:val="23"/>
      </w:pPr>
      <w:r>
        <w:t>绩效指标：组织文艺活动完成率不低于90%。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根据市委、市政府专题会议精神，做好各协会和艺术家创作基地建设，为优秀文艺人才提供良好的创作环境。搞好创新，真正让各文艺家协会动起来，文艺队伍带起来。强化文艺活动机制，加大对青年创作人才的扶持力度。</w:t>
      </w:r>
    </w:p>
    <w:p>
      <w:pPr>
        <w:pStyle w:val="24"/>
      </w:pPr>
      <w:r>
        <w:t>完善制度建设：继续完善机关管理制度建设，积极推动发挥文联组织、服务、协调、交流的作用，提高人民群众艺术修养；加强支出管理。</w:t>
      </w:r>
    </w:p>
    <w:p>
      <w:pPr>
        <w:pStyle w:val="24"/>
      </w:pPr>
      <w:r>
        <w:t>加强绩效运行监控：按照要求开展绩效运行监控，发现问题及时采取措施，确保绩效目标如期保质实现。</w:t>
      </w:r>
    </w:p>
    <w:p>
      <w:pPr>
        <w:pStyle w:val="24"/>
      </w:pPr>
      <w:r>
        <w:t>做好绩效自评：按要求开展年度部门预算绩效自评和重点评价工作，对评价中发现的问题及时整改，调整优化支出结构，提高财政资金使用效益。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1、书、美、摄协系列展览活动经费绩效目标表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13018326P00032810298L</w:t>
            </w:r>
          </w:p>
        </w:tc>
        <w:tc>
          <w:tcPr>
            <w:tcW w:w="2835" w:type="dxa"/>
            <w:vAlign w:val="center"/>
          </w:tcPr>
          <w:p>
            <w:pPr>
              <w:pStyle w:val="11"/>
            </w:pPr>
            <w:r>
              <w:t>项目名称</w:t>
            </w:r>
          </w:p>
        </w:tc>
        <w:tc>
          <w:tcPr>
            <w:tcW w:w="6095" w:type="dxa"/>
            <w:gridSpan w:val="3"/>
            <w:vAlign w:val="center"/>
          </w:tcPr>
          <w:p>
            <w:pPr>
              <w:pStyle w:val="13"/>
            </w:pPr>
            <w:r>
              <w:t>书、美、摄协系列展览活动经费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用于开展书、美、摄协系列展览活动中宣传、装裱、场地等费用。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1.通过开展系列展览活动，丰富群众文化生活，提高群众文化素养，增强文化自信.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r>
              <w:tab/>
            </w:r>
          </w:p>
        </w:tc>
        <w:tc>
          <w:tcPr>
            <w:tcW w:w="5386" w:type="dxa"/>
            <w:vAlign w:val="center"/>
          </w:tcPr>
          <w:p>
            <w:pPr>
              <w:pStyle w:val="13"/>
            </w:pPr>
            <w:r>
              <w:t>组织宣传活动次数</w:t>
            </w:r>
            <w:r>
              <w:tab/>
            </w:r>
          </w:p>
        </w:tc>
        <w:tc>
          <w:tcPr>
            <w:tcW w:w="2268" w:type="dxa"/>
            <w:vAlign w:val="center"/>
          </w:tcPr>
          <w:p>
            <w:pPr>
              <w:pStyle w:val="13"/>
            </w:pPr>
            <w:r>
              <w:t>≥4次</w:t>
            </w:r>
          </w:p>
        </w:tc>
        <w:tc>
          <w:tcPr>
            <w:tcW w:w="1276" w:type="dxa"/>
            <w:vAlign w:val="center"/>
          </w:tcPr>
          <w:p>
            <w:pPr>
              <w:pStyle w:val="13"/>
            </w:pPr>
            <w:r>
              <w:t>根据部门职责开展书、美、摄协系列展览活动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宣传目标完成率</w:t>
            </w:r>
          </w:p>
        </w:tc>
        <w:tc>
          <w:tcPr>
            <w:tcW w:w="5386" w:type="dxa"/>
            <w:vAlign w:val="center"/>
          </w:tcPr>
          <w:p>
            <w:pPr>
              <w:pStyle w:val="13"/>
            </w:pPr>
            <w:r>
              <w:t>宣传目标完成率</w:t>
            </w:r>
          </w:p>
        </w:tc>
        <w:tc>
          <w:tcPr>
            <w:tcW w:w="2268" w:type="dxa"/>
            <w:vAlign w:val="center"/>
          </w:tcPr>
          <w:p>
            <w:pPr>
              <w:pStyle w:val="13"/>
            </w:pPr>
            <w:r>
              <w:t>≥90%</w:t>
            </w:r>
          </w:p>
        </w:tc>
        <w:tc>
          <w:tcPr>
            <w:tcW w:w="1276" w:type="dxa"/>
            <w:vAlign w:val="center"/>
          </w:tcPr>
          <w:p>
            <w:pPr>
              <w:pStyle w:val="13"/>
            </w:pPr>
            <w:r>
              <w:t>根据部门职责开展书、美、摄协系列展览活动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5386" w:type="dxa"/>
            <w:vAlign w:val="center"/>
          </w:tcPr>
          <w:p>
            <w:pPr>
              <w:pStyle w:val="13"/>
            </w:pPr>
            <w:r>
              <w:t>文化活动按期完成率</w:t>
            </w:r>
          </w:p>
        </w:tc>
        <w:tc>
          <w:tcPr>
            <w:tcW w:w="2268" w:type="dxa"/>
            <w:vAlign w:val="center"/>
          </w:tcPr>
          <w:p>
            <w:pPr>
              <w:pStyle w:val="13"/>
            </w:pPr>
            <w:r>
              <w:t>≥90%</w:t>
            </w:r>
          </w:p>
        </w:tc>
        <w:tc>
          <w:tcPr>
            <w:tcW w:w="1276" w:type="dxa"/>
            <w:vAlign w:val="center"/>
          </w:tcPr>
          <w:p>
            <w:pPr>
              <w:pStyle w:val="13"/>
            </w:pPr>
            <w:r>
              <w:t>根据部门职责开展书、美、摄协系列展览活动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控制在项目预算资金内</w:t>
            </w:r>
          </w:p>
        </w:tc>
        <w:tc>
          <w:tcPr>
            <w:tcW w:w="5386" w:type="dxa"/>
            <w:vAlign w:val="center"/>
          </w:tcPr>
          <w:p>
            <w:pPr>
              <w:pStyle w:val="13"/>
            </w:pPr>
            <w:r>
              <w:t>控制在项目预算资金内</w:t>
            </w:r>
          </w:p>
        </w:tc>
        <w:tc>
          <w:tcPr>
            <w:tcW w:w="2268" w:type="dxa"/>
            <w:vAlign w:val="center"/>
          </w:tcPr>
          <w:p>
            <w:pPr>
              <w:pStyle w:val="13"/>
            </w:pPr>
            <w:r>
              <w:t>≤1万元</w:t>
            </w:r>
          </w:p>
        </w:tc>
        <w:tc>
          <w:tcPr>
            <w:tcW w:w="1276" w:type="dxa"/>
            <w:vAlign w:val="center"/>
          </w:tcPr>
          <w:p>
            <w:pPr>
              <w:pStyle w:val="13"/>
            </w:pPr>
            <w:r>
              <w:t>根据部门职责开展书、美、摄协系列展览活动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对中华传统优秀文化的认知率</w:t>
            </w:r>
          </w:p>
        </w:tc>
        <w:tc>
          <w:tcPr>
            <w:tcW w:w="5386" w:type="dxa"/>
            <w:vAlign w:val="center"/>
          </w:tcPr>
          <w:p>
            <w:pPr>
              <w:pStyle w:val="13"/>
            </w:pPr>
            <w:r>
              <w:t>对中华传统优秀文化的认知率</w:t>
            </w:r>
          </w:p>
        </w:tc>
        <w:tc>
          <w:tcPr>
            <w:tcW w:w="2268" w:type="dxa"/>
            <w:vAlign w:val="center"/>
          </w:tcPr>
          <w:p>
            <w:pPr>
              <w:pStyle w:val="13"/>
            </w:pPr>
            <w:r>
              <w:t>≥90%</w:t>
            </w:r>
          </w:p>
        </w:tc>
        <w:tc>
          <w:tcPr>
            <w:tcW w:w="1276" w:type="dxa"/>
            <w:vAlign w:val="center"/>
          </w:tcPr>
          <w:p>
            <w:pPr>
              <w:pStyle w:val="13"/>
            </w:pPr>
            <w:r>
              <w:t>根据部门职责开展书、美、摄协系列展览活动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群众对文化活动满意度</w:t>
            </w:r>
          </w:p>
        </w:tc>
        <w:tc>
          <w:tcPr>
            <w:tcW w:w="5386" w:type="dxa"/>
            <w:vAlign w:val="center"/>
          </w:tcPr>
          <w:p>
            <w:pPr>
              <w:pStyle w:val="13"/>
            </w:pPr>
            <w:r>
              <w:t>群众对文化活动满意度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721晋州市文学艺术界联合会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晋州市文学艺术界联合会本级小计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晋州市文学艺术界联合会（含所属单位）上年末固定资产金额为5.07万元（详见下表）。本年度拟购置固定资产总额为0.00万元，已按要求列入政府采购预算，详见政府采购预算表。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721晋州市文学艺术界联合会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w:t>
            </w:r>
          </w:p>
        </w:tc>
        <w:tc>
          <w:tcPr>
            <w:tcW w:w="2835" w:type="dxa"/>
            <w:vAlign w:val="center"/>
          </w:tcPr>
          <w:p>
            <w:pPr>
              <w:pStyle w:val="12"/>
            </w:pPr>
            <w:r>
              <w:t>5.07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219388"/>
    <w:multiLevelType w:val="singleLevel"/>
    <w:tmpl w:val="E02193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5044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2026-03-02T09:52:00Z</dcterms:created>
  <dc:creator>Administrator</dc:creator>
  <cp:lastModifiedBy>Administrator</cp:lastModifiedBy>
  <dcterms:modified xsi:type="dcterms:W3CDTF">2026-03-02T03:42:12Z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