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一、晋州市消防救援大队本级收支预算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一、晋州市消防救援大队本级收支预算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807001晋州市消防救援大队本级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1741.23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1741.23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1741.23</w:t>
            </w:r>
          </w:p>
        </w:tc>
        <w:tc>
          <w:tcPr>
            <w:tcW w:w="4535" w:type="dxa"/>
            <w:vAlign w:val="center"/>
          </w:tcPr>
          <w:p>
            <w:pPr>
              <w:pStyle w:val="14"/>
            </w:pPr>
            <w:r>
              <w:t>本年支出合计</w:t>
            </w:r>
          </w:p>
        </w:tc>
        <w:tc>
          <w:tcPr>
            <w:tcW w:w="2126" w:type="dxa"/>
            <w:vAlign w:val="center"/>
          </w:tcPr>
          <w:p>
            <w:pPr>
              <w:pStyle w:val="15"/>
            </w:pPr>
            <w:r>
              <w:t>1741.23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1741.23</w:t>
            </w:r>
          </w:p>
        </w:tc>
        <w:tc>
          <w:tcPr>
            <w:tcW w:w="4535" w:type="dxa"/>
            <w:vAlign w:val="center"/>
          </w:tcPr>
          <w:p>
            <w:pPr>
              <w:pStyle w:val="14"/>
            </w:pPr>
            <w:r>
              <w:t>支出总计</w:t>
            </w:r>
          </w:p>
        </w:tc>
        <w:tc>
          <w:tcPr>
            <w:tcW w:w="2126" w:type="dxa"/>
            <w:vAlign w:val="center"/>
          </w:tcPr>
          <w:p>
            <w:pPr>
              <w:pStyle w:val="15"/>
            </w:pPr>
            <w:r>
              <w:t>1741.23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807001晋州市消防救援大队本级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1741.23</w:t>
            </w:r>
          </w:p>
        </w:tc>
        <w:tc>
          <w:tcPr>
            <w:tcW w:w="1134" w:type="dxa"/>
            <w:vAlign w:val="center"/>
          </w:tcPr>
          <w:p>
            <w:pPr>
              <w:pStyle w:val="15"/>
            </w:pPr>
            <w:r>
              <w:t>1741.23</w:t>
            </w:r>
          </w:p>
        </w:tc>
        <w:tc>
          <w:tcPr>
            <w:tcW w:w="1134" w:type="dxa"/>
            <w:vAlign w:val="center"/>
          </w:tcPr>
          <w:p>
            <w:pPr>
              <w:pStyle w:val="15"/>
            </w:pPr>
            <w:r>
              <w:t>1741.23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1741.23</w:t>
            </w:r>
          </w:p>
        </w:tc>
        <w:tc>
          <w:tcPr>
            <w:tcW w:w="1134" w:type="dxa"/>
            <w:vAlign w:val="center"/>
          </w:tcPr>
          <w:p>
            <w:pPr>
              <w:pStyle w:val="11"/>
            </w:pPr>
            <w:r>
              <w:t>1741.23</w:t>
            </w:r>
          </w:p>
        </w:tc>
        <w:tc>
          <w:tcPr>
            <w:tcW w:w="1134" w:type="dxa"/>
            <w:vAlign w:val="center"/>
          </w:tcPr>
          <w:p>
            <w:pPr>
              <w:pStyle w:val="11"/>
            </w:pPr>
            <w:r>
              <w:t>1741.23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1741.23</w:t>
            </w:r>
          </w:p>
        </w:tc>
        <w:tc>
          <w:tcPr>
            <w:tcW w:w="1134" w:type="dxa"/>
            <w:vAlign w:val="center"/>
          </w:tcPr>
          <w:p>
            <w:pPr>
              <w:pStyle w:val="11"/>
            </w:pPr>
            <w:r>
              <w:t>1741.23</w:t>
            </w:r>
          </w:p>
        </w:tc>
        <w:tc>
          <w:tcPr>
            <w:tcW w:w="1134" w:type="dxa"/>
            <w:vAlign w:val="center"/>
          </w:tcPr>
          <w:p>
            <w:pPr>
              <w:pStyle w:val="11"/>
            </w:pPr>
            <w:r>
              <w:t>1741.23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2240201</w:t>
            </w:r>
          </w:p>
        </w:tc>
        <w:tc>
          <w:tcPr>
            <w:tcW w:w="1559" w:type="dxa"/>
            <w:vAlign w:val="center"/>
          </w:tcPr>
          <w:p>
            <w:pPr>
              <w:pStyle w:val="12"/>
            </w:pPr>
            <w:r>
              <w:t>行政运行</w:t>
            </w:r>
          </w:p>
        </w:tc>
        <w:tc>
          <w:tcPr>
            <w:tcW w:w="1134" w:type="dxa"/>
            <w:vAlign w:val="center"/>
          </w:tcPr>
          <w:p>
            <w:pPr>
              <w:pStyle w:val="11"/>
            </w:pPr>
            <w:r>
              <w:t>1422.23</w:t>
            </w:r>
          </w:p>
        </w:tc>
        <w:tc>
          <w:tcPr>
            <w:tcW w:w="1134" w:type="dxa"/>
            <w:vAlign w:val="center"/>
          </w:tcPr>
          <w:p>
            <w:pPr>
              <w:pStyle w:val="11"/>
            </w:pPr>
            <w:r>
              <w:t>1422.23</w:t>
            </w:r>
          </w:p>
        </w:tc>
        <w:tc>
          <w:tcPr>
            <w:tcW w:w="1134" w:type="dxa"/>
            <w:vAlign w:val="center"/>
          </w:tcPr>
          <w:p>
            <w:pPr>
              <w:pStyle w:val="11"/>
            </w:pPr>
            <w:r>
              <w:t>1422.23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319.00</w:t>
            </w:r>
          </w:p>
        </w:tc>
        <w:tc>
          <w:tcPr>
            <w:tcW w:w="1134" w:type="dxa"/>
            <w:vAlign w:val="center"/>
          </w:tcPr>
          <w:p>
            <w:pPr>
              <w:pStyle w:val="11"/>
            </w:pPr>
            <w:r>
              <w:t>319.00</w:t>
            </w:r>
          </w:p>
        </w:tc>
        <w:tc>
          <w:tcPr>
            <w:tcW w:w="1134" w:type="dxa"/>
            <w:vAlign w:val="center"/>
          </w:tcPr>
          <w:p>
            <w:pPr>
              <w:pStyle w:val="11"/>
            </w:pPr>
            <w:r>
              <w:t>319.00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1741.23</w:t>
            </w:r>
          </w:p>
        </w:tc>
        <w:tc>
          <w:tcPr>
            <w:tcW w:w="1361" w:type="dxa"/>
            <w:vAlign w:val="center"/>
          </w:tcPr>
          <w:p>
            <w:pPr>
              <w:pStyle w:val="15"/>
            </w:pPr>
            <w:r>
              <w:t>1422.23</w:t>
            </w:r>
          </w:p>
        </w:tc>
        <w:tc>
          <w:tcPr>
            <w:tcW w:w="1361" w:type="dxa"/>
            <w:vAlign w:val="center"/>
          </w:tcPr>
          <w:p>
            <w:pPr>
              <w:pStyle w:val="15"/>
            </w:pPr>
            <w:r>
              <w:t>319.00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1741.23</w:t>
            </w:r>
          </w:p>
        </w:tc>
        <w:tc>
          <w:tcPr>
            <w:tcW w:w="1361" w:type="dxa"/>
            <w:vAlign w:val="center"/>
          </w:tcPr>
          <w:p>
            <w:pPr>
              <w:pStyle w:val="11"/>
            </w:pPr>
            <w:r>
              <w:t>1422.23</w:t>
            </w:r>
          </w:p>
        </w:tc>
        <w:tc>
          <w:tcPr>
            <w:tcW w:w="1361" w:type="dxa"/>
            <w:vAlign w:val="center"/>
          </w:tcPr>
          <w:p>
            <w:pPr>
              <w:pStyle w:val="11"/>
            </w:pPr>
            <w:r>
              <w:t>319.00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1741.23</w:t>
            </w:r>
          </w:p>
        </w:tc>
        <w:tc>
          <w:tcPr>
            <w:tcW w:w="1361" w:type="dxa"/>
            <w:vAlign w:val="center"/>
          </w:tcPr>
          <w:p>
            <w:pPr>
              <w:pStyle w:val="11"/>
            </w:pPr>
            <w:r>
              <w:t>1422.23</w:t>
            </w:r>
          </w:p>
        </w:tc>
        <w:tc>
          <w:tcPr>
            <w:tcW w:w="1361" w:type="dxa"/>
            <w:vAlign w:val="center"/>
          </w:tcPr>
          <w:p>
            <w:pPr>
              <w:pStyle w:val="11"/>
            </w:pPr>
            <w:r>
              <w:t>319.00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2240201</w:t>
            </w:r>
          </w:p>
        </w:tc>
        <w:tc>
          <w:tcPr>
            <w:tcW w:w="4535" w:type="dxa"/>
            <w:vAlign w:val="center"/>
          </w:tcPr>
          <w:p>
            <w:pPr>
              <w:pStyle w:val="12"/>
            </w:pPr>
            <w:r>
              <w:t>行政运行</w:t>
            </w:r>
          </w:p>
        </w:tc>
        <w:tc>
          <w:tcPr>
            <w:tcW w:w="1361" w:type="dxa"/>
            <w:vAlign w:val="center"/>
          </w:tcPr>
          <w:p>
            <w:pPr>
              <w:pStyle w:val="11"/>
            </w:pPr>
            <w:r>
              <w:t>1422.23</w:t>
            </w:r>
          </w:p>
        </w:tc>
        <w:tc>
          <w:tcPr>
            <w:tcW w:w="1361" w:type="dxa"/>
            <w:vAlign w:val="center"/>
          </w:tcPr>
          <w:p>
            <w:pPr>
              <w:pStyle w:val="11"/>
            </w:pPr>
            <w:r>
              <w:t>1422.23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319.00</w:t>
            </w:r>
          </w:p>
        </w:tc>
        <w:tc>
          <w:tcPr>
            <w:tcW w:w="1361" w:type="dxa"/>
            <w:vAlign w:val="center"/>
          </w:tcPr>
          <w:p>
            <w:pPr>
              <w:pStyle w:val="11"/>
            </w:pPr>
          </w:p>
        </w:tc>
        <w:tc>
          <w:tcPr>
            <w:tcW w:w="1361" w:type="dxa"/>
            <w:vAlign w:val="center"/>
          </w:tcPr>
          <w:p>
            <w:pPr>
              <w:pStyle w:val="11"/>
            </w:pPr>
            <w:r>
              <w:t>319.00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1741.23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1741.23</w:t>
            </w:r>
          </w:p>
        </w:tc>
        <w:tc>
          <w:tcPr>
            <w:tcW w:w="1474" w:type="dxa"/>
            <w:vAlign w:val="center"/>
          </w:tcPr>
          <w:p>
            <w:pPr>
              <w:pStyle w:val="11"/>
            </w:pPr>
            <w:r>
              <w:t>1741.23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1741.23</w:t>
            </w:r>
          </w:p>
        </w:tc>
        <w:tc>
          <w:tcPr>
            <w:tcW w:w="3402" w:type="dxa"/>
            <w:vAlign w:val="center"/>
          </w:tcPr>
          <w:p>
            <w:pPr>
              <w:pStyle w:val="14"/>
            </w:pPr>
            <w:r>
              <w:t>本年支出合计</w:t>
            </w:r>
          </w:p>
        </w:tc>
        <w:tc>
          <w:tcPr>
            <w:tcW w:w="1474" w:type="dxa"/>
            <w:vAlign w:val="center"/>
          </w:tcPr>
          <w:p>
            <w:pPr>
              <w:pStyle w:val="15"/>
            </w:pPr>
            <w:r>
              <w:t>1741.23</w:t>
            </w:r>
          </w:p>
        </w:tc>
        <w:tc>
          <w:tcPr>
            <w:tcW w:w="1474" w:type="dxa"/>
            <w:vAlign w:val="center"/>
          </w:tcPr>
          <w:p>
            <w:pPr>
              <w:pStyle w:val="15"/>
            </w:pPr>
            <w:r>
              <w:t>1741.23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1741.23</w:t>
            </w:r>
          </w:p>
        </w:tc>
        <w:tc>
          <w:tcPr>
            <w:tcW w:w="3402" w:type="dxa"/>
            <w:vAlign w:val="center"/>
          </w:tcPr>
          <w:p>
            <w:pPr>
              <w:pStyle w:val="14"/>
            </w:pPr>
            <w:r>
              <w:t>支出总计</w:t>
            </w:r>
          </w:p>
        </w:tc>
        <w:tc>
          <w:tcPr>
            <w:tcW w:w="1474" w:type="dxa"/>
            <w:vAlign w:val="center"/>
          </w:tcPr>
          <w:p>
            <w:pPr>
              <w:pStyle w:val="15"/>
            </w:pPr>
            <w:r>
              <w:t>1741.23</w:t>
            </w:r>
          </w:p>
        </w:tc>
        <w:tc>
          <w:tcPr>
            <w:tcW w:w="1474" w:type="dxa"/>
            <w:vAlign w:val="center"/>
          </w:tcPr>
          <w:p>
            <w:pPr>
              <w:pStyle w:val="15"/>
            </w:pPr>
            <w:r>
              <w:t>1741.23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1741.23</w:t>
            </w:r>
          </w:p>
        </w:tc>
        <w:tc>
          <w:tcPr>
            <w:tcW w:w="2551" w:type="dxa"/>
            <w:vAlign w:val="center"/>
          </w:tcPr>
          <w:p>
            <w:pPr>
              <w:pStyle w:val="15"/>
            </w:pPr>
            <w:r>
              <w:t>1422.23</w:t>
            </w:r>
          </w:p>
        </w:tc>
        <w:tc>
          <w:tcPr>
            <w:tcW w:w="2551" w:type="dxa"/>
            <w:vAlign w:val="center"/>
          </w:tcPr>
          <w:p>
            <w:pPr>
              <w:pStyle w:val="15"/>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1741.23</w:t>
            </w:r>
          </w:p>
        </w:tc>
        <w:tc>
          <w:tcPr>
            <w:tcW w:w="2551" w:type="dxa"/>
            <w:vAlign w:val="center"/>
          </w:tcPr>
          <w:p>
            <w:pPr>
              <w:pStyle w:val="11"/>
            </w:pPr>
            <w:r>
              <w:t>1422.23</w:t>
            </w:r>
          </w:p>
        </w:tc>
        <w:tc>
          <w:tcPr>
            <w:tcW w:w="2551" w:type="dxa"/>
            <w:vAlign w:val="center"/>
          </w:tcPr>
          <w:p>
            <w:pPr>
              <w:pStyle w:val="11"/>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1741.23</w:t>
            </w:r>
          </w:p>
        </w:tc>
        <w:tc>
          <w:tcPr>
            <w:tcW w:w="2551" w:type="dxa"/>
            <w:vAlign w:val="center"/>
          </w:tcPr>
          <w:p>
            <w:pPr>
              <w:pStyle w:val="11"/>
            </w:pPr>
            <w:r>
              <w:t>1422.23</w:t>
            </w:r>
          </w:p>
        </w:tc>
        <w:tc>
          <w:tcPr>
            <w:tcW w:w="2551" w:type="dxa"/>
            <w:vAlign w:val="center"/>
          </w:tcPr>
          <w:p>
            <w:pPr>
              <w:pStyle w:val="11"/>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2240201</w:t>
            </w:r>
          </w:p>
        </w:tc>
        <w:tc>
          <w:tcPr>
            <w:tcW w:w="4535" w:type="dxa"/>
            <w:vAlign w:val="center"/>
          </w:tcPr>
          <w:p>
            <w:pPr>
              <w:pStyle w:val="12"/>
            </w:pPr>
            <w:r>
              <w:t>行政运行</w:t>
            </w:r>
          </w:p>
        </w:tc>
        <w:tc>
          <w:tcPr>
            <w:tcW w:w="2551" w:type="dxa"/>
            <w:vAlign w:val="center"/>
          </w:tcPr>
          <w:p>
            <w:pPr>
              <w:pStyle w:val="11"/>
            </w:pPr>
            <w:r>
              <w:t>1422.23</w:t>
            </w:r>
          </w:p>
        </w:tc>
        <w:tc>
          <w:tcPr>
            <w:tcW w:w="2551" w:type="dxa"/>
            <w:vAlign w:val="center"/>
          </w:tcPr>
          <w:p>
            <w:pPr>
              <w:pStyle w:val="11"/>
            </w:pPr>
            <w:r>
              <w:t>1422.23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319.00</w:t>
            </w:r>
          </w:p>
        </w:tc>
        <w:tc>
          <w:tcPr>
            <w:tcW w:w="2551" w:type="dxa"/>
            <w:vAlign w:val="center"/>
          </w:tcPr>
          <w:p>
            <w:pPr>
              <w:pStyle w:val="11"/>
            </w:pPr>
          </w:p>
        </w:tc>
        <w:tc>
          <w:tcPr>
            <w:tcW w:w="2551" w:type="dxa"/>
            <w:vAlign w:val="center"/>
          </w:tcPr>
          <w:p>
            <w:pPr>
              <w:pStyle w:val="11"/>
            </w:pPr>
            <w:r>
              <w:t>319.00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1422.23</w:t>
            </w:r>
          </w:p>
        </w:tc>
        <w:tc>
          <w:tcPr>
            <w:tcW w:w="2551" w:type="dxa"/>
            <w:vAlign w:val="center"/>
          </w:tcPr>
          <w:p>
            <w:pPr>
              <w:pStyle w:val="15"/>
            </w:pPr>
            <w:r>
              <w:t>1357.33</w:t>
            </w:r>
          </w:p>
        </w:tc>
        <w:tc>
          <w:tcPr>
            <w:tcW w:w="2551" w:type="dxa"/>
            <w:vAlign w:val="center"/>
          </w:tcPr>
          <w:p>
            <w:pPr>
              <w:pStyle w:val="15"/>
            </w:pPr>
            <w:r>
              <w:t>64.90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1357.33</w:t>
            </w:r>
          </w:p>
        </w:tc>
        <w:tc>
          <w:tcPr>
            <w:tcW w:w="2551" w:type="dxa"/>
            <w:vAlign w:val="center"/>
          </w:tcPr>
          <w:p>
            <w:pPr>
              <w:pStyle w:val="11"/>
            </w:pPr>
            <w:r>
              <w:t>1357.33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1357.33</w:t>
            </w:r>
          </w:p>
        </w:tc>
        <w:tc>
          <w:tcPr>
            <w:tcW w:w="2551" w:type="dxa"/>
            <w:vAlign w:val="center"/>
          </w:tcPr>
          <w:p>
            <w:pPr>
              <w:pStyle w:val="11"/>
            </w:pPr>
            <w:r>
              <w:t>1357.33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64.90</w:t>
            </w:r>
          </w:p>
        </w:tc>
        <w:tc>
          <w:tcPr>
            <w:tcW w:w="2551" w:type="dxa"/>
            <w:vAlign w:val="center"/>
          </w:tcPr>
          <w:p>
            <w:pPr>
              <w:pStyle w:val="11"/>
            </w:pPr>
          </w:p>
        </w:tc>
        <w:tc>
          <w:tcPr>
            <w:tcW w:w="2551" w:type="dxa"/>
            <w:vAlign w:val="center"/>
          </w:tcPr>
          <w:p>
            <w:pPr>
              <w:pStyle w:val="11"/>
            </w:pPr>
            <w:r>
              <w:t>64.90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13.22</w:t>
            </w:r>
          </w:p>
        </w:tc>
        <w:tc>
          <w:tcPr>
            <w:tcW w:w="2551" w:type="dxa"/>
            <w:vAlign w:val="center"/>
          </w:tcPr>
          <w:p>
            <w:pPr>
              <w:pStyle w:val="11"/>
            </w:pPr>
          </w:p>
        </w:tc>
        <w:tc>
          <w:tcPr>
            <w:tcW w:w="2551" w:type="dxa"/>
            <w:vAlign w:val="center"/>
          </w:tcPr>
          <w:p>
            <w:pPr>
              <w:pStyle w:val="11"/>
            </w:pPr>
            <w:r>
              <w:t>13.22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21.58</w:t>
            </w:r>
          </w:p>
        </w:tc>
        <w:tc>
          <w:tcPr>
            <w:tcW w:w="2551" w:type="dxa"/>
            <w:vAlign w:val="center"/>
          </w:tcPr>
          <w:p>
            <w:pPr>
              <w:pStyle w:val="11"/>
            </w:pPr>
          </w:p>
        </w:tc>
        <w:tc>
          <w:tcPr>
            <w:tcW w:w="2551" w:type="dxa"/>
            <w:vAlign w:val="center"/>
          </w:tcPr>
          <w:p>
            <w:pPr>
              <w:pStyle w:val="11"/>
            </w:pPr>
            <w:r>
              <w:t>21.58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807001晋州市消防救援大队本级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晋州市消防救援大队本级2026年单位预算信息公开情况说明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按照《中华人民共和国预算法》、《地方预决算公开操作规程》和《关于进一步推进预算公开工作的实施意见》规定，现将晋州市消防救援大队本级2026年单位预算公开如下：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1、承担城乡综合性消防救援工作，负责指挥调度相关灾害事故救援行动，承担重要会议、大型活动消防安全保卫工作。</w:t>
      </w:r>
    </w:p>
    <w:p>
      <w:pPr>
        <w:pStyle w:val="17"/>
      </w:pPr>
      <w:r>
        <w:t>2、承担火灾预防、消防监督执法以及火灾事故调查处理相关工作，依法行使消防安全综合监管职能，推动落实消防安全责任制。</w:t>
      </w:r>
    </w:p>
    <w:p>
      <w:pPr>
        <w:pStyle w:val="17"/>
      </w:pPr>
      <w:r>
        <w:t>3、参与拟订消防专项规划，参与起草地方性消防法规、规章草案并监督实施。</w:t>
      </w:r>
    </w:p>
    <w:p>
      <w:pPr>
        <w:pStyle w:val="17"/>
      </w:pPr>
      <w:r>
        <w:t>4、负责消防救援队伍综合性消防救援预案编制、战术研究和执勤备战、训练演练等工作。</w:t>
      </w:r>
    </w:p>
    <w:p>
      <w:pPr>
        <w:pStyle w:val="17"/>
      </w:pPr>
      <w:r>
        <w:t>5、负责消防救援信息化和应急通信建设，承担综合性消防救援行动应急通信保障工作。</w:t>
      </w:r>
    </w:p>
    <w:p>
      <w:pPr>
        <w:pStyle w:val="17"/>
      </w:pPr>
      <w:r>
        <w:t>6、负责消防安全宣传教育，组织指导社会消防力量建设。</w:t>
      </w:r>
    </w:p>
    <w:p>
      <w:pPr>
        <w:pStyle w:val="17"/>
      </w:pPr>
      <w:r>
        <w:t>7、负责消防应急救援专业队伍规划、建设与调度指挥，参与组织协调动员各类社会救援力量参加救援任务。</w:t>
      </w:r>
    </w:p>
    <w:p>
      <w:pPr>
        <w:pStyle w:val="17"/>
      </w:pPr>
      <w:r>
        <w:t>8、负责消防救援队伍建设与管理。</w:t>
      </w:r>
    </w:p>
    <w:p>
      <w:pPr>
        <w:pStyle w:val="17"/>
      </w:pPr>
      <w:r>
        <w:t>9、完成上级消防救援部门和所在市党委政府交办的相关任务。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晋州市消防救援大队本级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1741.23万元，其中：一般公共预算收入1741.23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消防救援大队本级年度单位预算中支出预算的总体情况。2026年支出预算1741.23万元，其中基本支出1422.23万元，包括人员经费1357.33万元和日常公用经费64.90万元；项目支出319.00万元，主要为办案费50万元，租赁消防车租金26.8万元，伙食补助费161.62万元，省级提前下达资金80.85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1741.23万元，较2025年预算减少24.50万元，其中：基本支出增加0.00万元，主要为省直达资金减少。项目支出减少24.50万元，主要为省级提前下达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2026年，我单位机关运行经费共计安排64.90万元，主要用于日常维修、办公用房水电费、办公用房取暖费、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13018326P00032810505T</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用于消防派出所办公室、消防安全宣传、培训、96119举报投诉、烟感报警器设备经费等消防业务经费支出。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1.保障消防救援各项任务的顺利开展。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项目完成情况</w:t>
            </w:r>
          </w:p>
        </w:tc>
        <w:tc>
          <w:tcPr>
            <w:tcW w:w="2268" w:type="dxa"/>
            <w:vAlign w:val="center"/>
          </w:tcPr>
          <w:p>
            <w:pPr>
              <w:pStyle w:val="12"/>
            </w:pPr>
            <w:r>
              <w:t>≥95%</w:t>
            </w:r>
          </w:p>
        </w:tc>
        <w:tc>
          <w:tcPr>
            <w:tcW w:w="1276" w:type="dxa"/>
            <w:vAlign w:val="center"/>
          </w:tcPr>
          <w:p>
            <w:pPr>
              <w:pStyle w:val="12"/>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各项工作落实到位率</w:t>
            </w:r>
          </w:p>
        </w:tc>
        <w:tc>
          <w:tcPr>
            <w:tcW w:w="5386" w:type="dxa"/>
            <w:vAlign w:val="center"/>
          </w:tcPr>
          <w:p>
            <w:pPr>
              <w:pStyle w:val="12"/>
            </w:pPr>
            <w:r>
              <w:t>各项工作落实到位率</w:t>
            </w:r>
          </w:p>
        </w:tc>
        <w:tc>
          <w:tcPr>
            <w:tcW w:w="2268" w:type="dxa"/>
            <w:vAlign w:val="center"/>
          </w:tcPr>
          <w:p>
            <w:pPr>
              <w:pStyle w:val="12"/>
            </w:pPr>
            <w:r>
              <w:t>≥95%</w:t>
            </w:r>
          </w:p>
        </w:tc>
        <w:tc>
          <w:tcPr>
            <w:tcW w:w="1276" w:type="dxa"/>
            <w:vAlign w:val="center"/>
          </w:tcPr>
          <w:p>
            <w:pPr>
              <w:pStyle w:val="12"/>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及时率</w:t>
            </w:r>
          </w:p>
        </w:tc>
        <w:tc>
          <w:tcPr>
            <w:tcW w:w="2268" w:type="dxa"/>
            <w:vAlign w:val="center"/>
          </w:tcPr>
          <w:p>
            <w:pPr>
              <w:pStyle w:val="12"/>
            </w:pPr>
            <w:r>
              <w:t>≥95%</w:t>
            </w:r>
          </w:p>
        </w:tc>
        <w:tc>
          <w:tcPr>
            <w:tcW w:w="1276" w:type="dxa"/>
            <w:vAlign w:val="center"/>
          </w:tcPr>
          <w:p>
            <w:pPr>
              <w:pStyle w:val="12"/>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50万元</w:t>
            </w:r>
          </w:p>
        </w:tc>
        <w:tc>
          <w:tcPr>
            <w:tcW w:w="1276" w:type="dxa"/>
            <w:vAlign w:val="center"/>
          </w:tcPr>
          <w:p>
            <w:pPr>
              <w:pStyle w:val="12"/>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保障能力提升情况</w:t>
            </w:r>
          </w:p>
        </w:tc>
        <w:tc>
          <w:tcPr>
            <w:tcW w:w="5386" w:type="dxa"/>
            <w:vAlign w:val="center"/>
          </w:tcPr>
          <w:p>
            <w:pPr>
              <w:pStyle w:val="12"/>
            </w:pPr>
            <w:r>
              <w:t>保障能力提升情况</w:t>
            </w:r>
          </w:p>
        </w:tc>
        <w:tc>
          <w:tcPr>
            <w:tcW w:w="2268" w:type="dxa"/>
            <w:vAlign w:val="center"/>
          </w:tcPr>
          <w:p>
            <w:pPr>
              <w:pStyle w:val="12"/>
            </w:pPr>
            <w:r>
              <w:t>≥95%</w:t>
            </w:r>
          </w:p>
        </w:tc>
        <w:tc>
          <w:tcPr>
            <w:tcW w:w="1276" w:type="dxa"/>
            <w:vAlign w:val="center"/>
          </w:tcPr>
          <w:p>
            <w:pPr>
              <w:pStyle w:val="12"/>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2、扶贫车消防租金绩效目标表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13018326P000328105047</w:t>
            </w:r>
          </w:p>
        </w:tc>
        <w:tc>
          <w:tcPr>
            <w:tcW w:w="2835" w:type="dxa"/>
            <w:vAlign w:val="center"/>
          </w:tcPr>
          <w:p>
            <w:pPr>
              <w:pStyle w:val="10"/>
            </w:pPr>
            <w:r>
              <w:t>项目名称</w:t>
            </w:r>
          </w:p>
        </w:tc>
        <w:tc>
          <w:tcPr>
            <w:tcW w:w="6095" w:type="dxa"/>
            <w:gridSpan w:val="3"/>
            <w:vAlign w:val="center"/>
          </w:tcPr>
          <w:p>
            <w:pPr>
              <w:pStyle w:val="12"/>
            </w:pPr>
            <w:r>
              <w:t>扶贫车消防租金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26.80</w:t>
            </w:r>
          </w:p>
        </w:tc>
        <w:tc>
          <w:tcPr>
            <w:tcW w:w="2835" w:type="dxa"/>
            <w:vAlign w:val="center"/>
          </w:tcPr>
          <w:p>
            <w:pPr>
              <w:pStyle w:val="10"/>
            </w:pPr>
            <w:r>
              <w:t>其中：财政    资金</w:t>
            </w:r>
          </w:p>
        </w:tc>
        <w:tc>
          <w:tcPr>
            <w:tcW w:w="2551" w:type="dxa"/>
            <w:vAlign w:val="center"/>
          </w:tcPr>
          <w:p>
            <w:pPr>
              <w:pStyle w:val="12"/>
            </w:pPr>
            <w:r>
              <w:t>26.80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用于扶贫消防车的租赁。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1.保障消防灭火救援业务有序正常开展。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综合业务工作完成率</w:t>
            </w:r>
          </w:p>
        </w:tc>
        <w:tc>
          <w:tcPr>
            <w:tcW w:w="5386" w:type="dxa"/>
            <w:vAlign w:val="center"/>
          </w:tcPr>
          <w:p>
            <w:pPr>
              <w:pStyle w:val="12"/>
            </w:pPr>
            <w:r>
              <w:t>综合业务工作完成率</w:t>
            </w:r>
          </w:p>
        </w:tc>
        <w:tc>
          <w:tcPr>
            <w:tcW w:w="2268" w:type="dxa"/>
            <w:vAlign w:val="center"/>
          </w:tcPr>
          <w:p>
            <w:pPr>
              <w:pStyle w:val="12"/>
            </w:pPr>
            <w:r>
              <w:t>≥95%</w:t>
            </w:r>
          </w:p>
        </w:tc>
        <w:tc>
          <w:tcPr>
            <w:tcW w:w="1276" w:type="dxa"/>
            <w:vAlign w:val="center"/>
          </w:tcPr>
          <w:p>
            <w:pPr>
              <w:pStyle w:val="12"/>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应急保障率</w:t>
            </w:r>
          </w:p>
        </w:tc>
        <w:tc>
          <w:tcPr>
            <w:tcW w:w="5386" w:type="dxa"/>
            <w:vAlign w:val="center"/>
          </w:tcPr>
          <w:p>
            <w:pPr>
              <w:pStyle w:val="12"/>
            </w:pPr>
            <w:r>
              <w:t>应急保障率</w:t>
            </w:r>
          </w:p>
        </w:tc>
        <w:tc>
          <w:tcPr>
            <w:tcW w:w="2268" w:type="dxa"/>
            <w:vAlign w:val="center"/>
          </w:tcPr>
          <w:p>
            <w:pPr>
              <w:pStyle w:val="12"/>
            </w:pPr>
            <w:r>
              <w:t>≥95%</w:t>
            </w:r>
          </w:p>
        </w:tc>
        <w:tc>
          <w:tcPr>
            <w:tcW w:w="1276" w:type="dxa"/>
            <w:vAlign w:val="center"/>
          </w:tcPr>
          <w:p>
            <w:pPr>
              <w:pStyle w:val="12"/>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5386" w:type="dxa"/>
            <w:vAlign w:val="center"/>
          </w:tcPr>
          <w:p>
            <w:pPr>
              <w:pStyle w:val="12"/>
            </w:pPr>
            <w:r>
              <w:t>经费控制数</w:t>
            </w:r>
          </w:p>
        </w:tc>
        <w:tc>
          <w:tcPr>
            <w:tcW w:w="2268" w:type="dxa"/>
            <w:vAlign w:val="center"/>
          </w:tcPr>
          <w:p>
            <w:pPr>
              <w:pStyle w:val="12"/>
            </w:pPr>
            <w:r>
              <w:t>26.8万元</w:t>
            </w:r>
          </w:p>
        </w:tc>
        <w:tc>
          <w:tcPr>
            <w:tcW w:w="1276" w:type="dxa"/>
            <w:vAlign w:val="center"/>
          </w:tcPr>
          <w:p>
            <w:pPr>
              <w:pStyle w:val="12"/>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≥95%</w:t>
            </w:r>
          </w:p>
        </w:tc>
        <w:tc>
          <w:tcPr>
            <w:tcW w:w="1276" w:type="dxa"/>
            <w:vAlign w:val="center"/>
          </w:tcPr>
          <w:p>
            <w:pPr>
              <w:pStyle w:val="12"/>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3、伙食费绩效目标表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13018326P00032810506E</w:t>
            </w:r>
          </w:p>
        </w:tc>
        <w:tc>
          <w:tcPr>
            <w:tcW w:w="2835" w:type="dxa"/>
            <w:vAlign w:val="center"/>
          </w:tcPr>
          <w:p>
            <w:pPr>
              <w:pStyle w:val="10"/>
            </w:pPr>
            <w:r>
              <w:t>项目名称</w:t>
            </w:r>
          </w:p>
        </w:tc>
        <w:tc>
          <w:tcPr>
            <w:tcW w:w="6095" w:type="dxa"/>
            <w:gridSpan w:val="3"/>
            <w:vAlign w:val="center"/>
          </w:tcPr>
          <w:p>
            <w:pPr>
              <w:pStyle w:val="12"/>
            </w:pPr>
            <w:r>
              <w:t>伙食费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161.62</w:t>
            </w:r>
          </w:p>
        </w:tc>
        <w:tc>
          <w:tcPr>
            <w:tcW w:w="2835" w:type="dxa"/>
            <w:vAlign w:val="center"/>
          </w:tcPr>
          <w:p>
            <w:pPr>
              <w:pStyle w:val="10"/>
            </w:pPr>
            <w:r>
              <w:t>其中：财政    资金</w:t>
            </w:r>
          </w:p>
        </w:tc>
        <w:tc>
          <w:tcPr>
            <w:tcW w:w="2551" w:type="dxa"/>
            <w:vAlign w:val="center"/>
          </w:tcPr>
          <w:p>
            <w:pPr>
              <w:pStyle w:val="12"/>
            </w:pPr>
            <w:r>
              <w:t>161.62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用于消防救援队伍人员伙食费支出。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1.按照文件规定及时足额保障消防救援队伍人员伙食标准。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保障对象情况</w:t>
            </w:r>
          </w:p>
        </w:tc>
        <w:tc>
          <w:tcPr>
            <w:tcW w:w="5386" w:type="dxa"/>
            <w:vAlign w:val="center"/>
          </w:tcPr>
          <w:p>
            <w:pPr>
              <w:pStyle w:val="12"/>
            </w:pPr>
            <w:r>
              <w:t>保障对象情况</w:t>
            </w:r>
          </w:p>
        </w:tc>
        <w:tc>
          <w:tcPr>
            <w:tcW w:w="2268" w:type="dxa"/>
            <w:vAlign w:val="center"/>
          </w:tcPr>
          <w:p>
            <w:pPr>
              <w:pStyle w:val="12"/>
            </w:pPr>
            <w:r>
              <w:t>108人</w:t>
            </w:r>
          </w:p>
        </w:tc>
        <w:tc>
          <w:tcPr>
            <w:tcW w:w="1276" w:type="dxa"/>
            <w:vAlign w:val="center"/>
          </w:tcPr>
          <w:p>
            <w:pPr>
              <w:pStyle w:val="12"/>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食品质量达标率</w:t>
            </w:r>
          </w:p>
        </w:tc>
        <w:tc>
          <w:tcPr>
            <w:tcW w:w="5386" w:type="dxa"/>
            <w:vAlign w:val="center"/>
          </w:tcPr>
          <w:p>
            <w:pPr>
              <w:pStyle w:val="12"/>
            </w:pPr>
            <w:r>
              <w:t>食品质量达标率</w:t>
            </w:r>
          </w:p>
        </w:tc>
        <w:tc>
          <w:tcPr>
            <w:tcW w:w="2268" w:type="dxa"/>
            <w:vAlign w:val="center"/>
          </w:tcPr>
          <w:p>
            <w:pPr>
              <w:pStyle w:val="12"/>
            </w:pPr>
            <w:r>
              <w:t>≥95%</w:t>
            </w:r>
          </w:p>
        </w:tc>
        <w:tc>
          <w:tcPr>
            <w:tcW w:w="1276" w:type="dxa"/>
            <w:vAlign w:val="center"/>
          </w:tcPr>
          <w:p>
            <w:pPr>
              <w:pStyle w:val="12"/>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161.62万元</w:t>
            </w:r>
          </w:p>
        </w:tc>
        <w:tc>
          <w:tcPr>
            <w:tcW w:w="1276" w:type="dxa"/>
            <w:vAlign w:val="center"/>
          </w:tcPr>
          <w:p>
            <w:pPr>
              <w:pStyle w:val="12"/>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比去年显著提高</w:t>
            </w:r>
          </w:p>
        </w:tc>
        <w:tc>
          <w:tcPr>
            <w:tcW w:w="1276" w:type="dxa"/>
            <w:vAlign w:val="center"/>
          </w:tcPr>
          <w:p>
            <w:pPr>
              <w:pStyle w:val="12"/>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4、冀财建[2025]198号省级提前下达2026年消防救援队伍改革性补贴等支出</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13018326P00032710015J</w:t>
            </w:r>
          </w:p>
        </w:tc>
        <w:tc>
          <w:tcPr>
            <w:tcW w:w="2835" w:type="dxa"/>
            <w:vAlign w:val="center"/>
          </w:tcPr>
          <w:p>
            <w:pPr>
              <w:pStyle w:val="10"/>
            </w:pPr>
            <w:r>
              <w:t>项目名称</w:t>
            </w:r>
          </w:p>
        </w:tc>
        <w:tc>
          <w:tcPr>
            <w:tcW w:w="6095" w:type="dxa"/>
            <w:gridSpan w:val="3"/>
            <w:vAlign w:val="center"/>
          </w:tcPr>
          <w:p>
            <w:pPr>
              <w:pStyle w:val="12"/>
            </w:pPr>
            <w:r>
              <w:t>冀财建[2025]198号省级提前下达2026年消防救援队伍改革性补贴等支出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80.58</w:t>
            </w:r>
          </w:p>
        </w:tc>
        <w:tc>
          <w:tcPr>
            <w:tcW w:w="2835" w:type="dxa"/>
            <w:vAlign w:val="center"/>
          </w:tcPr>
          <w:p>
            <w:pPr>
              <w:pStyle w:val="10"/>
            </w:pPr>
            <w:r>
              <w:t>其中：财政    资金</w:t>
            </w:r>
          </w:p>
        </w:tc>
        <w:tc>
          <w:tcPr>
            <w:tcW w:w="2551" w:type="dxa"/>
            <w:vAlign w:val="center"/>
          </w:tcPr>
          <w:p>
            <w:pPr>
              <w:pStyle w:val="12"/>
            </w:pPr>
            <w:r>
              <w:t>80.58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主要用于发放消防救援队伍人员改革性补贴。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1.按文件要求，及时足额拨付消防救援队伍人员改革性补贴等支出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目标人群覆盖率</w:t>
            </w:r>
          </w:p>
        </w:tc>
        <w:tc>
          <w:tcPr>
            <w:tcW w:w="5386" w:type="dxa"/>
            <w:vAlign w:val="center"/>
          </w:tcPr>
          <w:p>
            <w:pPr>
              <w:pStyle w:val="12"/>
            </w:pPr>
            <w:r>
              <w:t>目标人群覆盖率</w:t>
            </w:r>
          </w:p>
        </w:tc>
        <w:tc>
          <w:tcPr>
            <w:tcW w:w="2268" w:type="dxa"/>
            <w:vAlign w:val="center"/>
          </w:tcPr>
          <w:p>
            <w:pPr>
              <w:pStyle w:val="12"/>
            </w:pPr>
            <w:r>
              <w:t>≥95%</w:t>
            </w:r>
          </w:p>
        </w:tc>
        <w:tc>
          <w:tcPr>
            <w:tcW w:w="1276" w:type="dxa"/>
            <w:vAlign w:val="center"/>
          </w:tcPr>
          <w:p>
            <w:pPr>
              <w:pStyle w:val="12"/>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≥95%</w:t>
            </w:r>
          </w:p>
        </w:tc>
        <w:tc>
          <w:tcPr>
            <w:tcW w:w="1276" w:type="dxa"/>
            <w:vAlign w:val="center"/>
          </w:tcPr>
          <w:p>
            <w:pPr>
              <w:pStyle w:val="12"/>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完成工作需要资金</w:t>
            </w:r>
          </w:p>
        </w:tc>
        <w:tc>
          <w:tcPr>
            <w:tcW w:w="5386" w:type="dxa"/>
            <w:vAlign w:val="center"/>
          </w:tcPr>
          <w:p>
            <w:pPr>
              <w:pStyle w:val="12"/>
            </w:pPr>
            <w:r>
              <w:t>完成工作需要资金</w:t>
            </w:r>
          </w:p>
        </w:tc>
        <w:tc>
          <w:tcPr>
            <w:tcW w:w="2268" w:type="dxa"/>
            <w:vAlign w:val="center"/>
          </w:tcPr>
          <w:p>
            <w:pPr>
              <w:pStyle w:val="12"/>
            </w:pPr>
            <w:r>
              <w:t>80.58万元</w:t>
            </w:r>
          </w:p>
        </w:tc>
        <w:tc>
          <w:tcPr>
            <w:tcW w:w="1276" w:type="dxa"/>
            <w:vAlign w:val="center"/>
          </w:tcPr>
          <w:p>
            <w:pPr>
              <w:pStyle w:val="12"/>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提升应急处置能力</w:t>
            </w:r>
          </w:p>
        </w:tc>
        <w:tc>
          <w:tcPr>
            <w:tcW w:w="5386" w:type="dxa"/>
            <w:vAlign w:val="center"/>
          </w:tcPr>
          <w:p>
            <w:pPr>
              <w:pStyle w:val="12"/>
            </w:pPr>
            <w:r>
              <w:t>提升应急处置能力</w:t>
            </w:r>
          </w:p>
        </w:tc>
        <w:tc>
          <w:tcPr>
            <w:tcW w:w="2268" w:type="dxa"/>
            <w:vAlign w:val="center"/>
          </w:tcPr>
          <w:p>
            <w:pPr>
              <w:pStyle w:val="12"/>
            </w:pPr>
            <w:r>
              <w:t>有效提升队伍的防灭火能力</w:t>
            </w:r>
          </w:p>
        </w:tc>
        <w:tc>
          <w:tcPr>
            <w:tcW w:w="1276" w:type="dxa"/>
            <w:vAlign w:val="center"/>
          </w:tcPr>
          <w:p>
            <w:pPr>
              <w:pStyle w:val="12"/>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807001晋州市消防救援大队本级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晋州市消防救援大队本级小计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64.90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64.90</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0.05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晋州市消防救援大队本级上年末固定资产金额为0.00万元（详见下表）。本年度拟购置固定资产总额为0.00万元，已按要求列入政府采购预算，详见政府采购预算表。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807001晋州市消防救援大队本级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93F238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2026-03-02T15:19:00Z</dcterms:created>
  <dc:creator>Administrator</dc:creator>
  <cp:lastModifiedBy>Administrator</cp:lastModifiedBy>
  <dcterms:modified xsi:type="dcterms:W3CDTF">2026-03-04T02:10:35Z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