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一、河北晋州经济开发区管理委员会本级收支预算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一、河北晋州经济开发区管理委员会本级收支预算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1439.62</w:t>
            </w:r>
          </w:p>
        </w:tc>
        <w:tc>
          <w:tcPr>
            <w:tcW w:w="4535" w:type="dxa"/>
            <w:vAlign w:val="center"/>
          </w:tcPr>
          <w:p>
            <w:pPr>
              <w:pStyle w:val="12"/>
            </w:pPr>
            <w:r>
              <w:t>一、一般公共服务支出</w:t>
            </w:r>
          </w:p>
        </w:tc>
        <w:tc>
          <w:tcPr>
            <w:tcW w:w="2126" w:type="dxa"/>
            <w:vAlign w:val="center"/>
          </w:tcPr>
          <w:p>
            <w:pPr>
              <w:pStyle w:val="11"/>
            </w:pPr>
            <w:r>
              <w:t>1289.62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1439.62</w:t>
            </w:r>
          </w:p>
        </w:tc>
        <w:tc>
          <w:tcPr>
            <w:tcW w:w="4535" w:type="dxa"/>
            <w:vAlign w:val="center"/>
          </w:tcPr>
          <w:p>
            <w:pPr>
              <w:pStyle w:val="14"/>
            </w:pPr>
            <w:r>
              <w:t>本年支出合计</w:t>
            </w:r>
          </w:p>
        </w:tc>
        <w:tc>
          <w:tcPr>
            <w:tcW w:w="2126" w:type="dxa"/>
            <w:vAlign w:val="center"/>
          </w:tcPr>
          <w:p>
            <w:pPr>
              <w:pStyle w:val="15"/>
            </w:pPr>
            <w:r>
              <w:t>1520.57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80.95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1520.57</w:t>
            </w:r>
          </w:p>
        </w:tc>
        <w:tc>
          <w:tcPr>
            <w:tcW w:w="4535" w:type="dxa"/>
            <w:vAlign w:val="center"/>
          </w:tcPr>
          <w:p>
            <w:pPr>
              <w:pStyle w:val="14"/>
            </w:pPr>
            <w:r>
              <w:t>支出总计</w:t>
            </w:r>
          </w:p>
        </w:tc>
        <w:tc>
          <w:tcPr>
            <w:tcW w:w="2126" w:type="dxa"/>
            <w:vAlign w:val="center"/>
          </w:tcPr>
          <w:p>
            <w:pPr>
              <w:pStyle w:val="15"/>
            </w:pPr>
            <w:r>
              <w:t>1520.57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1520.57</w:t>
            </w:r>
          </w:p>
        </w:tc>
        <w:tc>
          <w:tcPr>
            <w:tcW w:w="1134" w:type="dxa"/>
            <w:vAlign w:val="center"/>
          </w:tcPr>
          <w:p>
            <w:pPr>
              <w:pStyle w:val="15"/>
            </w:pPr>
            <w:r>
              <w:t>1439.62</w:t>
            </w:r>
          </w:p>
        </w:tc>
        <w:tc>
          <w:tcPr>
            <w:tcW w:w="1134" w:type="dxa"/>
            <w:vAlign w:val="center"/>
          </w:tcPr>
          <w:p>
            <w:pPr>
              <w:pStyle w:val="15"/>
            </w:pPr>
            <w:r>
              <w:t>1439.62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1289.62</w:t>
            </w:r>
          </w:p>
        </w:tc>
        <w:tc>
          <w:tcPr>
            <w:tcW w:w="1134" w:type="dxa"/>
            <w:vAlign w:val="center"/>
          </w:tcPr>
          <w:p>
            <w:pPr>
              <w:pStyle w:val="11"/>
            </w:pPr>
            <w:r>
              <w:t>1289.62</w:t>
            </w:r>
          </w:p>
        </w:tc>
        <w:tc>
          <w:tcPr>
            <w:tcW w:w="1134" w:type="dxa"/>
            <w:vAlign w:val="center"/>
          </w:tcPr>
          <w:p>
            <w:pPr>
              <w:pStyle w:val="11"/>
            </w:pPr>
            <w:r>
              <w:t>1289.62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1289.62</w:t>
            </w:r>
          </w:p>
        </w:tc>
        <w:tc>
          <w:tcPr>
            <w:tcW w:w="1134" w:type="dxa"/>
            <w:vAlign w:val="center"/>
          </w:tcPr>
          <w:p>
            <w:pPr>
              <w:pStyle w:val="11"/>
            </w:pPr>
            <w:r>
              <w:t>1289.62</w:t>
            </w:r>
          </w:p>
        </w:tc>
        <w:tc>
          <w:tcPr>
            <w:tcW w:w="1134" w:type="dxa"/>
            <w:vAlign w:val="center"/>
          </w:tcPr>
          <w:p>
            <w:pPr>
              <w:pStyle w:val="11"/>
            </w:pPr>
            <w:r>
              <w:t>1289.62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1054.66</w:t>
            </w:r>
          </w:p>
        </w:tc>
        <w:tc>
          <w:tcPr>
            <w:tcW w:w="1134" w:type="dxa"/>
            <w:vAlign w:val="center"/>
          </w:tcPr>
          <w:p>
            <w:pPr>
              <w:pStyle w:val="11"/>
            </w:pPr>
            <w:r>
              <w:t>1054.66</w:t>
            </w:r>
          </w:p>
        </w:tc>
        <w:tc>
          <w:tcPr>
            <w:tcW w:w="1134" w:type="dxa"/>
            <w:vAlign w:val="center"/>
          </w:tcPr>
          <w:p>
            <w:pPr>
              <w:pStyle w:val="11"/>
            </w:pPr>
            <w:r>
              <w:t>1054.66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234.96</w:t>
            </w:r>
          </w:p>
        </w:tc>
        <w:tc>
          <w:tcPr>
            <w:tcW w:w="1134" w:type="dxa"/>
            <w:vAlign w:val="center"/>
          </w:tcPr>
          <w:p>
            <w:pPr>
              <w:pStyle w:val="11"/>
            </w:pPr>
            <w:r>
              <w:t>234.96</w:t>
            </w:r>
          </w:p>
        </w:tc>
        <w:tc>
          <w:tcPr>
            <w:tcW w:w="1134" w:type="dxa"/>
            <w:vAlign w:val="center"/>
          </w:tcPr>
          <w:p>
            <w:pPr>
              <w:pStyle w:val="11"/>
            </w:pPr>
            <w:r>
              <w:t>234.96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2150899</w:t>
            </w:r>
          </w:p>
        </w:tc>
        <w:tc>
          <w:tcPr>
            <w:tcW w:w="1559" w:type="dxa"/>
            <w:vAlign w:val="center"/>
          </w:tcPr>
          <w:p>
            <w:pPr>
              <w:pStyle w:val="12"/>
            </w:pPr>
            <w:r>
              <w:t>其他支持中小企业发展和管理支出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80.95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80.95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80.95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80.95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1520.57</w:t>
            </w:r>
          </w:p>
        </w:tc>
        <w:tc>
          <w:tcPr>
            <w:tcW w:w="1361" w:type="dxa"/>
            <w:vAlign w:val="center"/>
          </w:tcPr>
          <w:p>
            <w:pPr>
              <w:pStyle w:val="15"/>
            </w:pPr>
            <w:r>
              <w:t>1054.66</w:t>
            </w:r>
          </w:p>
        </w:tc>
        <w:tc>
          <w:tcPr>
            <w:tcW w:w="1361" w:type="dxa"/>
            <w:vAlign w:val="center"/>
          </w:tcPr>
          <w:p>
            <w:pPr>
              <w:pStyle w:val="15"/>
            </w:pPr>
            <w:r>
              <w:t>465.91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1289.62</w:t>
            </w:r>
          </w:p>
        </w:tc>
        <w:tc>
          <w:tcPr>
            <w:tcW w:w="1361" w:type="dxa"/>
            <w:vAlign w:val="center"/>
          </w:tcPr>
          <w:p>
            <w:pPr>
              <w:pStyle w:val="11"/>
            </w:pPr>
            <w:r>
              <w:t>1054.66</w:t>
            </w:r>
          </w:p>
        </w:tc>
        <w:tc>
          <w:tcPr>
            <w:tcW w:w="1361" w:type="dxa"/>
            <w:vAlign w:val="center"/>
          </w:tcPr>
          <w:p>
            <w:pPr>
              <w:pStyle w:val="11"/>
            </w:pPr>
            <w:r>
              <w:t>234.96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1289.62</w:t>
            </w:r>
          </w:p>
        </w:tc>
        <w:tc>
          <w:tcPr>
            <w:tcW w:w="1361" w:type="dxa"/>
            <w:vAlign w:val="center"/>
          </w:tcPr>
          <w:p>
            <w:pPr>
              <w:pStyle w:val="11"/>
            </w:pPr>
            <w:r>
              <w:t>1054.66</w:t>
            </w:r>
          </w:p>
        </w:tc>
        <w:tc>
          <w:tcPr>
            <w:tcW w:w="1361" w:type="dxa"/>
            <w:vAlign w:val="center"/>
          </w:tcPr>
          <w:p>
            <w:pPr>
              <w:pStyle w:val="11"/>
            </w:pPr>
            <w:r>
              <w:t>234.96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1054.66</w:t>
            </w:r>
          </w:p>
        </w:tc>
        <w:tc>
          <w:tcPr>
            <w:tcW w:w="1361" w:type="dxa"/>
            <w:vAlign w:val="center"/>
          </w:tcPr>
          <w:p>
            <w:pPr>
              <w:pStyle w:val="11"/>
            </w:pPr>
            <w:r>
              <w:t>1054.66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234.96</w:t>
            </w:r>
          </w:p>
        </w:tc>
        <w:tc>
          <w:tcPr>
            <w:tcW w:w="1361" w:type="dxa"/>
            <w:vAlign w:val="center"/>
          </w:tcPr>
          <w:p>
            <w:pPr>
              <w:pStyle w:val="11"/>
            </w:pPr>
          </w:p>
        </w:tc>
        <w:tc>
          <w:tcPr>
            <w:tcW w:w="1361" w:type="dxa"/>
            <w:vAlign w:val="center"/>
          </w:tcPr>
          <w:p>
            <w:pPr>
              <w:pStyle w:val="11"/>
            </w:pPr>
            <w:r>
              <w:t>234.96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2150899</w:t>
            </w:r>
          </w:p>
        </w:tc>
        <w:tc>
          <w:tcPr>
            <w:tcW w:w="4535" w:type="dxa"/>
            <w:vAlign w:val="center"/>
          </w:tcPr>
          <w:p>
            <w:pPr>
              <w:pStyle w:val="12"/>
            </w:pPr>
            <w:r>
              <w:t>其他支持中小企业发展和管理支出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80.95</w:t>
            </w:r>
          </w:p>
        </w:tc>
        <w:tc>
          <w:tcPr>
            <w:tcW w:w="1361" w:type="dxa"/>
            <w:vAlign w:val="center"/>
          </w:tcPr>
          <w:p>
            <w:pPr>
              <w:pStyle w:val="11"/>
            </w:pPr>
          </w:p>
        </w:tc>
        <w:tc>
          <w:tcPr>
            <w:tcW w:w="1361" w:type="dxa"/>
            <w:vAlign w:val="center"/>
          </w:tcPr>
          <w:p>
            <w:pPr>
              <w:pStyle w:val="11"/>
            </w:pPr>
            <w:r>
              <w:t>80.95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80.95</w:t>
            </w:r>
          </w:p>
        </w:tc>
        <w:tc>
          <w:tcPr>
            <w:tcW w:w="1361" w:type="dxa"/>
            <w:vAlign w:val="center"/>
          </w:tcPr>
          <w:p>
            <w:pPr>
              <w:pStyle w:val="11"/>
            </w:pPr>
          </w:p>
        </w:tc>
        <w:tc>
          <w:tcPr>
            <w:tcW w:w="1361" w:type="dxa"/>
            <w:vAlign w:val="center"/>
          </w:tcPr>
          <w:p>
            <w:pPr>
              <w:pStyle w:val="11"/>
            </w:pPr>
            <w:r>
              <w:t>80.95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80.95</w:t>
            </w:r>
          </w:p>
        </w:tc>
        <w:tc>
          <w:tcPr>
            <w:tcW w:w="1361" w:type="dxa"/>
            <w:vAlign w:val="center"/>
          </w:tcPr>
          <w:p>
            <w:pPr>
              <w:pStyle w:val="11"/>
            </w:pPr>
          </w:p>
        </w:tc>
        <w:tc>
          <w:tcPr>
            <w:tcW w:w="1361" w:type="dxa"/>
            <w:vAlign w:val="center"/>
          </w:tcPr>
          <w:p>
            <w:pPr>
              <w:pStyle w:val="11"/>
            </w:pPr>
            <w:r>
              <w:t>80.95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1439.62</w:t>
            </w:r>
          </w:p>
        </w:tc>
        <w:tc>
          <w:tcPr>
            <w:tcW w:w="3402" w:type="dxa"/>
            <w:vAlign w:val="center"/>
          </w:tcPr>
          <w:p>
            <w:pPr>
              <w:pStyle w:val="12"/>
            </w:pPr>
            <w:r>
              <w:t>一、一般公共服务支出</w:t>
            </w:r>
          </w:p>
        </w:tc>
        <w:tc>
          <w:tcPr>
            <w:tcW w:w="1474" w:type="dxa"/>
            <w:vAlign w:val="center"/>
          </w:tcPr>
          <w:p>
            <w:pPr>
              <w:pStyle w:val="11"/>
            </w:pPr>
            <w:r>
              <w:t>1289.62</w:t>
            </w:r>
          </w:p>
        </w:tc>
        <w:tc>
          <w:tcPr>
            <w:tcW w:w="1474" w:type="dxa"/>
            <w:vAlign w:val="center"/>
          </w:tcPr>
          <w:p>
            <w:pPr>
              <w:pStyle w:val="11"/>
            </w:pPr>
            <w:r>
              <w:t>1289.62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150.00</w:t>
            </w:r>
          </w:p>
        </w:tc>
        <w:tc>
          <w:tcPr>
            <w:tcW w:w="1474" w:type="dxa"/>
            <w:vAlign w:val="center"/>
          </w:tcPr>
          <w:p>
            <w:pPr>
              <w:pStyle w:val="11"/>
            </w:pPr>
            <w:r>
              <w:t>150.00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80.95</w:t>
            </w:r>
          </w:p>
        </w:tc>
        <w:tc>
          <w:tcPr>
            <w:tcW w:w="1474" w:type="dxa"/>
            <w:vAlign w:val="center"/>
          </w:tcPr>
          <w:p>
            <w:pPr>
              <w:pStyle w:val="11"/>
            </w:pPr>
          </w:p>
        </w:tc>
        <w:tc>
          <w:tcPr>
            <w:tcW w:w="1474" w:type="dxa"/>
            <w:vAlign w:val="center"/>
          </w:tcPr>
          <w:p>
            <w:pPr>
              <w:pStyle w:val="11"/>
            </w:pPr>
            <w:r>
              <w:t>80.95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1439.62</w:t>
            </w:r>
          </w:p>
        </w:tc>
        <w:tc>
          <w:tcPr>
            <w:tcW w:w="3402" w:type="dxa"/>
            <w:vAlign w:val="center"/>
          </w:tcPr>
          <w:p>
            <w:pPr>
              <w:pStyle w:val="14"/>
            </w:pPr>
            <w:r>
              <w:t>本年支出合计</w:t>
            </w:r>
          </w:p>
        </w:tc>
        <w:tc>
          <w:tcPr>
            <w:tcW w:w="1474" w:type="dxa"/>
            <w:vAlign w:val="center"/>
          </w:tcPr>
          <w:p>
            <w:pPr>
              <w:pStyle w:val="15"/>
            </w:pPr>
            <w:r>
              <w:t>1520.57</w:t>
            </w:r>
          </w:p>
        </w:tc>
        <w:tc>
          <w:tcPr>
            <w:tcW w:w="1474" w:type="dxa"/>
            <w:vAlign w:val="center"/>
          </w:tcPr>
          <w:p>
            <w:pPr>
              <w:pStyle w:val="15"/>
            </w:pPr>
            <w:r>
              <w:t>1439.62</w:t>
            </w:r>
          </w:p>
        </w:tc>
        <w:tc>
          <w:tcPr>
            <w:tcW w:w="1474" w:type="dxa"/>
            <w:vAlign w:val="center"/>
          </w:tcPr>
          <w:p>
            <w:pPr>
              <w:pStyle w:val="15"/>
            </w:pPr>
            <w:r>
              <w:t>80.95</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80.95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80.95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1520.57</w:t>
            </w:r>
          </w:p>
        </w:tc>
        <w:tc>
          <w:tcPr>
            <w:tcW w:w="3402" w:type="dxa"/>
            <w:vAlign w:val="center"/>
          </w:tcPr>
          <w:p>
            <w:pPr>
              <w:pStyle w:val="14"/>
            </w:pPr>
            <w:r>
              <w:t>支出总计</w:t>
            </w:r>
          </w:p>
        </w:tc>
        <w:tc>
          <w:tcPr>
            <w:tcW w:w="1474" w:type="dxa"/>
            <w:vAlign w:val="center"/>
          </w:tcPr>
          <w:p>
            <w:pPr>
              <w:pStyle w:val="15"/>
            </w:pPr>
            <w:r>
              <w:t>1520.57</w:t>
            </w:r>
          </w:p>
        </w:tc>
        <w:tc>
          <w:tcPr>
            <w:tcW w:w="1474" w:type="dxa"/>
            <w:vAlign w:val="center"/>
          </w:tcPr>
          <w:p>
            <w:pPr>
              <w:pStyle w:val="15"/>
            </w:pPr>
            <w:r>
              <w:t>1439.62</w:t>
            </w:r>
          </w:p>
        </w:tc>
        <w:tc>
          <w:tcPr>
            <w:tcW w:w="1474" w:type="dxa"/>
            <w:vAlign w:val="center"/>
          </w:tcPr>
          <w:p>
            <w:pPr>
              <w:pStyle w:val="15"/>
            </w:pPr>
            <w:r>
              <w:t>80.95</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1439.62</w:t>
            </w:r>
          </w:p>
        </w:tc>
        <w:tc>
          <w:tcPr>
            <w:tcW w:w="2551" w:type="dxa"/>
            <w:vAlign w:val="center"/>
          </w:tcPr>
          <w:p>
            <w:pPr>
              <w:pStyle w:val="15"/>
            </w:pPr>
            <w:r>
              <w:t>1054.66</w:t>
            </w:r>
          </w:p>
        </w:tc>
        <w:tc>
          <w:tcPr>
            <w:tcW w:w="2551" w:type="dxa"/>
            <w:vAlign w:val="center"/>
          </w:tcPr>
          <w:p>
            <w:pPr>
              <w:pStyle w:val="15"/>
            </w:pPr>
            <w:r>
              <w:t>384.96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1289.62</w:t>
            </w:r>
          </w:p>
        </w:tc>
        <w:tc>
          <w:tcPr>
            <w:tcW w:w="2551" w:type="dxa"/>
            <w:vAlign w:val="center"/>
          </w:tcPr>
          <w:p>
            <w:pPr>
              <w:pStyle w:val="11"/>
            </w:pPr>
            <w:r>
              <w:t>1054.66</w:t>
            </w:r>
          </w:p>
        </w:tc>
        <w:tc>
          <w:tcPr>
            <w:tcW w:w="2551" w:type="dxa"/>
            <w:vAlign w:val="center"/>
          </w:tcPr>
          <w:p>
            <w:pPr>
              <w:pStyle w:val="11"/>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1289.62</w:t>
            </w:r>
          </w:p>
        </w:tc>
        <w:tc>
          <w:tcPr>
            <w:tcW w:w="2551" w:type="dxa"/>
            <w:vAlign w:val="center"/>
          </w:tcPr>
          <w:p>
            <w:pPr>
              <w:pStyle w:val="11"/>
            </w:pPr>
            <w:r>
              <w:t>1054.66</w:t>
            </w:r>
          </w:p>
        </w:tc>
        <w:tc>
          <w:tcPr>
            <w:tcW w:w="2551" w:type="dxa"/>
            <w:vAlign w:val="center"/>
          </w:tcPr>
          <w:p>
            <w:pPr>
              <w:pStyle w:val="11"/>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1054.66</w:t>
            </w:r>
          </w:p>
        </w:tc>
        <w:tc>
          <w:tcPr>
            <w:tcW w:w="2551" w:type="dxa"/>
            <w:vAlign w:val="center"/>
          </w:tcPr>
          <w:p>
            <w:pPr>
              <w:pStyle w:val="11"/>
            </w:pPr>
            <w:r>
              <w:t>1054.66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234.96</w:t>
            </w:r>
          </w:p>
        </w:tc>
        <w:tc>
          <w:tcPr>
            <w:tcW w:w="2551" w:type="dxa"/>
            <w:vAlign w:val="center"/>
          </w:tcPr>
          <w:p>
            <w:pPr>
              <w:pStyle w:val="11"/>
            </w:pPr>
          </w:p>
        </w:tc>
        <w:tc>
          <w:tcPr>
            <w:tcW w:w="2551" w:type="dxa"/>
            <w:vAlign w:val="center"/>
          </w:tcPr>
          <w:p>
            <w:pPr>
              <w:pStyle w:val="11"/>
            </w:pPr>
            <w:r>
              <w:t>234.96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2150899</w:t>
            </w:r>
          </w:p>
        </w:tc>
        <w:tc>
          <w:tcPr>
            <w:tcW w:w="4535" w:type="dxa"/>
            <w:vAlign w:val="center"/>
          </w:tcPr>
          <w:p>
            <w:pPr>
              <w:pStyle w:val="12"/>
            </w:pPr>
            <w:r>
              <w:t>其他支持中小企业发展和管理支出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1054.66</w:t>
            </w:r>
          </w:p>
        </w:tc>
        <w:tc>
          <w:tcPr>
            <w:tcW w:w="2551" w:type="dxa"/>
            <w:vAlign w:val="center"/>
          </w:tcPr>
          <w:p>
            <w:pPr>
              <w:pStyle w:val="15"/>
            </w:pPr>
            <w:r>
              <w:t>924.65</w:t>
            </w:r>
          </w:p>
        </w:tc>
        <w:tc>
          <w:tcPr>
            <w:tcW w:w="2551" w:type="dxa"/>
            <w:vAlign w:val="center"/>
          </w:tcPr>
          <w:p>
            <w:pPr>
              <w:pStyle w:val="15"/>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919.65</w:t>
            </w:r>
          </w:p>
        </w:tc>
        <w:tc>
          <w:tcPr>
            <w:tcW w:w="2551" w:type="dxa"/>
            <w:vAlign w:val="center"/>
          </w:tcPr>
          <w:p>
            <w:pPr>
              <w:pStyle w:val="11"/>
            </w:pPr>
            <w:r>
              <w:t>919.65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232.33</w:t>
            </w:r>
          </w:p>
        </w:tc>
        <w:tc>
          <w:tcPr>
            <w:tcW w:w="2551" w:type="dxa"/>
            <w:vAlign w:val="center"/>
          </w:tcPr>
          <w:p>
            <w:pPr>
              <w:pStyle w:val="11"/>
            </w:pPr>
            <w:r>
              <w:t>232.33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79.51</w:t>
            </w:r>
          </w:p>
        </w:tc>
        <w:tc>
          <w:tcPr>
            <w:tcW w:w="2551" w:type="dxa"/>
            <w:vAlign w:val="center"/>
          </w:tcPr>
          <w:p>
            <w:pPr>
              <w:pStyle w:val="11"/>
            </w:pPr>
            <w:r>
              <w:t>79.51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46.14</w:t>
            </w:r>
          </w:p>
        </w:tc>
        <w:tc>
          <w:tcPr>
            <w:tcW w:w="2551" w:type="dxa"/>
            <w:vAlign w:val="center"/>
          </w:tcPr>
          <w:p>
            <w:pPr>
              <w:pStyle w:val="11"/>
            </w:pPr>
            <w:r>
              <w:t>46.14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380.43</w:t>
            </w:r>
          </w:p>
        </w:tc>
        <w:tc>
          <w:tcPr>
            <w:tcW w:w="2551" w:type="dxa"/>
            <w:vAlign w:val="center"/>
          </w:tcPr>
          <w:p>
            <w:pPr>
              <w:pStyle w:val="11"/>
            </w:pPr>
            <w:r>
              <w:t>380.43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65.76</w:t>
            </w:r>
          </w:p>
        </w:tc>
        <w:tc>
          <w:tcPr>
            <w:tcW w:w="2551" w:type="dxa"/>
            <w:vAlign w:val="center"/>
          </w:tcPr>
          <w:p>
            <w:pPr>
              <w:pStyle w:val="11"/>
            </w:pPr>
            <w:r>
              <w:t>65.76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28.08</w:t>
            </w:r>
          </w:p>
        </w:tc>
        <w:tc>
          <w:tcPr>
            <w:tcW w:w="2551" w:type="dxa"/>
            <w:vAlign w:val="center"/>
          </w:tcPr>
          <w:p>
            <w:pPr>
              <w:pStyle w:val="11"/>
            </w:pPr>
            <w:r>
              <w:t>28.08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14.27</w:t>
            </w:r>
          </w:p>
        </w:tc>
        <w:tc>
          <w:tcPr>
            <w:tcW w:w="2551" w:type="dxa"/>
            <w:vAlign w:val="center"/>
          </w:tcPr>
          <w:p>
            <w:pPr>
              <w:pStyle w:val="11"/>
            </w:pPr>
            <w:r>
              <w:t>14.27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3.74</w:t>
            </w:r>
          </w:p>
        </w:tc>
        <w:tc>
          <w:tcPr>
            <w:tcW w:w="2551" w:type="dxa"/>
            <w:vAlign w:val="center"/>
          </w:tcPr>
          <w:p>
            <w:pPr>
              <w:pStyle w:val="11"/>
            </w:pPr>
            <w:r>
              <w:t>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53.19</w:t>
            </w:r>
          </w:p>
        </w:tc>
        <w:tc>
          <w:tcPr>
            <w:tcW w:w="2551" w:type="dxa"/>
            <w:vAlign w:val="center"/>
          </w:tcPr>
          <w:p>
            <w:pPr>
              <w:pStyle w:val="11"/>
            </w:pPr>
            <w:r>
              <w:t>53.19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130.01</w:t>
            </w:r>
          </w:p>
        </w:tc>
        <w:tc>
          <w:tcPr>
            <w:tcW w:w="2551" w:type="dxa"/>
            <w:vAlign w:val="center"/>
          </w:tcPr>
          <w:p>
            <w:pPr>
              <w:pStyle w:val="11"/>
            </w:pPr>
          </w:p>
        </w:tc>
        <w:tc>
          <w:tcPr>
            <w:tcW w:w="2551" w:type="dxa"/>
            <w:vAlign w:val="center"/>
          </w:tcPr>
          <w:p>
            <w:pPr>
              <w:pStyle w:val="11"/>
            </w:pPr>
            <w:r>
              <w:t>130.01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29.85</w:t>
            </w:r>
          </w:p>
        </w:tc>
        <w:tc>
          <w:tcPr>
            <w:tcW w:w="2551" w:type="dxa"/>
            <w:vAlign w:val="center"/>
          </w:tcPr>
          <w:p>
            <w:pPr>
              <w:pStyle w:val="11"/>
            </w:pPr>
          </w:p>
        </w:tc>
        <w:tc>
          <w:tcPr>
            <w:tcW w:w="2551" w:type="dxa"/>
            <w:vAlign w:val="center"/>
          </w:tcPr>
          <w:p>
            <w:pPr>
              <w:pStyle w:val="11"/>
            </w:pPr>
            <w:r>
              <w:t>29.85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19.86</w:t>
            </w:r>
          </w:p>
        </w:tc>
        <w:tc>
          <w:tcPr>
            <w:tcW w:w="2551" w:type="dxa"/>
            <w:vAlign w:val="center"/>
          </w:tcPr>
          <w:p>
            <w:pPr>
              <w:pStyle w:val="11"/>
            </w:pPr>
          </w:p>
        </w:tc>
        <w:tc>
          <w:tcPr>
            <w:tcW w:w="2551" w:type="dxa"/>
            <w:vAlign w:val="center"/>
          </w:tcPr>
          <w:p>
            <w:pPr>
              <w:pStyle w:val="11"/>
            </w:pPr>
            <w:r>
              <w:t>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4.92</w:t>
            </w:r>
          </w:p>
        </w:tc>
        <w:tc>
          <w:tcPr>
            <w:tcW w:w="2551" w:type="dxa"/>
            <w:vAlign w:val="center"/>
          </w:tcPr>
          <w:p>
            <w:pPr>
              <w:pStyle w:val="11"/>
            </w:pPr>
          </w:p>
        </w:tc>
        <w:tc>
          <w:tcPr>
            <w:tcW w:w="2551" w:type="dxa"/>
            <w:vAlign w:val="center"/>
          </w:tcPr>
          <w:p>
            <w:pPr>
              <w:pStyle w:val="11"/>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4.36</w:t>
            </w:r>
          </w:p>
        </w:tc>
        <w:tc>
          <w:tcPr>
            <w:tcW w:w="2551" w:type="dxa"/>
            <w:vAlign w:val="center"/>
          </w:tcPr>
          <w:p>
            <w:pPr>
              <w:pStyle w:val="11"/>
            </w:pPr>
          </w:p>
        </w:tc>
        <w:tc>
          <w:tcPr>
            <w:tcW w:w="2551" w:type="dxa"/>
            <w:vAlign w:val="center"/>
          </w:tcPr>
          <w:p>
            <w:pPr>
              <w:pStyle w:val="11"/>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19.02</w:t>
            </w:r>
          </w:p>
        </w:tc>
        <w:tc>
          <w:tcPr>
            <w:tcW w:w="2551" w:type="dxa"/>
            <w:vAlign w:val="center"/>
          </w:tcPr>
          <w:p>
            <w:pPr>
              <w:pStyle w:val="11"/>
            </w:pPr>
          </w:p>
        </w:tc>
        <w:tc>
          <w:tcPr>
            <w:tcW w:w="2551" w:type="dxa"/>
            <w:vAlign w:val="center"/>
          </w:tcPr>
          <w:p>
            <w:pPr>
              <w:pStyle w:val="11"/>
            </w:pPr>
            <w:r>
              <w:t>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80.95</w:t>
            </w:r>
          </w:p>
        </w:tc>
        <w:tc>
          <w:tcPr>
            <w:tcW w:w="2551" w:type="dxa"/>
            <w:vAlign w:val="center"/>
          </w:tcPr>
          <w:p>
            <w:pPr>
              <w:pStyle w:val="15"/>
            </w:pPr>
          </w:p>
        </w:tc>
        <w:tc>
          <w:tcPr>
            <w:tcW w:w="2551" w:type="dxa"/>
            <w:vAlign w:val="center"/>
          </w:tcPr>
          <w:p>
            <w:pPr>
              <w:pStyle w:val="15"/>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80.95</w:t>
            </w:r>
          </w:p>
        </w:tc>
        <w:tc>
          <w:tcPr>
            <w:tcW w:w="2551" w:type="dxa"/>
            <w:vAlign w:val="center"/>
          </w:tcPr>
          <w:p>
            <w:pPr>
              <w:pStyle w:val="11"/>
            </w:pPr>
          </w:p>
        </w:tc>
        <w:tc>
          <w:tcPr>
            <w:tcW w:w="2551" w:type="dxa"/>
            <w:vAlign w:val="center"/>
          </w:tcPr>
          <w:p>
            <w:pPr>
              <w:pStyle w:val="11"/>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80.95</w:t>
            </w:r>
          </w:p>
        </w:tc>
        <w:tc>
          <w:tcPr>
            <w:tcW w:w="2551" w:type="dxa"/>
            <w:vAlign w:val="center"/>
          </w:tcPr>
          <w:p>
            <w:pPr>
              <w:pStyle w:val="11"/>
            </w:pPr>
          </w:p>
        </w:tc>
        <w:tc>
          <w:tcPr>
            <w:tcW w:w="2551" w:type="dxa"/>
            <w:vAlign w:val="center"/>
          </w:tcPr>
          <w:p>
            <w:pPr>
              <w:pStyle w:val="11"/>
            </w:pPr>
            <w:r>
              <w:t>80.95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80.95</w:t>
            </w:r>
          </w:p>
        </w:tc>
        <w:tc>
          <w:tcPr>
            <w:tcW w:w="2551" w:type="dxa"/>
            <w:vAlign w:val="center"/>
          </w:tcPr>
          <w:p>
            <w:pPr>
              <w:pStyle w:val="11"/>
            </w:pPr>
          </w:p>
        </w:tc>
        <w:tc>
          <w:tcPr>
            <w:tcW w:w="2551" w:type="dxa"/>
            <w:vAlign w:val="center"/>
          </w:tcPr>
          <w:p>
            <w:pPr>
              <w:pStyle w:val="11"/>
            </w:pPr>
            <w:r>
              <w:t>80.95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4.36</w:t>
            </w:r>
          </w:p>
        </w:tc>
        <w:tc>
          <w:tcPr>
            <w:tcW w:w="2381" w:type="dxa"/>
            <w:vAlign w:val="center"/>
          </w:tcPr>
          <w:p>
            <w:pPr>
              <w:pStyle w:val="15"/>
            </w:pPr>
            <w:r>
              <w:t>4.36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4.36</w:t>
            </w:r>
          </w:p>
        </w:tc>
        <w:tc>
          <w:tcPr>
            <w:tcW w:w="2381" w:type="dxa"/>
            <w:vAlign w:val="center"/>
          </w:tcPr>
          <w:p>
            <w:pPr>
              <w:pStyle w:val="11"/>
            </w:pPr>
            <w:r>
              <w:t>4.36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4.36</w:t>
            </w:r>
          </w:p>
        </w:tc>
        <w:tc>
          <w:tcPr>
            <w:tcW w:w="2381" w:type="dxa"/>
            <w:vAlign w:val="center"/>
          </w:tcPr>
          <w:p>
            <w:pPr>
              <w:pStyle w:val="11"/>
            </w:pPr>
            <w:r>
              <w:t>4.36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河北晋州经济开发区管理委员会本级2026年单位预算信息公开情况说明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按照《中华人民共和国预算法》、《地方预决算公开操作规程》和《关于进一步推进预算公开工作的实施意见》规定，现将河北晋州经济开发区管理委员会本级2026年单位预算公开如下：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1、编制辖区的总体性规划和经济、社会发展规划，经批准后组织实施；</w:t>
      </w:r>
    </w:p>
    <w:p>
      <w:pPr>
        <w:pStyle w:val="17"/>
      </w:pPr>
      <w:r>
        <w:t>2、编制辖区区域性城市发展规划、国土利用规划，经批准后组织实施；</w:t>
      </w:r>
    </w:p>
    <w:p>
      <w:pPr>
        <w:pStyle w:val="17"/>
      </w:pPr>
      <w:r>
        <w:t>3、审核或审批辖区固定资产投资项目；</w:t>
      </w:r>
    </w:p>
    <w:p>
      <w:pPr>
        <w:pStyle w:val="17"/>
      </w:pPr>
      <w:r>
        <w:t>4、负责辖区内基础设施、公用设施的建设与管理；</w:t>
      </w:r>
    </w:p>
    <w:p>
      <w:pPr>
        <w:pStyle w:val="17"/>
      </w:pPr>
      <w:r>
        <w:t>5、负责辖区财政管理，实施辖区内财政预算、决算、国有资产管理和财政监督工作；</w:t>
      </w:r>
    </w:p>
    <w:p>
      <w:pPr>
        <w:pStyle w:val="17"/>
      </w:pPr>
      <w:r>
        <w:t>6、负责招商引资、进出口贸易和国内外经济技术合作工作；</w:t>
      </w:r>
    </w:p>
    <w:p>
      <w:pPr>
        <w:pStyle w:val="17"/>
      </w:pPr>
      <w:r>
        <w:t>7、对区内上级有关部门派驻机构实施双重领导；</w:t>
      </w:r>
    </w:p>
    <w:p>
      <w:pPr>
        <w:pStyle w:val="17"/>
      </w:pPr>
      <w:r>
        <w:t>8、负责晋州市政府交办的其他事项。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河北晋州经济开发区管理委员会本级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1520.57万元，其中：一般公共预算收入1439.62万元，基金预算收入0.00万元，国有资本经营预算收入0.00万元，财政专户核拨收入0.00万元，单位资金收入0.00万元，上年结转结余80.95万元。</w:t>
      </w:r>
    </w:p>
    <w:p>
      <w:pPr>
        <w:pStyle w:val="18"/>
      </w:pPr>
      <w:r>
        <w:t>2、支出说明</w:t>
      </w:r>
    </w:p>
    <w:p>
      <w:pPr>
        <w:pStyle w:val="18"/>
      </w:pPr>
      <w:r>
        <w:t>收支预算总表支出栏、基本支出表、项目支出表按经济分类和支出功能分类科目编制，反映河北晋州经济开发区管理委员会本级年度单位预算中支出预算的总体情况。2026年支出预算1520.57万元，其中基本支出1054.66万元，包括人员经费924.65万元和日常公用经费130.01万元；项目支出465.91万元，主要为 招商经费、综合业务费、办公场所租金等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1520.57万元，较2025年预算减少842.44万元，其中：基本支出增加21.39万元，主要为人员增加及调整工资导致。项目支出减少863.83万元，主要为减少了东宿园基础设施建设项目和马于园基础设施建设项目。</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2026年，我单位机关运行经费共计安排130.01万元，主要用于日常维修、办公用房水电费、办公用房取暖费、办公用房物业管理费等日常运行支出。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4.36万元，其中因公出国（境）费0.00万元；公务用车购置及运维费4.36万元（其中：公务用车购置费为0.00万元，公务用车运维费4.36万元)；公务接待费0.00万元。与2025年相比减少2.64万元，增减变化的主要原因是进一步加强车辆管理，节约开支。</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13018326P000328103592</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1.按时限完成各项工作，为业务开展提供保障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造成负面影响的通报次数</w:t>
            </w:r>
          </w:p>
        </w:tc>
        <w:tc>
          <w:tcPr>
            <w:tcW w:w="5386" w:type="dxa"/>
            <w:vAlign w:val="center"/>
          </w:tcPr>
          <w:p>
            <w:pPr>
              <w:pStyle w:val="12"/>
            </w:pPr>
            <w:r>
              <w:t>造成负面影响的通报次数</w:t>
            </w:r>
          </w:p>
        </w:tc>
        <w:tc>
          <w:tcPr>
            <w:tcW w:w="2268" w:type="dxa"/>
            <w:vAlign w:val="center"/>
          </w:tcPr>
          <w:p>
            <w:pPr>
              <w:pStyle w:val="12"/>
            </w:pPr>
            <w:r>
              <w:t>&lt;1次</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保障单位业务正常开展</w:t>
            </w:r>
          </w:p>
        </w:tc>
        <w:tc>
          <w:tcPr>
            <w:tcW w:w="5386" w:type="dxa"/>
            <w:vAlign w:val="center"/>
          </w:tcPr>
          <w:p>
            <w:pPr>
              <w:pStyle w:val="12"/>
            </w:pPr>
            <w:r>
              <w:t>保障单位业务正常开展情况</w:t>
            </w:r>
          </w:p>
        </w:tc>
        <w:tc>
          <w:tcPr>
            <w:tcW w:w="2268" w:type="dxa"/>
            <w:vAlign w:val="center"/>
          </w:tcPr>
          <w:p>
            <w:pPr>
              <w:pStyle w:val="12"/>
            </w:pPr>
            <w:r>
              <w:t>能保障</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工作按时间计划完成率</w:t>
            </w:r>
          </w:p>
        </w:tc>
        <w:tc>
          <w:tcPr>
            <w:tcW w:w="5386" w:type="dxa"/>
            <w:vAlign w:val="center"/>
          </w:tcPr>
          <w:p>
            <w:pPr>
              <w:pStyle w:val="12"/>
            </w:pPr>
            <w:r>
              <w:t>工作按时间计划完成情况</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≤100万元</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增强</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2、办公场所租金绩效目标表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13018326P00032810360D</w:t>
            </w:r>
          </w:p>
        </w:tc>
        <w:tc>
          <w:tcPr>
            <w:tcW w:w="2835" w:type="dxa"/>
            <w:vAlign w:val="center"/>
          </w:tcPr>
          <w:p>
            <w:pPr>
              <w:pStyle w:val="10"/>
            </w:pPr>
            <w:r>
              <w:t>项目名称</w:t>
            </w:r>
          </w:p>
        </w:tc>
        <w:tc>
          <w:tcPr>
            <w:tcW w:w="6095" w:type="dxa"/>
            <w:gridSpan w:val="3"/>
            <w:vAlign w:val="center"/>
          </w:tcPr>
          <w:p>
            <w:pPr>
              <w:pStyle w:val="12"/>
            </w:pPr>
            <w:r>
              <w:t>办公场所租金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47.54</w:t>
            </w:r>
          </w:p>
        </w:tc>
        <w:tc>
          <w:tcPr>
            <w:tcW w:w="2835" w:type="dxa"/>
            <w:vAlign w:val="center"/>
          </w:tcPr>
          <w:p>
            <w:pPr>
              <w:pStyle w:val="10"/>
            </w:pPr>
            <w:r>
              <w:t>其中：财政    资金</w:t>
            </w:r>
          </w:p>
        </w:tc>
        <w:tc>
          <w:tcPr>
            <w:tcW w:w="2551" w:type="dxa"/>
            <w:vAlign w:val="center"/>
          </w:tcPr>
          <w:p>
            <w:pPr>
              <w:pStyle w:val="12"/>
            </w:pPr>
            <w:r>
              <w:t>47.54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该资金主要用于按期支付给华和轴承公司房屋租金，2月份支付30.56万元，4月份支付2.65万元，10月份支付剩余部分。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65%</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1.按期支付租金，为单位人员提供办公场地，保障相关工作开展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租赁场所的单价</w:t>
            </w:r>
          </w:p>
        </w:tc>
        <w:tc>
          <w:tcPr>
            <w:tcW w:w="5386" w:type="dxa"/>
            <w:vAlign w:val="center"/>
          </w:tcPr>
          <w:p>
            <w:pPr>
              <w:pStyle w:val="12"/>
            </w:pPr>
            <w:r>
              <w:t>租赁场所的单价</w:t>
            </w:r>
          </w:p>
        </w:tc>
        <w:tc>
          <w:tcPr>
            <w:tcW w:w="2268" w:type="dxa"/>
            <w:vAlign w:val="center"/>
          </w:tcPr>
          <w:p>
            <w:pPr>
              <w:pStyle w:val="12"/>
            </w:pPr>
            <w:r>
              <w:t>185元/平方米</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租金支付到位率</w:t>
            </w:r>
          </w:p>
        </w:tc>
        <w:tc>
          <w:tcPr>
            <w:tcW w:w="5386" w:type="dxa"/>
            <w:vAlign w:val="center"/>
          </w:tcPr>
          <w:p>
            <w:pPr>
              <w:pStyle w:val="12"/>
            </w:pPr>
            <w:r>
              <w:t>租金支付到位率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支付租金及时率</w:t>
            </w:r>
          </w:p>
        </w:tc>
        <w:tc>
          <w:tcPr>
            <w:tcW w:w="5386" w:type="dxa"/>
            <w:vAlign w:val="center"/>
          </w:tcPr>
          <w:p>
            <w:pPr>
              <w:pStyle w:val="12"/>
            </w:pPr>
            <w:r>
              <w:t>支付租金及时率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≤47.54万元</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3、晋州经济开发区（马于园区）基础设施改造提升项目绩效目标表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13018322D000000060135</w:t>
            </w:r>
          </w:p>
        </w:tc>
        <w:tc>
          <w:tcPr>
            <w:tcW w:w="2835" w:type="dxa"/>
            <w:vAlign w:val="center"/>
          </w:tcPr>
          <w:p>
            <w:pPr>
              <w:pStyle w:val="10"/>
            </w:pPr>
            <w:r>
              <w:t>项目名称</w:t>
            </w:r>
          </w:p>
        </w:tc>
        <w:tc>
          <w:tcPr>
            <w:tcW w:w="6095" w:type="dxa"/>
            <w:gridSpan w:val="3"/>
            <w:vAlign w:val="center"/>
          </w:tcPr>
          <w:p>
            <w:pPr>
              <w:pStyle w:val="12"/>
            </w:pPr>
            <w:r>
              <w:t>晋州经济开发区（马于园区）基础设施改造提升项目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w:t>
            </w:r>
          </w:p>
        </w:tc>
        <w:tc>
          <w:tcPr>
            <w:tcW w:w="2835" w:type="dxa"/>
            <w:vAlign w:val="center"/>
          </w:tcPr>
          <w:p>
            <w:pPr>
              <w:pStyle w:val="10"/>
            </w:pPr>
            <w:r>
              <w:t>其中：财政    资金</w:t>
            </w:r>
          </w:p>
        </w:tc>
        <w:tc>
          <w:tcPr>
            <w:tcW w:w="2551" w:type="dxa"/>
            <w:vAlign w:val="center"/>
          </w:tcPr>
          <w:p>
            <w:pPr>
              <w:pStyle w:val="12"/>
            </w:pPr>
            <w:r>
              <w:t>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该资金用于改造提升园区基础设施，进一步提升开发区承载力。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1.改造提升马于园区基础设施，进一步提升开发区承载力。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改造提升的园区数量</w:t>
            </w:r>
          </w:p>
        </w:tc>
        <w:tc>
          <w:tcPr>
            <w:tcW w:w="5386" w:type="dxa"/>
            <w:vAlign w:val="center"/>
          </w:tcPr>
          <w:p>
            <w:pPr>
              <w:pStyle w:val="12"/>
            </w:pPr>
            <w:r>
              <w:t>改造提升的园区数量</w:t>
            </w:r>
          </w:p>
        </w:tc>
        <w:tc>
          <w:tcPr>
            <w:tcW w:w="2268" w:type="dxa"/>
            <w:vAlign w:val="center"/>
          </w:tcPr>
          <w:p>
            <w:pPr>
              <w:pStyle w:val="12"/>
            </w:pPr>
            <w:r>
              <w:t>1个</w:t>
            </w:r>
          </w:p>
        </w:tc>
        <w:tc>
          <w:tcPr>
            <w:tcW w:w="1276" w:type="dxa"/>
            <w:vAlign w:val="center"/>
          </w:tcPr>
          <w:p>
            <w:pPr>
              <w:pStyle w:val="12"/>
            </w:pPr>
            <w:r>
              <w:t>《晋州市财政局关于下达2025年第一批新增政府债券资金的通知》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按计划竣工及时率</w:t>
            </w:r>
          </w:p>
        </w:tc>
        <w:tc>
          <w:tcPr>
            <w:tcW w:w="5386" w:type="dxa"/>
            <w:vAlign w:val="center"/>
          </w:tcPr>
          <w:p>
            <w:pPr>
              <w:pStyle w:val="12"/>
            </w:pPr>
            <w:r>
              <w:t>按计划竣工及时率</w:t>
            </w:r>
          </w:p>
        </w:tc>
        <w:tc>
          <w:tcPr>
            <w:tcW w:w="2268" w:type="dxa"/>
            <w:vAlign w:val="center"/>
          </w:tcPr>
          <w:p>
            <w:pPr>
              <w:pStyle w:val="12"/>
            </w:pPr>
            <w:r>
              <w:t>≥90%</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≤1300万元</w:t>
            </w:r>
          </w:p>
        </w:tc>
        <w:tc>
          <w:tcPr>
            <w:tcW w:w="1276" w:type="dxa"/>
            <w:vAlign w:val="center"/>
          </w:tcPr>
          <w:p>
            <w:pPr>
              <w:pStyle w:val="12"/>
            </w:pPr>
            <w:r>
              <w:t>《晋州市财政局关于下达2025年第一批新增政府债券资金的通知》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开发区承载力提升情况</w:t>
            </w:r>
          </w:p>
        </w:tc>
        <w:tc>
          <w:tcPr>
            <w:tcW w:w="5386" w:type="dxa"/>
            <w:vAlign w:val="center"/>
          </w:tcPr>
          <w:p>
            <w:pPr>
              <w:pStyle w:val="12"/>
            </w:pPr>
            <w:r>
              <w:t>开发区承载力提升情况</w:t>
            </w:r>
          </w:p>
        </w:tc>
        <w:tc>
          <w:tcPr>
            <w:tcW w:w="2268" w:type="dxa"/>
            <w:vAlign w:val="center"/>
          </w:tcPr>
          <w:p>
            <w:pPr>
              <w:pStyle w:val="12"/>
            </w:pPr>
            <w:r>
              <w:t>有提升</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4、晋州经济开发区马于园智慧园区项目绩效目标表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13018322D000000064928</w:t>
            </w:r>
          </w:p>
        </w:tc>
        <w:tc>
          <w:tcPr>
            <w:tcW w:w="2835" w:type="dxa"/>
            <w:vAlign w:val="center"/>
          </w:tcPr>
          <w:p>
            <w:pPr>
              <w:pStyle w:val="10"/>
            </w:pPr>
            <w:r>
              <w:t>项目名称</w:t>
            </w:r>
          </w:p>
        </w:tc>
        <w:tc>
          <w:tcPr>
            <w:tcW w:w="6095" w:type="dxa"/>
            <w:gridSpan w:val="3"/>
            <w:vAlign w:val="center"/>
          </w:tcPr>
          <w:p>
            <w:pPr>
              <w:pStyle w:val="12"/>
            </w:pPr>
            <w:r>
              <w:t>晋州经济开发区马于园智慧园区项目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50.91</w:t>
            </w:r>
          </w:p>
        </w:tc>
        <w:tc>
          <w:tcPr>
            <w:tcW w:w="2835" w:type="dxa"/>
            <w:vAlign w:val="center"/>
          </w:tcPr>
          <w:p>
            <w:pPr>
              <w:pStyle w:val="10"/>
            </w:pPr>
            <w:r>
              <w:t>其中：财政    资金</w:t>
            </w:r>
          </w:p>
        </w:tc>
        <w:tc>
          <w:tcPr>
            <w:tcW w:w="2551" w:type="dxa"/>
            <w:vAlign w:val="center"/>
          </w:tcPr>
          <w:p>
            <w:pPr>
              <w:pStyle w:val="12"/>
            </w:pPr>
            <w:r>
              <w:t>50.91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该资金主要用于按时间进度完成马于智慧园区建设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1.按时间进度完成智慧园区建设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科技型中小企业孵化器面积</w:t>
            </w:r>
          </w:p>
        </w:tc>
        <w:tc>
          <w:tcPr>
            <w:tcW w:w="5386" w:type="dxa"/>
            <w:vAlign w:val="center"/>
          </w:tcPr>
          <w:p>
            <w:pPr>
              <w:pStyle w:val="12"/>
            </w:pPr>
            <w:r>
              <w:t>科技型中小企业孵化器面积</w:t>
            </w:r>
          </w:p>
          <w:p>
            <w:pPr>
              <w:pStyle w:val="12"/>
            </w:pPr>
          </w:p>
        </w:tc>
        <w:tc>
          <w:tcPr>
            <w:tcW w:w="2268" w:type="dxa"/>
            <w:vAlign w:val="center"/>
          </w:tcPr>
          <w:p>
            <w:pPr>
              <w:pStyle w:val="12"/>
            </w:pPr>
            <w:r>
              <w:t>3920平方米</w:t>
            </w:r>
          </w:p>
        </w:tc>
        <w:tc>
          <w:tcPr>
            <w:tcW w:w="1276" w:type="dxa"/>
            <w:vAlign w:val="center"/>
          </w:tcPr>
          <w:p>
            <w:pPr>
              <w:pStyle w:val="12"/>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按计划进度工程完成及时率</w:t>
            </w:r>
          </w:p>
        </w:tc>
        <w:tc>
          <w:tcPr>
            <w:tcW w:w="5386" w:type="dxa"/>
            <w:vAlign w:val="center"/>
          </w:tcPr>
          <w:p>
            <w:pPr>
              <w:pStyle w:val="12"/>
            </w:pPr>
            <w:r>
              <w:t>按计划进度工程完成及时率</w:t>
            </w:r>
          </w:p>
        </w:tc>
        <w:tc>
          <w:tcPr>
            <w:tcW w:w="2268" w:type="dxa"/>
            <w:vAlign w:val="center"/>
          </w:tcPr>
          <w:p>
            <w:pPr>
              <w:pStyle w:val="12"/>
            </w:pPr>
            <w:r>
              <w:t>≥90%</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≤5000万元</w:t>
            </w:r>
          </w:p>
        </w:tc>
        <w:tc>
          <w:tcPr>
            <w:tcW w:w="1276" w:type="dxa"/>
            <w:vAlign w:val="center"/>
          </w:tcPr>
          <w:p>
            <w:pPr>
              <w:pStyle w:val="12"/>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开发区承载力提升情况</w:t>
            </w:r>
          </w:p>
        </w:tc>
        <w:tc>
          <w:tcPr>
            <w:tcW w:w="5386" w:type="dxa"/>
            <w:vAlign w:val="center"/>
          </w:tcPr>
          <w:p>
            <w:pPr>
              <w:pStyle w:val="12"/>
            </w:pPr>
            <w:r>
              <w:t>开发区承载力提升情况</w:t>
            </w:r>
          </w:p>
        </w:tc>
        <w:tc>
          <w:tcPr>
            <w:tcW w:w="2268" w:type="dxa"/>
            <w:vAlign w:val="center"/>
          </w:tcPr>
          <w:p>
            <w:pPr>
              <w:pStyle w:val="12"/>
            </w:pPr>
            <w:r>
              <w:t>有提升</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5、晋州经济开发区排水管网更新改造项目绩效目标表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13018324GYF3BU9YDH6AN</w:t>
            </w:r>
          </w:p>
        </w:tc>
        <w:tc>
          <w:tcPr>
            <w:tcW w:w="2835" w:type="dxa"/>
            <w:vAlign w:val="center"/>
          </w:tcPr>
          <w:p>
            <w:pPr>
              <w:pStyle w:val="10"/>
            </w:pPr>
            <w:r>
              <w:t>项目名称</w:t>
            </w:r>
          </w:p>
        </w:tc>
        <w:tc>
          <w:tcPr>
            <w:tcW w:w="6095" w:type="dxa"/>
            <w:gridSpan w:val="3"/>
            <w:vAlign w:val="center"/>
          </w:tcPr>
          <w:p>
            <w:pPr>
              <w:pStyle w:val="12"/>
            </w:pPr>
            <w:r>
              <w:t>晋州经济开发区排水管网更新改造项目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24.64</w:t>
            </w:r>
          </w:p>
        </w:tc>
        <w:tc>
          <w:tcPr>
            <w:tcW w:w="2835" w:type="dxa"/>
            <w:vAlign w:val="center"/>
          </w:tcPr>
          <w:p>
            <w:pPr>
              <w:pStyle w:val="10"/>
            </w:pPr>
            <w:r>
              <w:t>其中：财政    资金</w:t>
            </w:r>
          </w:p>
        </w:tc>
        <w:tc>
          <w:tcPr>
            <w:tcW w:w="2551" w:type="dxa"/>
            <w:vAlign w:val="center"/>
          </w:tcPr>
          <w:p>
            <w:pPr>
              <w:pStyle w:val="12"/>
            </w:pPr>
            <w:r>
              <w:t>24.64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该资金主要用于道路排水改造更新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1.按时间进度完成兴园街、纬六路、纬四路等道路的管网改造更新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改造更新管网涉及道路的数量</w:t>
            </w:r>
          </w:p>
        </w:tc>
        <w:tc>
          <w:tcPr>
            <w:tcW w:w="5386" w:type="dxa"/>
            <w:vAlign w:val="center"/>
          </w:tcPr>
          <w:p>
            <w:pPr>
              <w:pStyle w:val="12"/>
            </w:pPr>
            <w:r>
              <w:t>改造更新管网涉及道路的数量</w:t>
            </w:r>
          </w:p>
        </w:tc>
        <w:tc>
          <w:tcPr>
            <w:tcW w:w="2268" w:type="dxa"/>
            <w:vAlign w:val="center"/>
          </w:tcPr>
          <w:p>
            <w:pPr>
              <w:pStyle w:val="12"/>
            </w:pPr>
            <w:r>
              <w:t>4条</w:t>
            </w:r>
          </w:p>
        </w:tc>
        <w:tc>
          <w:tcPr>
            <w:tcW w:w="1276" w:type="dxa"/>
            <w:vAlign w:val="center"/>
          </w:tcPr>
          <w:p>
            <w:pPr>
              <w:pStyle w:val="12"/>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按时间进度完成率</w:t>
            </w:r>
          </w:p>
        </w:tc>
        <w:tc>
          <w:tcPr>
            <w:tcW w:w="5386" w:type="dxa"/>
            <w:vAlign w:val="center"/>
          </w:tcPr>
          <w:p>
            <w:pPr>
              <w:pStyle w:val="12"/>
            </w:pPr>
            <w:r>
              <w:t>按时间进度完成率</w:t>
            </w:r>
          </w:p>
        </w:tc>
        <w:tc>
          <w:tcPr>
            <w:tcW w:w="2268" w:type="dxa"/>
            <w:vAlign w:val="center"/>
          </w:tcPr>
          <w:p>
            <w:pPr>
              <w:pStyle w:val="12"/>
            </w:pPr>
            <w:r>
              <w:t>≥90%</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≤5000万元</w:t>
            </w:r>
          </w:p>
        </w:tc>
        <w:tc>
          <w:tcPr>
            <w:tcW w:w="1276" w:type="dxa"/>
            <w:vAlign w:val="center"/>
          </w:tcPr>
          <w:p>
            <w:pPr>
              <w:pStyle w:val="12"/>
            </w:pPr>
            <w:r>
              <w:t>《晋州市财政局关于下达2025年第七批新增政府债券资金的通知》（晋财监【2025】6号）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提升园区承载能力</w:t>
            </w:r>
          </w:p>
        </w:tc>
        <w:tc>
          <w:tcPr>
            <w:tcW w:w="5386" w:type="dxa"/>
            <w:vAlign w:val="center"/>
          </w:tcPr>
          <w:p>
            <w:pPr>
              <w:pStyle w:val="12"/>
            </w:pPr>
            <w:r>
              <w:t>提升园区承载能力</w:t>
            </w:r>
          </w:p>
        </w:tc>
        <w:tc>
          <w:tcPr>
            <w:tcW w:w="2268" w:type="dxa"/>
            <w:vAlign w:val="center"/>
          </w:tcPr>
          <w:p>
            <w:pPr>
              <w:pStyle w:val="12"/>
            </w:pPr>
            <w:r>
              <w:t>能提升</w:t>
            </w:r>
          </w:p>
        </w:tc>
        <w:tc>
          <w:tcPr>
            <w:tcW w:w="1276" w:type="dxa"/>
            <w:vAlign w:val="center"/>
          </w:tcPr>
          <w:p>
            <w:pPr>
              <w:pStyle w:val="12"/>
            </w:pPr>
            <w:r>
              <w:t>行业标准或计划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6、晋州市拖欠企业账款项目（经济开发区服务类）绩效目标表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13018325P000064114178</w:t>
            </w:r>
          </w:p>
        </w:tc>
        <w:tc>
          <w:tcPr>
            <w:tcW w:w="2835" w:type="dxa"/>
            <w:vAlign w:val="center"/>
          </w:tcPr>
          <w:p>
            <w:pPr>
              <w:pStyle w:val="10"/>
            </w:pPr>
            <w:r>
              <w:t>项目名称</w:t>
            </w:r>
          </w:p>
        </w:tc>
        <w:tc>
          <w:tcPr>
            <w:tcW w:w="6095" w:type="dxa"/>
            <w:gridSpan w:val="3"/>
            <w:vAlign w:val="center"/>
          </w:tcPr>
          <w:p>
            <w:pPr>
              <w:pStyle w:val="12"/>
            </w:pPr>
            <w:r>
              <w:t>晋州市拖欠企业账款项目（经济开发区服务类）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0.01</w:t>
            </w:r>
          </w:p>
        </w:tc>
        <w:tc>
          <w:tcPr>
            <w:tcW w:w="2835" w:type="dxa"/>
            <w:vAlign w:val="center"/>
          </w:tcPr>
          <w:p>
            <w:pPr>
              <w:pStyle w:val="10"/>
            </w:pPr>
            <w:r>
              <w:t>其中：财政    资金</w:t>
            </w:r>
          </w:p>
        </w:tc>
        <w:tc>
          <w:tcPr>
            <w:tcW w:w="2551" w:type="dxa"/>
            <w:vAlign w:val="center"/>
          </w:tcPr>
          <w:p>
            <w:pPr>
              <w:pStyle w:val="12"/>
            </w:pPr>
            <w:r>
              <w:t>0.01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该资金主要用于加快我单位清欠力度，及时拨付企业账款。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1.加快我单位清欠力度，及时拨付企业账款。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拖欠企业账款笔数</w:t>
            </w:r>
          </w:p>
        </w:tc>
        <w:tc>
          <w:tcPr>
            <w:tcW w:w="5386" w:type="dxa"/>
            <w:vAlign w:val="center"/>
          </w:tcPr>
          <w:p>
            <w:pPr>
              <w:pStyle w:val="12"/>
            </w:pPr>
            <w:r>
              <w:t>拖欠企业账款笔数</w:t>
            </w:r>
          </w:p>
        </w:tc>
        <w:tc>
          <w:tcPr>
            <w:tcW w:w="2268" w:type="dxa"/>
            <w:vAlign w:val="center"/>
          </w:tcPr>
          <w:p>
            <w:pPr>
              <w:pStyle w:val="12"/>
            </w:pPr>
            <w:r>
              <w:t>42个</w:t>
            </w:r>
          </w:p>
        </w:tc>
        <w:tc>
          <w:tcPr>
            <w:tcW w:w="1276" w:type="dxa"/>
            <w:vAlign w:val="center"/>
          </w:tcPr>
          <w:p>
            <w:pPr>
              <w:pStyle w:val="12"/>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账款到位时间</w:t>
            </w:r>
          </w:p>
        </w:tc>
        <w:tc>
          <w:tcPr>
            <w:tcW w:w="5386" w:type="dxa"/>
            <w:vAlign w:val="center"/>
          </w:tcPr>
          <w:p>
            <w:pPr>
              <w:pStyle w:val="12"/>
            </w:pPr>
            <w:r>
              <w:t>账款到位时间</w:t>
            </w:r>
          </w:p>
        </w:tc>
        <w:tc>
          <w:tcPr>
            <w:tcW w:w="2268" w:type="dxa"/>
            <w:vAlign w:val="center"/>
          </w:tcPr>
          <w:p>
            <w:pPr>
              <w:pStyle w:val="12"/>
            </w:pPr>
            <w:r>
              <w:t>2025年8月31日之前</w:t>
            </w:r>
          </w:p>
        </w:tc>
        <w:tc>
          <w:tcPr>
            <w:tcW w:w="1276" w:type="dxa"/>
            <w:vAlign w:val="center"/>
          </w:tcPr>
          <w:p>
            <w:pPr>
              <w:pStyle w:val="12"/>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本次下达企业账款数</w:t>
            </w:r>
          </w:p>
        </w:tc>
        <w:tc>
          <w:tcPr>
            <w:tcW w:w="5386" w:type="dxa"/>
            <w:vAlign w:val="center"/>
          </w:tcPr>
          <w:p>
            <w:pPr>
              <w:pStyle w:val="12"/>
            </w:pPr>
            <w:r>
              <w:t>本次下达企业账款数</w:t>
            </w:r>
          </w:p>
        </w:tc>
        <w:tc>
          <w:tcPr>
            <w:tcW w:w="2268" w:type="dxa"/>
            <w:vAlign w:val="center"/>
          </w:tcPr>
          <w:p>
            <w:pPr>
              <w:pStyle w:val="12"/>
            </w:pPr>
            <w:r>
              <w:t>4924679.4元</w:t>
            </w:r>
          </w:p>
        </w:tc>
        <w:tc>
          <w:tcPr>
            <w:tcW w:w="1276" w:type="dxa"/>
            <w:vAlign w:val="center"/>
          </w:tcPr>
          <w:p>
            <w:pPr>
              <w:pStyle w:val="12"/>
            </w:pPr>
            <w:r>
              <w:t>《晋州市清理拖欠企业账款专班关于申请拨付机关、全额事业单位50万元以下货物、服务类欠款资金的请示》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及时偿还拖欠账款，维护社会稳定</w:t>
            </w:r>
          </w:p>
        </w:tc>
        <w:tc>
          <w:tcPr>
            <w:tcW w:w="5386" w:type="dxa"/>
            <w:vAlign w:val="center"/>
          </w:tcPr>
          <w:p>
            <w:pPr>
              <w:pStyle w:val="12"/>
            </w:pPr>
            <w:r>
              <w:t>及时偿还拖欠账款，维护社会稳定</w:t>
            </w:r>
          </w:p>
        </w:tc>
        <w:tc>
          <w:tcPr>
            <w:tcW w:w="2268" w:type="dxa"/>
            <w:vAlign w:val="center"/>
          </w:tcPr>
          <w:p>
            <w:pPr>
              <w:pStyle w:val="12"/>
            </w:pPr>
            <w:r>
              <w:t>有效推动</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13018326P000328103611</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50.83</w:t>
            </w:r>
          </w:p>
        </w:tc>
        <w:tc>
          <w:tcPr>
            <w:tcW w:w="2835" w:type="dxa"/>
            <w:vAlign w:val="center"/>
          </w:tcPr>
          <w:p>
            <w:pPr>
              <w:pStyle w:val="10"/>
            </w:pPr>
            <w:r>
              <w:t>其中：财政    资金</w:t>
            </w:r>
          </w:p>
        </w:tc>
        <w:tc>
          <w:tcPr>
            <w:tcW w:w="2551" w:type="dxa"/>
            <w:vAlign w:val="center"/>
          </w:tcPr>
          <w:p>
            <w:pPr>
              <w:pStyle w:val="12"/>
            </w:pPr>
            <w:r>
              <w:t>50.83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该资金主要用于发放劳务派遣人员劳务费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承担原政府人防办、发展改革局、财政局、环保局、住房和城乡建设局、水务局、市场监督管理局、安全生产监督管理局等8部门的24项行政审批事项，帮助投资企业做好招商项目的立项、审批、证照办理及征地、供水、用电、代办工商税务登记手续等服务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项目涉及的人员数量</w:t>
            </w:r>
          </w:p>
        </w:tc>
        <w:tc>
          <w:tcPr>
            <w:tcW w:w="5386" w:type="dxa"/>
            <w:vAlign w:val="center"/>
          </w:tcPr>
          <w:p>
            <w:pPr>
              <w:pStyle w:val="12"/>
            </w:pPr>
            <w:r>
              <w:t>项目涉及的人员数量</w:t>
            </w:r>
          </w:p>
        </w:tc>
        <w:tc>
          <w:tcPr>
            <w:tcW w:w="2268" w:type="dxa"/>
            <w:vAlign w:val="center"/>
          </w:tcPr>
          <w:p>
            <w:pPr>
              <w:pStyle w:val="12"/>
            </w:pPr>
            <w:r>
              <w:t>11人</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业务保障率（%）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业务处理及时率（%）</w:t>
            </w:r>
          </w:p>
        </w:tc>
        <w:tc>
          <w:tcPr>
            <w:tcW w:w="5386" w:type="dxa"/>
            <w:vAlign w:val="center"/>
          </w:tcPr>
          <w:p>
            <w:pPr>
              <w:pStyle w:val="12"/>
            </w:pPr>
            <w:r>
              <w:t>业务处理及时率（%）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≤50.83万元</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业务保障能力提升</w:t>
            </w:r>
          </w:p>
        </w:tc>
        <w:tc>
          <w:tcPr>
            <w:tcW w:w="5386" w:type="dxa"/>
            <w:vAlign w:val="center"/>
          </w:tcPr>
          <w:p>
            <w:pPr>
              <w:pStyle w:val="12"/>
            </w:pPr>
            <w:r>
              <w:t>业务保障能力提升</w:t>
            </w:r>
          </w:p>
        </w:tc>
        <w:tc>
          <w:tcPr>
            <w:tcW w:w="2268" w:type="dxa"/>
            <w:vAlign w:val="center"/>
          </w:tcPr>
          <w:p>
            <w:pPr>
              <w:pStyle w:val="12"/>
            </w:pPr>
            <w:r>
              <w:t>能保障</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8、审批局审批业务经费绩效目标表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13018326P00032810364U</w:t>
            </w:r>
          </w:p>
        </w:tc>
        <w:tc>
          <w:tcPr>
            <w:tcW w:w="2835" w:type="dxa"/>
            <w:vAlign w:val="center"/>
          </w:tcPr>
          <w:p>
            <w:pPr>
              <w:pStyle w:val="10"/>
            </w:pPr>
            <w:r>
              <w:t>项目名称</w:t>
            </w:r>
          </w:p>
        </w:tc>
        <w:tc>
          <w:tcPr>
            <w:tcW w:w="6095" w:type="dxa"/>
            <w:gridSpan w:val="3"/>
            <w:vAlign w:val="center"/>
          </w:tcPr>
          <w:p>
            <w:pPr>
              <w:pStyle w:val="12"/>
            </w:pPr>
            <w:r>
              <w:t>审批局审批业务经费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2.34</w:t>
            </w:r>
          </w:p>
        </w:tc>
        <w:tc>
          <w:tcPr>
            <w:tcW w:w="2835" w:type="dxa"/>
            <w:vAlign w:val="center"/>
          </w:tcPr>
          <w:p>
            <w:pPr>
              <w:pStyle w:val="10"/>
            </w:pPr>
            <w:r>
              <w:t>其中：财政    资金</w:t>
            </w:r>
          </w:p>
        </w:tc>
        <w:tc>
          <w:tcPr>
            <w:tcW w:w="2551" w:type="dxa"/>
            <w:vAlign w:val="center"/>
          </w:tcPr>
          <w:p>
            <w:pPr>
              <w:pStyle w:val="12"/>
            </w:pPr>
            <w:r>
              <w:t>2.34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该资金主要用于支付排污环保专线通信服务费11760元，支付空白证照和档案卷宗等费用11640元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1.支付网络专线、证照档案费用，保障审批业务正常开展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环保业务审批专线条数</w:t>
            </w:r>
          </w:p>
        </w:tc>
        <w:tc>
          <w:tcPr>
            <w:tcW w:w="5386" w:type="dxa"/>
            <w:vAlign w:val="center"/>
          </w:tcPr>
          <w:p>
            <w:pPr>
              <w:pStyle w:val="12"/>
            </w:pPr>
            <w:r>
              <w:t>环保业务审批专线条数</w:t>
            </w:r>
          </w:p>
        </w:tc>
        <w:tc>
          <w:tcPr>
            <w:tcW w:w="2268" w:type="dxa"/>
            <w:vAlign w:val="center"/>
          </w:tcPr>
          <w:p>
            <w:pPr>
              <w:pStyle w:val="12"/>
            </w:pPr>
            <w:r>
              <w:t>1条</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审批业务完成率</w:t>
            </w:r>
          </w:p>
        </w:tc>
        <w:tc>
          <w:tcPr>
            <w:tcW w:w="5386" w:type="dxa"/>
            <w:vAlign w:val="center"/>
          </w:tcPr>
          <w:p>
            <w:pPr>
              <w:pStyle w:val="12"/>
            </w:pPr>
            <w:r>
              <w:t>审批业务完成率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按时间计划完成率</w:t>
            </w:r>
          </w:p>
        </w:tc>
        <w:tc>
          <w:tcPr>
            <w:tcW w:w="5386" w:type="dxa"/>
            <w:vAlign w:val="center"/>
          </w:tcPr>
          <w:p>
            <w:pPr>
              <w:pStyle w:val="12"/>
            </w:pPr>
            <w:r>
              <w:t>按时间计划完成率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≤2.34万元</w:t>
            </w:r>
          </w:p>
        </w:tc>
        <w:tc>
          <w:tcPr>
            <w:tcW w:w="1276" w:type="dxa"/>
            <w:vAlign w:val="center"/>
          </w:tcPr>
          <w:p>
            <w:pPr>
              <w:pStyle w:val="12"/>
            </w:pPr>
            <w:r>
              <w:t>往年预算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能保障</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9、招商经费绩效目标表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13018326P00032810368A</w:t>
            </w:r>
          </w:p>
        </w:tc>
        <w:tc>
          <w:tcPr>
            <w:tcW w:w="2835" w:type="dxa"/>
            <w:vAlign w:val="center"/>
          </w:tcPr>
          <w:p>
            <w:pPr>
              <w:pStyle w:val="10"/>
            </w:pPr>
            <w:r>
              <w:t>项目名称</w:t>
            </w:r>
          </w:p>
        </w:tc>
        <w:tc>
          <w:tcPr>
            <w:tcW w:w="6095" w:type="dxa"/>
            <w:gridSpan w:val="3"/>
            <w:vAlign w:val="center"/>
          </w:tcPr>
          <w:p>
            <w:pPr>
              <w:pStyle w:val="12"/>
            </w:pPr>
            <w:r>
              <w:t>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该资金主要用于提供企业对接、园区对接、外出洽谈推介以及其他招商引资的经费保障，包括外出招商差旅费、宣传材料制作、开展推介会等费用。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1.进一步宣传本市投资环境，吸引更多外来投资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新签约项目的数量</w:t>
            </w:r>
          </w:p>
        </w:tc>
        <w:tc>
          <w:tcPr>
            <w:tcW w:w="5386" w:type="dxa"/>
            <w:vAlign w:val="center"/>
          </w:tcPr>
          <w:p>
            <w:pPr>
              <w:pStyle w:val="12"/>
            </w:pPr>
            <w:r>
              <w:t>新签约项目的数量</w:t>
            </w:r>
          </w:p>
        </w:tc>
        <w:tc>
          <w:tcPr>
            <w:tcW w:w="2268" w:type="dxa"/>
            <w:vAlign w:val="center"/>
          </w:tcPr>
          <w:p>
            <w:pPr>
              <w:pStyle w:val="12"/>
            </w:pPr>
            <w:r>
              <w:t>≥15个</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企业投资额增长率</w:t>
            </w:r>
          </w:p>
        </w:tc>
        <w:tc>
          <w:tcPr>
            <w:tcW w:w="5386" w:type="dxa"/>
            <w:vAlign w:val="center"/>
          </w:tcPr>
          <w:p>
            <w:pPr>
              <w:pStyle w:val="12"/>
            </w:pPr>
            <w:r>
              <w:t>企业投资额增长率</w:t>
            </w:r>
          </w:p>
        </w:tc>
        <w:tc>
          <w:tcPr>
            <w:tcW w:w="2268" w:type="dxa"/>
            <w:vAlign w:val="center"/>
          </w:tcPr>
          <w:p>
            <w:pPr>
              <w:pStyle w:val="12"/>
            </w:pPr>
            <w:r>
              <w:t>≥3%</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按计划完成率</w:t>
            </w:r>
          </w:p>
        </w:tc>
        <w:tc>
          <w:tcPr>
            <w:tcW w:w="5386" w:type="dxa"/>
            <w:vAlign w:val="center"/>
          </w:tcPr>
          <w:p>
            <w:pPr>
              <w:pStyle w:val="12"/>
            </w:pPr>
            <w:r>
              <w:t>按计划完成率</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≤150万元</w:t>
            </w:r>
          </w:p>
        </w:tc>
        <w:tc>
          <w:tcPr>
            <w:tcW w:w="1276" w:type="dxa"/>
            <w:vAlign w:val="center"/>
          </w:tcPr>
          <w:p>
            <w:pPr>
              <w:pStyle w:val="12"/>
            </w:pPr>
            <w:r>
              <w:t>往年预算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保障招商引资工作顺利开展</w:t>
            </w:r>
          </w:p>
        </w:tc>
        <w:tc>
          <w:tcPr>
            <w:tcW w:w="5386" w:type="dxa"/>
            <w:vAlign w:val="center"/>
          </w:tcPr>
          <w:p>
            <w:pPr>
              <w:pStyle w:val="12"/>
            </w:pPr>
            <w:r>
              <w:t>保障招商引资工作顺利开展</w:t>
            </w:r>
          </w:p>
        </w:tc>
        <w:tc>
          <w:tcPr>
            <w:tcW w:w="2268" w:type="dxa"/>
            <w:vAlign w:val="center"/>
          </w:tcPr>
          <w:p>
            <w:pPr>
              <w:pStyle w:val="12"/>
            </w:pPr>
            <w:r>
              <w:t>能保障</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受益人群的满意度</w:t>
            </w:r>
          </w:p>
        </w:tc>
        <w:tc>
          <w:tcPr>
            <w:tcW w:w="5386" w:type="dxa"/>
            <w:vAlign w:val="center"/>
          </w:tcPr>
          <w:p>
            <w:pPr>
              <w:pStyle w:val="12"/>
            </w:pPr>
            <w:r>
              <w:t>受益人群的满意度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10、综合业务费绩效目标表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13018326P000328103709</w:t>
            </w:r>
          </w:p>
        </w:tc>
        <w:tc>
          <w:tcPr>
            <w:tcW w:w="2835" w:type="dxa"/>
            <w:vAlign w:val="center"/>
          </w:tcPr>
          <w:p>
            <w:pPr>
              <w:pStyle w:val="10"/>
            </w:pPr>
            <w:r>
              <w:t>项目名称</w:t>
            </w:r>
          </w:p>
        </w:tc>
        <w:tc>
          <w:tcPr>
            <w:tcW w:w="6095" w:type="dxa"/>
            <w:gridSpan w:val="3"/>
            <w:vAlign w:val="center"/>
          </w:tcPr>
          <w:p>
            <w:pPr>
              <w:pStyle w:val="12"/>
            </w:pPr>
            <w:r>
              <w:t>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34.25</w:t>
            </w:r>
          </w:p>
        </w:tc>
        <w:tc>
          <w:tcPr>
            <w:tcW w:w="2835" w:type="dxa"/>
            <w:vAlign w:val="center"/>
          </w:tcPr>
          <w:p>
            <w:pPr>
              <w:pStyle w:val="10"/>
            </w:pPr>
            <w:r>
              <w:t>其中：财政    资金</w:t>
            </w:r>
          </w:p>
        </w:tc>
        <w:tc>
          <w:tcPr>
            <w:tcW w:w="2551" w:type="dxa"/>
            <w:vAlign w:val="center"/>
          </w:tcPr>
          <w:p>
            <w:pPr>
              <w:pStyle w:val="12"/>
            </w:pPr>
            <w:r>
              <w:t>34.25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该资金主要用于补充经费不足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1.不发生越级上访事件，保障工作正常开展，维护社会稳定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发生超级上访事件数量</w:t>
            </w:r>
          </w:p>
        </w:tc>
        <w:tc>
          <w:tcPr>
            <w:tcW w:w="5386" w:type="dxa"/>
            <w:vAlign w:val="center"/>
          </w:tcPr>
          <w:p>
            <w:pPr>
              <w:pStyle w:val="12"/>
            </w:pPr>
            <w:r>
              <w:t>发生超级上访事件数量</w:t>
            </w:r>
          </w:p>
        </w:tc>
        <w:tc>
          <w:tcPr>
            <w:tcW w:w="2268" w:type="dxa"/>
            <w:vAlign w:val="center"/>
          </w:tcPr>
          <w:p>
            <w:pPr>
              <w:pStyle w:val="12"/>
            </w:pPr>
            <w:r>
              <w:t>&lt;1件</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保障工作正常开展</w:t>
            </w:r>
          </w:p>
        </w:tc>
        <w:tc>
          <w:tcPr>
            <w:tcW w:w="5386" w:type="dxa"/>
            <w:vAlign w:val="center"/>
          </w:tcPr>
          <w:p>
            <w:pPr>
              <w:pStyle w:val="12"/>
            </w:pPr>
            <w:r>
              <w:t>保障工作正常开展情况</w:t>
            </w:r>
          </w:p>
        </w:tc>
        <w:tc>
          <w:tcPr>
            <w:tcW w:w="2268" w:type="dxa"/>
            <w:vAlign w:val="center"/>
          </w:tcPr>
          <w:p>
            <w:pPr>
              <w:pStyle w:val="12"/>
            </w:pPr>
            <w:r>
              <w:t>能保障</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工作按时间计划完成率</w:t>
            </w:r>
          </w:p>
        </w:tc>
        <w:tc>
          <w:tcPr>
            <w:tcW w:w="5386" w:type="dxa"/>
            <w:vAlign w:val="center"/>
          </w:tcPr>
          <w:p>
            <w:pPr>
              <w:pStyle w:val="12"/>
            </w:pPr>
            <w:r>
              <w:t>工作按时间计划完成情况</w:t>
            </w:r>
          </w:p>
        </w:tc>
        <w:tc>
          <w:tcPr>
            <w:tcW w:w="2268" w:type="dxa"/>
            <w:vAlign w:val="center"/>
          </w:tcPr>
          <w:p>
            <w:pPr>
              <w:pStyle w:val="12"/>
            </w:pPr>
            <w:r>
              <w:t>≥90%</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≤34.25万元</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业务保障能力提升</w:t>
            </w:r>
          </w:p>
        </w:tc>
        <w:tc>
          <w:tcPr>
            <w:tcW w:w="5386" w:type="dxa"/>
            <w:vAlign w:val="center"/>
          </w:tcPr>
          <w:p>
            <w:pPr>
              <w:pStyle w:val="12"/>
            </w:pPr>
            <w:r>
              <w:t>业务保障能力提升</w:t>
            </w:r>
          </w:p>
        </w:tc>
        <w:tc>
          <w:tcPr>
            <w:tcW w:w="2268" w:type="dxa"/>
            <w:vAlign w:val="center"/>
          </w:tcPr>
          <w:p>
            <w:pPr>
              <w:pStyle w:val="12"/>
            </w:pPr>
            <w:r>
              <w:t>能保障</w:t>
            </w:r>
          </w:p>
        </w:tc>
        <w:tc>
          <w:tcPr>
            <w:tcW w:w="1276" w:type="dxa"/>
            <w:vAlign w:val="center"/>
          </w:tcPr>
          <w:p>
            <w:pPr>
              <w:pStyle w:val="12"/>
            </w:pPr>
            <w:r>
              <w:t>计划或标准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受益人群满意度（%）</w:t>
            </w:r>
          </w:p>
        </w:tc>
        <w:tc>
          <w:tcPr>
            <w:tcW w:w="5386" w:type="dxa"/>
            <w:vAlign w:val="center"/>
          </w:tcPr>
          <w:p>
            <w:pPr>
              <w:pStyle w:val="12"/>
            </w:pPr>
            <w:r>
              <w:t>受益人群满意度（%）</w:t>
            </w:r>
          </w:p>
        </w:tc>
        <w:tc>
          <w:tcPr>
            <w:tcW w:w="2268" w:type="dxa"/>
            <w:vAlign w:val="center"/>
          </w:tcPr>
          <w:p>
            <w:pPr>
              <w:pStyle w:val="12"/>
            </w:pPr>
            <w:r>
              <w:t>≥90%</w:t>
            </w:r>
          </w:p>
        </w:tc>
        <w:tc>
          <w:tcPr>
            <w:tcW w:w="1276" w:type="dxa"/>
            <w:vAlign w:val="center"/>
          </w:tcPr>
          <w:p>
            <w:pPr>
              <w:pStyle w:val="12"/>
            </w:pPr>
            <w:r>
              <w:t>根据调查情况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3.65</w:t>
            </w:r>
          </w:p>
        </w:tc>
        <w:tc>
          <w:tcPr>
            <w:tcW w:w="964" w:type="dxa"/>
            <w:vAlign w:val="center"/>
          </w:tcPr>
          <w:p>
            <w:pPr>
              <w:pStyle w:val="15"/>
            </w:pPr>
            <w:r>
              <w:t>3.65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河北晋州经济开发区管理委员会本级小计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3.65</w:t>
            </w:r>
          </w:p>
        </w:tc>
        <w:tc>
          <w:tcPr>
            <w:tcW w:w="964" w:type="dxa"/>
            <w:vAlign w:val="center"/>
          </w:tcPr>
          <w:p>
            <w:pPr>
              <w:pStyle w:val="15"/>
            </w:pPr>
            <w:r>
              <w:t>3.65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65.85</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65.85</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65.85</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65.85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1.70</w:t>
            </w:r>
          </w:p>
        </w:tc>
        <w:tc>
          <w:tcPr>
            <w:tcW w:w="964" w:type="dxa"/>
            <w:vAlign w:val="center"/>
          </w:tcPr>
          <w:p>
            <w:pPr>
              <w:pStyle w:val="11"/>
            </w:pPr>
            <w:r>
              <w:t>1.70</w:t>
            </w:r>
          </w:p>
        </w:tc>
        <w:tc>
          <w:tcPr>
            <w:tcW w:w="964" w:type="dxa"/>
            <w:vAlign w:val="center"/>
          </w:tcPr>
          <w:p>
            <w:pPr>
              <w:pStyle w:val="11"/>
            </w:pPr>
            <w:r>
              <w:t>1.70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河北晋州经济开发区管理委员会本级上年末固定资产金额为574.86万元（详见下表）。本年度拟购置固定资产总额为0.00万元，已按要求列入政府采购预算，详见政府采购预算表。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906001河北晋州经济开发区管理委员会本级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574.86</w:t>
            </w:r>
          </w:p>
        </w:tc>
      </w:tr>
      <w:tr>
        <w:tblPrEx>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36.71</w:t>
            </w:r>
          </w:p>
        </w:tc>
      </w:tr>
      <w:tr>
        <w:tblPrEx>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2210</w:t>
            </w:r>
          </w:p>
        </w:tc>
        <w:tc>
          <w:tcPr>
            <w:tcW w:w="2835" w:type="dxa"/>
            <w:vAlign w:val="center"/>
          </w:tcPr>
          <w:p>
            <w:pPr>
              <w:pStyle w:val="11"/>
            </w:pPr>
            <w:r>
              <w:t>538.15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8E91E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2026-03-02T15:35:00Z</dcterms:created>
  <dc:creator>Administrator</dc:creator>
  <cp:lastModifiedBy>Administrator</cp:lastModifiedBy>
  <dcterms:modified xsi:type="dcterms:W3CDTF">2026-03-04T02:16:22Z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