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一、晋州市槐树镇人民政府本级收支预算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一、晋州市槐树镇人民政府本级收支预算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1833.18</w:t>
            </w:r>
          </w:p>
        </w:tc>
        <w:tc>
          <w:tcPr>
            <w:tcW w:w="4535" w:type="dxa"/>
            <w:vAlign w:val="center"/>
          </w:tcPr>
          <w:p>
            <w:pPr>
              <w:pStyle w:val="12"/>
            </w:pPr>
            <w:r>
              <w:t>一、一般公共服务支出</w:t>
            </w:r>
          </w:p>
        </w:tc>
        <w:tc>
          <w:tcPr>
            <w:tcW w:w="2126" w:type="dxa"/>
            <w:vAlign w:val="center"/>
          </w:tcPr>
          <w:p>
            <w:pPr>
              <w:pStyle w:val="11"/>
            </w:pPr>
            <w:r>
              <w:t>1418.86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592.52</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2425.70</w:t>
            </w:r>
          </w:p>
        </w:tc>
        <w:tc>
          <w:tcPr>
            <w:tcW w:w="4535" w:type="dxa"/>
            <w:vAlign w:val="center"/>
          </w:tcPr>
          <w:p>
            <w:pPr>
              <w:pStyle w:val="14"/>
            </w:pPr>
            <w:r>
              <w:t>本年支出合计</w:t>
            </w:r>
          </w:p>
        </w:tc>
        <w:tc>
          <w:tcPr>
            <w:tcW w:w="2126" w:type="dxa"/>
            <w:vAlign w:val="center"/>
          </w:tcPr>
          <w:p>
            <w:pPr>
              <w:pStyle w:val="15"/>
            </w:pPr>
            <w:r>
              <w:t>2425.70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2425.70</w:t>
            </w:r>
          </w:p>
        </w:tc>
        <w:tc>
          <w:tcPr>
            <w:tcW w:w="4535" w:type="dxa"/>
            <w:vAlign w:val="center"/>
          </w:tcPr>
          <w:p>
            <w:pPr>
              <w:pStyle w:val="14"/>
            </w:pPr>
            <w:r>
              <w:t>支出总计</w:t>
            </w:r>
          </w:p>
        </w:tc>
        <w:tc>
          <w:tcPr>
            <w:tcW w:w="2126" w:type="dxa"/>
            <w:vAlign w:val="center"/>
          </w:tcPr>
          <w:p>
            <w:pPr>
              <w:pStyle w:val="15"/>
            </w:pPr>
            <w:r>
              <w:t>2425.70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2425.70</w:t>
            </w:r>
          </w:p>
        </w:tc>
        <w:tc>
          <w:tcPr>
            <w:tcW w:w="1134" w:type="dxa"/>
            <w:vAlign w:val="center"/>
          </w:tcPr>
          <w:p>
            <w:pPr>
              <w:pStyle w:val="15"/>
            </w:pPr>
            <w:r>
              <w:t>2425.70</w:t>
            </w:r>
          </w:p>
        </w:tc>
        <w:tc>
          <w:tcPr>
            <w:tcW w:w="1134" w:type="dxa"/>
            <w:vAlign w:val="center"/>
          </w:tcPr>
          <w:p>
            <w:pPr>
              <w:pStyle w:val="15"/>
            </w:pPr>
            <w:r>
              <w:t>2425.70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1418.86</w:t>
            </w:r>
          </w:p>
        </w:tc>
        <w:tc>
          <w:tcPr>
            <w:tcW w:w="1134" w:type="dxa"/>
            <w:vAlign w:val="center"/>
          </w:tcPr>
          <w:p>
            <w:pPr>
              <w:pStyle w:val="11"/>
            </w:pPr>
            <w:r>
              <w:t>1418.86</w:t>
            </w:r>
          </w:p>
        </w:tc>
        <w:tc>
          <w:tcPr>
            <w:tcW w:w="1134" w:type="dxa"/>
            <w:vAlign w:val="center"/>
          </w:tcPr>
          <w:p>
            <w:pPr>
              <w:pStyle w:val="11"/>
            </w:pPr>
            <w:r>
              <w:t>1418.86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1418.86</w:t>
            </w:r>
          </w:p>
        </w:tc>
        <w:tc>
          <w:tcPr>
            <w:tcW w:w="1134" w:type="dxa"/>
            <w:vAlign w:val="center"/>
          </w:tcPr>
          <w:p>
            <w:pPr>
              <w:pStyle w:val="11"/>
            </w:pPr>
            <w:r>
              <w:t>1418.86</w:t>
            </w:r>
          </w:p>
        </w:tc>
        <w:tc>
          <w:tcPr>
            <w:tcW w:w="1134" w:type="dxa"/>
            <w:vAlign w:val="center"/>
          </w:tcPr>
          <w:p>
            <w:pPr>
              <w:pStyle w:val="11"/>
            </w:pPr>
            <w:r>
              <w:t>1418.86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1232.02</w:t>
            </w:r>
          </w:p>
        </w:tc>
        <w:tc>
          <w:tcPr>
            <w:tcW w:w="1134" w:type="dxa"/>
            <w:vAlign w:val="center"/>
          </w:tcPr>
          <w:p>
            <w:pPr>
              <w:pStyle w:val="11"/>
            </w:pPr>
            <w:r>
              <w:t>1232.02</w:t>
            </w:r>
          </w:p>
        </w:tc>
        <w:tc>
          <w:tcPr>
            <w:tcW w:w="1134" w:type="dxa"/>
            <w:vAlign w:val="center"/>
          </w:tcPr>
          <w:p>
            <w:pPr>
              <w:pStyle w:val="11"/>
            </w:pPr>
            <w:r>
              <w:t>1232.02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186.84</w:t>
            </w:r>
          </w:p>
        </w:tc>
        <w:tc>
          <w:tcPr>
            <w:tcW w:w="1134" w:type="dxa"/>
            <w:vAlign w:val="center"/>
          </w:tcPr>
          <w:p>
            <w:pPr>
              <w:pStyle w:val="11"/>
            </w:pPr>
            <w:r>
              <w:t>186.84</w:t>
            </w:r>
          </w:p>
        </w:tc>
        <w:tc>
          <w:tcPr>
            <w:tcW w:w="1134" w:type="dxa"/>
            <w:vAlign w:val="center"/>
          </w:tcPr>
          <w:p>
            <w:pPr>
              <w:pStyle w:val="11"/>
            </w:pPr>
            <w:r>
              <w:t>186.84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592.52</w:t>
            </w:r>
          </w:p>
        </w:tc>
        <w:tc>
          <w:tcPr>
            <w:tcW w:w="1134" w:type="dxa"/>
            <w:vAlign w:val="center"/>
          </w:tcPr>
          <w:p>
            <w:pPr>
              <w:pStyle w:val="11"/>
            </w:pPr>
            <w:r>
              <w:t>592.52</w:t>
            </w:r>
          </w:p>
        </w:tc>
        <w:tc>
          <w:tcPr>
            <w:tcW w:w="1134" w:type="dxa"/>
            <w:vAlign w:val="center"/>
          </w:tcPr>
          <w:p>
            <w:pPr>
              <w:pStyle w:val="11"/>
            </w:pPr>
            <w:r>
              <w:t>592.52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592.52</w:t>
            </w:r>
          </w:p>
        </w:tc>
        <w:tc>
          <w:tcPr>
            <w:tcW w:w="1134" w:type="dxa"/>
            <w:vAlign w:val="center"/>
          </w:tcPr>
          <w:p>
            <w:pPr>
              <w:pStyle w:val="11"/>
            </w:pPr>
            <w:r>
              <w:t>592.52</w:t>
            </w:r>
          </w:p>
        </w:tc>
        <w:tc>
          <w:tcPr>
            <w:tcW w:w="1134" w:type="dxa"/>
            <w:vAlign w:val="center"/>
          </w:tcPr>
          <w:p>
            <w:pPr>
              <w:pStyle w:val="11"/>
            </w:pPr>
            <w:r>
              <w:t>592.52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592.52</w:t>
            </w:r>
          </w:p>
        </w:tc>
        <w:tc>
          <w:tcPr>
            <w:tcW w:w="1134" w:type="dxa"/>
            <w:vAlign w:val="center"/>
          </w:tcPr>
          <w:p>
            <w:pPr>
              <w:pStyle w:val="11"/>
            </w:pPr>
            <w:r>
              <w:t>592.52</w:t>
            </w:r>
          </w:p>
        </w:tc>
        <w:tc>
          <w:tcPr>
            <w:tcW w:w="1134" w:type="dxa"/>
            <w:vAlign w:val="center"/>
          </w:tcPr>
          <w:p>
            <w:pPr>
              <w:pStyle w:val="11"/>
            </w:pPr>
            <w:r>
              <w:t>592.52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414.32</w:t>
            </w:r>
          </w:p>
        </w:tc>
        <w:tc>
          <w:tcPr>
            <w:tcW w:w="1134" w:type="dxa"/>
            <w:vAlign w:val="center"/>
          </w:tcPr>
          <w:p>
            <w:pPr>
              <w:pStyle w:val="11"/>
            </w:pPr>
            <w:r>
              <w:t>414.32</w:t>
            </w:r>
          </w:p>
        </w:tc>
        <w:tc>
          <w:tcPr>
            <w:tcW w:w="1134" w:type="dxa"/>
            <w:vAlign w:val="center"/>
          </w:tcPr>
          <w:p>
            <w:pPr>
              <w:pStyle w:val="11"/>
            </w:pPr>
            <w:r>
              <w:t>414.32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294.32</w:t>
            </w:r>
          </w:p>
        </w:tc>
        <w:tc>
          <w:tcPr>
            <w:tcW w:w="1134" w:type="dxa"/>
            <w:vAlign w:val="center"/>
          </w:tcPr>
          <w:p>
            <w:pPr>
              <w:pStyle w:val="11"/>
            </w:pPr>
            <w:r>
              <w:t>294.32</w:t>
            </w:r>
          </w:p>
        </w:tc>
        <w:tc>
          <w:tcPr>
            <w:tcW w:w="1134" w:type="dxa"/>
            <w:vAlign w:val="center"/>
          </w:tcPr>
          <w:p>
            <w:pPr>
              <w:pStyle w:val="11"/>
            </w:pPr>
            <w:r>
              <w:t>294.32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124.32</w:t>
            </w:r>
          </w:p>
        </w:tc>
        <w:tc>
          <w:tcPr>
            <w:tcW w:w="1134" w:type="dxa"/>
            <w:vAlign w:val="center"/>
          </w:tcPr>
          <w:p>
            <w:pPr>
              <w:pStyle w:val="11"/>
            </w:pPr>
            <w:r>
              <w:t>124.32</w:t>
            </w:r>
          </w:p>
        </w:tc>
        <w:tc>
          <w:tcPr>
            <w:tcW w:w="1134" w:type="dxa"/>
            <w:vAlign w:val="center"/>
          </w:tcPr>
          <w:p>
            <w:pPr>
              <w:pStyle w:val="11"/>
            </w:pPr>
            <w:r>
              <w:t>124.32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2425.70</w:t>
            </w:r>
          </w:p>
        </w:tc>
        <w:tc>
          <w:tcPr>
            <w:tcW w:w="1361" w:type="dxa"/>
            <w:vAlign w:val="center"/>
          </w:tcPr>
          <w:p>
            <w:pPr>
              <w:pStyle w:val="15"/>
            </w:pPr>
            <w:r>
              <w:t>1232.02</w:t>
            </w:r>
          </w:p>
        </w:tc>
        <w:tc>
          <w:tcPr>
            <w:tcW w:w="1361" w:type="dxa"/>
            <w:vAlign w:val="center"/>
          </w:tcPr>
          <w:p>
            <w:pPr>
              <w:pStyle w:val="15"/>
            </w:pPr>
            <w:r>
              <w:t>1193.68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1418.86</w:t>
            </w:r>
          </w:p>
        </w:tc>
        <w:tc>
          <w:tcPr>
            <w:tcW w:w="1361" w:type="dxa"/>
            <w:vAlign w:val="center"/>
          </w:tcPr>
          <w:p>
            <w:pPr>
              <w:pStyle w:val="11"/>
            </w:pPr>
            <w:r>
              <w:t>1232.02</w:t>
            </w:r>
          </w:p>
        </w:tc>
        <w:tc>
          <w:tcPr>
            <w:tcW w:w="1361" w:type="dxa"/>
            <w:vAlign w:val="center"/>
          </w:tcPr>
          <w:p>
            <w:pPr>
              <w:pStyle w:val="11"/>
            </w:pPr>
            <w:r>
              <w:t>186.84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1418.86</w:t>
            </w:r>
          </w:p>
        </w:tc>
        <w:tc>
          <w:tcPr>
            <w:tcW w:w="1361" w:type="dxa"/>
            <w:vAlign w:val="center"/>
          </w:tcPr>
          <w:p>
            <w:pPr>
              <w:pStyle w:val="11"/>
            </w:pPr>
            <w:r>
              <w:t>1232.02</w:t>
            </w:r>
          </w:p>
        </w:tc>
        <w:tc>
          <w:tcPr>
            <w:tcW w:w="1361" w:type="dxa"/>
            <w:vAlign w:val="center"/>
          </w:tcPr>
          <w:p>
            <w:pPr>
              <w:pStyle w:val="11"/>
            </w:pPr>
            <w:r>
              <w:t>186.84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1232.02</w:t>
            </w:r>
          </w:p>
        </w:tc>
        <w:tc>
          <w:tcPr>
            <w:tcW w:w="1361" w:type="dxa"/>
            <w:vAlign w:val="center"/>
          </w:tcPr>
          <w:p>
            <w:pPr>
              <w:pStyle w:val="11"/>
            </w:pPr>
            <w:r>
              <w:t>1232.02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186.84</w:t>
            </w:r>
          </w:p>
        </w:tc>
        <w:tc>
          <w:tcPr>
            <w:tcW w:w="1361" w:type="dxa"/>
            <w:vAlign w:val="center"/>
          </w:tcPr>
          <w:p>
            <w:pPr>
              <w:pStyle w:val="11"/>
            </w:pPr>
          </w:p>
        </w:tc>
        <w:tc>
          <w:tcPr>
            <w:tcW w:w="1361" w:type="dxa"/>
            <w:vAlign w:val="center"/>
          </w:tcPr>
          <w:p>
            <w:pPr>
              <w:pStyle w:val="11"/>
            </w:pPr>
            <w:r>
              <w:t>186.84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592.52</w:t>
            </w:r>
          </w:p>
        </w:tc>
        <w:tc>
          <w:tcPr>
            <w:tcW w:w="1361" w:type="dxa"/>
            <w:vAlign w:val="center"/>
          </w:tcPr>
          <w:p>
            <w:pPr>
              <w:pStyle w:val="11"/>
            </w:pPr>
          </w:p>
        </w:tc>
        <w:tc>
          <w:tcPr>
            <w:tcW w:w="1361" w:type="dxa"/>
            <w:vAlign w:val="center"/>
          </w:tcPr>
          <w:p>
            <w:pPr>
              <w:pStyle w:val="11"/>
            </w:pPr>
            <w:r>
              <w:t>592.52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592.52</w:t>
            </w:r>
          </w:p>
        </w:tc>
        <w:tc>
          <w:tcPr>
            <w:tcW w:w="1361" w:type="dxa"/>
            <w:vAlign w:val="center"/>
          </w:tcPr>
          <w:p>
            <w:pPr>
              <w:pStyle w:val="11"/>
            </w:pPr>
          </w:p>
        </w:tc>
        <w:tc>
          <w:tcPr>
            <w:tcW w:w="1361" w:type="dxa"/>
            <w:vAlign w:val="center"/>
          </w:tcPr>
          <w:p>
            <w:pPr>
              <w:pStyle w:val="11"/>
            </w:pPr>
            <w:r>
              <w:t>592.52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592.52</w:t>
            </w:r>
          </w:p>
        </w:tc>
        <w:tc>
          <w:tcPr>
            <w:tcW w:w="1361" w:type="dxa"/>
            <w:vAlign w:val="center"/>
          </w:tcPr>
          <w:p>
            <w:pPr>
              <w:pStyle w:val="11"/>
            </w:pPr>
          </w:p>
        </w:tc>
        <w:tc>
          <w:tcPr>
            <w:tcW w:w="1361" w:type="dxa"/>
            <w:vAlign w:val="center"/>
          </w:tcPr>
          <w:p>
            <w:pPr>
              <w:pStyle w:val="11"/>
            </w:pPr>
            <w:r>
              <w:t>592.52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414.32</w:t>
            </w:r>
          </w:p>
        </w:tc>
        <w:tc>
          <w:tcPr>
            <w:tcW w:w="1361" w:type="dxa"/>
            <w:vAlign w:val="center"/>
          </w:tcPr>
          <w:p>
            <w:pPr>
              <w:pStyle w:val="11"/>
            </w:pPr>
          </w:p>
        </w:tc>
        <w:tc>
          <w:tcPr>
            <w:tcW w:w="1361" w:type="dxa"/>
            <w:vAlign w:val="center"/>
          </w:tcPr>
          <w:p>
            <w:pPr>
              <w:pStyle w:val="11"/>
            </w:pPr>
            <w:r>
              <w:t>414.32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r>
              <w:t>120.00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294.32</w:t>
            </w:r>
          </w:p>
        </w:tc>
        <w:tc>
          <w:tcPr>
            <w:tcW w:w="1361" w:type="dxa"/>
            <w:vAlign w:val="center"/>
          </w:tcPr>
          <w:p>
            <w:pPr>
              <w:pStyle w:val="11"/>
            </w:pPr>
          </w:p>
        </w:tc>
        <w:tc>
          <w:tcPr>
            <w:tcW w:w="1361" w:type="dxa"/>
            <w:vAlign w:val="center"/>
          </w:tcPr>
          <w:p>
            <w:pPr>
              <w:pStyle w:val="11"/>
            </w:pPr>
            <w:r>
              <w:t>294.32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170.00</w:t>
            </w:r>
          </w:p>
        </w:tc>
        <w:tc>
          <w:tcPr>
            <w:tcW w:w="1361" w:type="dxa"/>
            <w:vAlign w:val="center"/>
          </w:tcPr>
          <w:p>
            <w:pPr>
              <w:pStyle w:val="11"/>
            </w:pPr>
          </w:p>
        </w:tc>
        <w:tc>
          <w:tcPr>
            <w:tcW w:w="1361" w:type="dxa"/>
            <w:vAlign w:val="center"/>
          </w:tcPr>
          <w:p>
            <w:pPr>
              <w:pStyle w:val="11"/>
            </w:pPr>
            <w:r>
              <w:t>170.00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124.32</w:t>
            </w:r>
          </w:p>
        </w:tc>
        <w:tc>
          <w:tcPr>
            <w:tcW w:w="1361" w:type="dxa"/>
            <w:vAlign w:val="center"/>
          </w:tcPr>
          <w:p>
            <w:pPr>
              <w:pStyle w:val="11"/>
            </w:pPr>
          </w:p>
        </w:tc>
        <w:tc>
          <w:tcPr>
            <w:tcW w:w="1361" w:type="dxa"/>
            <w:vAlign w:val="center"/>
          </w:tcPr>
          <w:p>
            <w:pPr>
              <w:pStyle w:val="11"/>
            </w:pPr>
            <w:r>
              <w:t>124.32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1833.18</w:t>
            </w:r>
          </w:p>
        </w:tc>
        <w:tc>
          <w:tcPr>
            <w:tcW w:w="3402" w:type="dxa"/>
            <w:vAlign w:val="center"/>
          </w:tcPr>
          <w:p>
            <w:pPr>
              <w:pStyle w:val="12"/>
            </w:pPr>
            <w:r>
              <w:t>一、一般公共服务支出</w:t>
            </w:r>
          </w:p>
        </w:tc>
        <w:tc>
          <w:tcPr>
            <w:tcW w:w="1474" w:type="dxa"/>
            <w:vAlign w:val="center"/>
          </w:tcPr>
          <w:p>
            <w:pPr>
              <w:pStyle w:val="11"/>
            </w:pPr>
            <w:r>
              <w:t>1418.86</w:t>
            </w:r>
          </w:p>
        </w:tc>
        <w:tc>
          <w:tcPr>
            <w:tcW w:w="1474" w:type="dxa"/>
            <w:vAlign w:val="center"/>
          </w:tcPr>
          <w:p>
            <w:pPr>
              <w:pStyle w:val="11"/>
            </w:pPr>
            <w:r>
              <w:t>1418.86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592.52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592.52</w:t>
            </w:r>
          </w:p>
        </w:tc>
        <w:tc>
          <w:tcPr>
            <w:tcW w:w="1474" w:type="dxa"/>
            <w:vAlign w:val="center"/>
          </w:tcPr>
          <w:p>
            <w:pPr>
              <w:pStyle w:val="11"/>
            </w:pPr>
          </w:p>
        </w:tc>
        <w:tc>
          <w:tcPr>
            <w:tcW w:w="1474" w:type="dxa"/>
            <w:vAlign w:val="center"/>
          </w:tcPr>
          <w:p>
            <w:pPr>
              <w:pStyle w:val="11"/>
            </w:pPr>
            <w:r>
              <w:t>592.52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414.32</w:t>
            </w:r>
          </w:p>
        </w:tc>
        <w:tc>
          <w:tcPr>
            <w:tcW w:w="1474" w:type="dxa"/>
            <w:vAlign w:val="center"/>
          </w:tcPr>
          <w:p>
            <w:pPr>
              <w:pStyle w:val="11"/>
            </w:pPr>
            <w:r>
              <w:t>414.32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2425.70</w:t>
            </w:r>
          </w:p>
        </w:tc>
        <w:tc>
          <w:tcPr>
            <w:tcW w:w="3402" w:type="dxa"/>
            <w:vAlign w:val="center"/>
          </w:tcPr>
          <w:p>
            <w:pPr>
              <w:pStyle w:val="14"/>
            </w:pPr>
            <w:r>
              <w:t>本年支出合计</w:t>
            </w:r>
          </w:p>
        </w:tc>
        <w:tc>
          <w:tcPr>
            <w:tcW w:w="1474" w:type="dxa"/>
            <w:vAlign w:val="center"/>
          </w:tcPr>
          <w:p>
            <w:pPr>
              <w:pStyle w:val="15"/>
            </w:pPr>
            <w:r>
              <w:t>2425.70</w:t>
            </w:r>
          </w:p>
        </w:tc>
        <w:tc>
          <w:tcPr>
            <w:tcW w:w="1474" w:type="dxa"/>
            <w:vAlign w:val="center"/>
          </w:tcPr>
          <w:p>
            <w:pPr>
              <w:pStyle w:val="15"/>
            </w:pPr>
            <w:r>
              <w:t>1833.18</w:t>
            </w:r>
          </w:p>
        </w:tc>
        <w:tc>
          <w:tcPr>
            <w:tcW w:w="1474" w:type="dxa"/>
            <w:vAlign w:val="center"/>
          </w:tcPr>
          <w:p>
            <w:pPr>
              <w:pStyle w:val="15"/>
            </w:pPr>
            <w:r>
              <w:t>592.52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2425.70</w:t>
            </w:r>
          </w:p>
        </w:tc>
        <w:tc>
          <w:tcPr>
            <w:tcW w:w="3402" w:type="dxa"/>
            <w:vAlign w:val="center"/>
          </w:tcPr>
          <w:p>
            <w:pPr>
              <w:pStyle w:val="14"/>
            </w:pPr>
            <w:r>
              <w:t>支出总计</w:t>
            </w:r>
          </w:p>
        </w:tc>
        <w:tc>
          <w:tcPr>
            <w:tcW w:w="1474" w:type="dxa"/>
            <w:vAlign w:val="center"/>
          </w:tcPr>
          <w:p>
            <w:pPr>
              <w:pStyle w:val="15"/>
            </w:pPr>
            <w:r>
              <w:t>2425.70</w:t>
            </w:r>
          </w:p>
        </w:tc>
        <w:tc>
          <w:tcPr>
            <w:tcW w:w="1474" w:type="dxa"/>
            <w:vAlign w:val="center"/>
          </w:tcPr>
          <w:p>
            <w:pPr>
              <w:pStyle w:val="15"/>
            </w:pPr>
            <w:r>
              <w:t>1833.18</w:t>
            </w:r>
          </w:p>
        </w:tc>
        <w:tc>
          <w:tcPr>
            <w:tcW w:w="1474" w:type="dxa"/>
            <w:vAlign w:val="center"/>
          </w:tcPr>
          <w:p>
            <w:pPr>
              <w:pStyle w:val="15"/>
            </w:pPr>
            <w:r>
              <w:t>592.52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1833.18</w:t>
            </w:r>
          </w:p>
        </w:tc>
        <w:tc>
          <w:tcPr>
            <w:tcW w:w="2551" w:type="dxa"/>
            <w:vAlign w:val="center"/>
          </w:tcPr>
          <w:p>
            <w:pPr>
              <w:pStyle w:val="15"/>
            </w:pPr>
            <w:r>
              <w:t>1232.02</w:t>
            </w:r>
          </w:p>
        </w:tc>
        <w:tc>
          <w:tcPr>
            <w:tcW w:w="2551" w:type="dxa"/>
            <w:vAlign w:val="center"/>
          </w:tcPr>
          <w:p>
            <w:pPr>
              <w:pStyle w:val="15"/>
            </w:pPr>
            <w:r>
              <w:t>601.16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1418.86</w:t>
            </w:r>
          </w:p>
        </w:tc>
        <w:tc>
          <w:tcPr>
            <w:tcW w:w="2551" w:type="dxa"/>
            <w:vAlign w:val="center"/>
          </w:tcPr>
          <w:p>
            <w:pPr>
              <w:pStyle w:val="11"/>
            </w:pPr>
            <w:r>
              <w:t>1232.02</w:t>
            </w:r>
          </w:p>
        </w:tc>
        <w:tc>
          <w:tcPr>
            <w:tcW w:w="2551" w:type="dxa"/>
            <w:vAlign w:val="center"/>
          </w:tcPr>
          <w:p>
            <w:pPr>
              <w:pStyle w:val="11"/>
            </w:pPr>
            <w:r>
              <w:t>186.84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1418.86</w:t>
            </w:r>
          </w:p>
        </w:tc>
        <w:tc>
          <w:tcPr>
            <w:tcW w:w="2551" w:type="dxa"/>
            <w:vAlign w:val="center"/>
          </w:tcPr>
          <w:p>
            <w:pPr>
              <w:pStyle w:val="11"/>
            </w:pPr>
            <w:r>
              <w:t>1232.02</w:t>
            </w:r>
          </w:p>
        </w:tc>
        <w:tc>
          <w:tcPr>
            <w:tcW w:w="2551" w:type="dxa"/>
            <w:vAlign w:val="center"/>
          </w:tcPr>
          <w:p>
            <w:pPr>
              <w:pStyle w:val="11"/>
            </w:pPr>
            <w:r>
              <w:t>186.84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1232.02</w:t>
            </w:r>
          </w:p>
        </w:tc>
        <w:tc>
          <w:tcPr>
            <w:tcW w:w="2551" w:type="dxa"/>
            <w:vAlign w:val="center"/>
          </w:tcPr>
          <w:p>
            <w:pPr>
              <w:pStyle w:val="11"/>
            </w:pPr>
            <w:r>
              <w:t>1232.02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186.84</w:t>
            </w:r>
          </w:p>
        </w:tc>
        <w:tc>
          <w:tcPr>
            <w:tcW w:w="2551" w:type="dxa"/>
            <w:vAlign w:val="center"/>
          </w:tcPr>
          <w:p>
            <w:pPr>
              <w:pStyle w:val="11"/>
            </w:pPr>
          </w:p>
        </w:tc>
        <w:tc>
          <w:tcPr>
            <w:tcW w:w="2551" w:type="dxa"/>
            <w:vAlign w:val="center"/>
          </w:tcPr>
          <w:p>
            <w:pPr>
              <w:pStyle w:val="11"/>
            </w:pPr>
            <w:r>
              <w:t>186.84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414.32</w:t>
            </w:r>
          </w:p>
        </w:tc>
        <w:tc>
          <w:tcPr>
            <w:tcW w:w="2551" w:type="dxa"/>
            <w:vAlign w:val="center"/>
          </w:tcPr>
          <w:p>
            <w:pPr>
              <w:pStyle w:val="11"/>
            </w:pPr>
          </w:p>
        </w:tc>
        <w:tc>
          <w:tcPr>
            <w:tcW w:w="2551" w:type="dxa"/>
            <w:vAlign w:val="center"/>
          </w:tcPr>
          <w:p>
            <w:pPr>
              <w:pStyle w:val="11"/>
            </w:pPr>
            <w:r>
              <w:t>414.32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120.00</w:t>
            </w:r>
          </w:p>
        </w:tc>
        <w:tc>
          <w:tcPr>
            <w:tcW w:w="2551" w:type="dxa"/>
            <w:vAlign w:val="center"/>
          </w:tcPr>
          <w:p>
            <w:pPr>
              <w:pStyle w:val="11"/>
            </w:pPr>
          </w:p>
        </w:tc>
        <w:tc>
          <w:tcPr>
            <w:tcW w:w="2551"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294.32</w:t>
            </w:r>
          </w:p>
        </w:tc>
        <w:tc>
          <w:tcPr>
            <w:tcW w:w="2551" w:type="dxa"/>
            <w:vAlign w:val="center"/>
          </w:tcPr>
          <w:p>
            <w:pPr>
              <w:pStyle w:val="11"/>
            </w:pPr>
          </w:p>
        </w:tc>
        <w:tc>
          <w:tcPr>
            <w:tcW w:w="2551" w:type="dxa"/>
            <w:vAlign w:val="center"/>
          </w:tcPr>
          <w:p>
            <w:pPr>
              <w:pStyle w:val="11"/>
            </w:pPr>
            <w:r>
              <w:t>294.32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170.00</w:t>
            </w:r>
          </w:p>
        </w:tc>
        <w:tc>
          <w:tcPr>
            <w:tcW w:w="2551" w:type="dxa"/>
            <w:vAlign w:val="center"/>
          </w:tcPr>
          <w:p>
            <w:pPr>
              <w:pStyle w:val="11"/>
            </w:pPr>
          </w:p>
        </w:tc>
        <w:tc>
          <w:tcPr>
            <w:tcW w:w="2551" w:type="dxa"/>
            <w:vAlign w:val="center"/>
          </w:tcPr>
          <w:p>
            <w:pPr>
              <w:pStyle w:val="11"/>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124.32</w:t>
            </w:r>
          </w:p>
        </w:tc>
        <w:tc>
          <w:tcPr>
            <w:tcW w:w="2551" w:type="dxa"/>
            <w:vAlign w:val="center"/>
          </w:tcPr>
          <w:p>
            <w:pPr>
              <w:pStyle w:val="11"/>
            </w:pPr>
          </w:p>
        </w:tc>
        <w:tc>
          <w:tcPr>
            <w:tcW w:w="2551" w:type="dxa"/>
            <w:vAlign w:val="center"/>
          </w:tcPr>
          <w:p>
            <w:pPr>
              <w:pStyle w:val="11"/>
            </w:pPr>
            <w:r>
              <w:t>124.32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1232.02</w:t>
            </w:r>
          </w:p>
        </w:tc>
        <w:tc>
          <w:tcPr>
            <w:tcW w:w="2551" w:type="dxa"/>
            <w:vAlign w:val="center"/>
          </w:tcPr>
          <w:p>
            <w:pPr>
              <w:pStyle w:val="15"/>
            </w:pPr>
            <w:r>
              <w:t>1038.92</w:t>
            </w:r>
          </w:p>
        </w:tc>
        <w:tc>
          <w:tcPr>
            <w:tcW w:w="2551" w:type="dxa"/>
            <w:vAlign w:val="center"/>
          </w:tcPr>
          <w:p>
            <w:pPr>
              <w:pStyle w:val="15"/>
            </w:pPr>
            <w:r>
              <w:t>193.10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971.90</w:t>
            </w:r>
          </w:p>
        </w:tc>
        <w:tc>
          <w:tcPr>
            <w:tcW w:w="2551" w:type="dxa"/>
            <w:vAlign w:val="center"/>
          </w:tcPr>
          <w:p>
            <w:pPr>
              <w:pStyle w:val="11"/>
            </w:pPr>
            <w:r>
              <w:t>971.90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316.24</w:t>
            </w:r>
          </w:p>
        </w:tc>
        <w:tc>
          <w:tcPr>
            <w:tcW w:w="2551" w:type="dxa"/>
            <w:vAlign w:val="center"/>
          </w:tcPr>
          <w:p>
            <w:pPr>
              <w:pStyle w:val="11"/>
            </w:pPr>
            <w:r>
              <w:t>316.24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182.15</w:t>
            </w:r>
          </w:p>
        </w:tc>
        <w:tc>
          <w:tcPr>
            <w:tcW w:w="2551" w:type="dxa"/>
            <w:vAlign w:val="center"/>
          </w:tcPr>
          <w:p>
            <w:pPr>
              <w:pStyle w:val="11"/>
            </w:pPr>
            <w:r>
              <w:t>182.15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105.41</w:t>
            </w:r>
          </w:p>
        </w:tc>
        <w:tc>
          <w:tcPr>
            <w:tcW w:w="2551" w:type="dxa"/>
            <w:vAlign w:val="center"/>
          </w:tcPr>
          <w:p>
            <w:pPr>
              <w:pStyle w:val="11"/>
            </w:pPr>
            <w:r>
              <w:t>105.41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114.34</w:t>
            </w:r>
          </w:p>
        </w:tc>
        <w:tc>
          <w:tcPr>
            <w:tcW w:w="2551" w:type="dxa"/>
            <w:vAlign w:val="center"/>
          </w:tcPr>
          <w:p>
            <w:pPr>
              <w:pStyle w:val="11"/>
            </w:pPr>
            <w:r>
              <w:t>114.34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90.35</w:t>
            </w:r>
          </w:p>
        </w:tc>
        <w:tc>
          <w:tcPr>
            <w:tcW w:w="2551" w:type="dxa"/>
            <w:vAlign w:val="center"/>
          </w:tcPr>
          <w:p>
            <w:pPr>
              <w:pStyle w:val="11"/>
            </w:pPr>
            <w:r>
              <w:t>90.35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40.62</w:t>
            </w:r>
          </w:p>
        </w:tc>
        <w:tc>
          <w:tcPr>
            <w:tcW w:w="2551" w:type="dxa"/>
            <w:vAlign w:val="center"/>
          </w:tcPr>
          <w:p>
            <w:pPr>
              <w:pStyle w:val="11"/>
            </w:pPr>
            <w:r>
              <w:t>40.62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20.65</w:t>
            </w:r>
          </w:p>
        </w:tc>
        <w:tc>
          <w:tcPr>
            <w:tcW w:w="2551" w:type="dxa"/>
            <w:vAlign w:val="center"/>
          </w:tcPr>
          <w:p>
            <w:pPr>
              <w:pStyle w:val="11"/>
            </w:pPr>
            <w:r>
              <w:t>20.65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4.43</w:t>
            </w:r>
          </w:p>
        </w:tc>
        <w:tc>
          <w:tcPr>
            <w:tcW w:w="2551" w:type="dxa"/>
            <w:vAlign w:val="center"/>
          </w:tcPr>
          <w:p>
            <w:pPr>
              <w:pStyle w:val="11"/>
            </w:pPr>
            <w:r>
              <w:t>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81.51</w:t>
            </w:r>
          </w:p>
        </w:tc>
        <w:tc>
          <w:tcPr>
            <w:tcW w:w="2551" w:type="dxa"/>
            <w:vAlign w:val="center"/>
          </w:tcPr>
          <w:p>
            <w:pPr>
              <w:pStyle w:val="11"/>
            </w:pPr>
            <w:r>
              <w:t>81.51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16.20</w:t>
            </w:r>
          </w:p>
        </w:tc>
        <w:tc>
          <w:tcPr>
            <w:tcW w:w="2551" w:type="dxa"/>
            <w:vAlign w:val="center"/>
          </w:tcPr>
          <w:p>
            <w:pPr>
              <w:pStyle w:val="11"/>
            </w:pPr>
            <w:r>
              <w:t>16.20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193.10</w:t>
            </w:r>
          </w:p>
        </w:tc>
        <w:tc>
          <w:tcPr>
            <w:tcW w:w="2551" w:type="dxa"/>
            <w:vAlign w:val="center"/>
          </w:tcPr>
          <w:p>
            <w:pPr>
              <w:pStyle w:val="11"/>
            </w:pPr>
          </w:p>
        </w:tc>
        <w:tc>
          <w:tcPr>
            <w:tcW w:w="2551" w:type="dxa"/>
            <w:vAlign w:val="center"/>
          </w:tcPr>
          <w:p>
            <w:pPr>
              <w:pStyle w:val="11"/>
            </w:pPr>
            <w:r>
              <w:t>193.10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54.79</w:t>
            </w:r>
          </w:p>
        </w:tc>
        <w:tc>
          <w:tcPr>
            <w:tcW w:w="2551" w:type="dxa"/>
            <w:vAlign w:val="center"/>
          </w:tcPr>
          <w:p>
            <w:pPr>
              <w:pStyle w:val="11"/>
            </w:pPr>
          </w:p>
        </w:tc>
        <w:tc>
          <w:tcPr>
            <w:tcW w:w="2551" w:type="dxa"/>
            <w:vAlign w:val="center"/>
          </w:tcPr>
          <w:p>
            <w:pPr>
              <w:pStyle w:val="11"/>
            </w:pPr>
            <w:r>
              <w:t>54.79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25.23</w:t>
            </w:r>
          </w:p>
        </w:tc>
        <w:tc>
          <w:tcPr>
            <w:tcW w:w="2551" w:type="dxa"/>
            <w:vAlign w:val="center"/>
          </w:tcPr>
          <w:p>
            <w:pPr>
              <w:pStyle w:val="11"/>
            </w:pPr>
          </w:p>
        </w:tc>
        <w:tc>
          <w:tcPr>
            <w:tcW w:w="2551" w:type="dxa"/>
            <w:vAlign w:val="center"/>
          </w:tcPr>
          <w:p>
            <w:pPr>
              <w:pStyle w:val="11"/>
            </w:pPr>
            <w:r>
              <w:t>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7.53</w:t>
            </w:r>
          </w:p>
        </w:tc>
        <w:tc>
          <w:tcPr>
            <w:tcW w:w="2551" w:type="dxa"/>
            <w:vAlign w:val="center"/>
          </w:tcPr>
          <w:p>
            <w:pPr>
              <w:pStyle w:val="11"/>
            </w:pPr>
          </w:p>
        </w:tc>
        <w:tc>
          <w:tcPr>
            <w:tcW w:w="2551" w:type="dxa"/>
            <w:vAlign w:val="center"/>
          </w:tcPr>
          <w:p>
            <w:pPr>
              <w:pStyle w:val="11"/>
            </w:pPr>
            <w:r>
              <w:t>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4.85</w:t>
            </w:r>
          </w:p>
        </w:tc>
        <w:tc>
          <w:tcPr>
            <w:tcW w:w="2551" w:type="dxa"/>
            <w:vAlign w:val="center"/>
          </w:tcPr>
          <w:p>
            <w:pPr>
              <w:pStyle w:val="11"/>
            </w:pPr>
          </w:p>
        </w:tc>
        <w:tc>
          <w:tcPr>
            <w:tcW w:w="2551" w:type="dxa"/>
            <w:vAlign w:val="center"/>
          </w:tcPr>
          <w:p>
            <w:pPr>
              <w:pStyle w:val="11"/>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42.12</w:t>
            </w:r>
          </w:p>
        </w:tc>
        <w:tc>
          <w:tcPr>
            <w:tcW w:w="2551" w:type="dxa"/>
            <w:vAlign w:val="center"/>
          </w:tcPr>
          <w:p>
            <w:pPr>
              <w:pStyle w:val="11"/>
            </w:pPr>
          </w:p>
        </w:tc>
        <w:tc>
          <w:tcPr>
            <w:tcW w:w="2551" w:type="dxa"/>
            <w:vAlign w:val="center"/>
          </w:tcPr>
          <w:p>
            <w:pPr>
              <w:pStyle w:val="11"/>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19.58</w:t>
            </w:r>
          </w:p>
        </w:tc>
        <w:tc>
          <w:tcPr>
            <w:tcW w:w="2551" w:type="dxa"/>
            <w:vAlign w:val="center"/>
          </w:tcPr>
          <w:p>
            <w:pPr>
              <w:pStyle w:val="11"/>
            </w:pPr>
          </w:p>
        </w:tc>
        <w:tc>
          <w:tcPr>
            <w:tcW w:w="2551" w:type="dxa"/>
            <w:vAlign w:val="center"/>
          </w:tcPr>
          <w:p>
            <w:pPr>
              <w:pStyle w:val="11"/>
            </w:pPr>
            <w:r>
              <w:t>19.58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67.02</w:t>
            </w:r>
          </w:p>
        </w:tc>
        <w:tc>
          <w:tcPr>
            <w:tcW w:w="2551" w:type="dxa"/>
            <w:vAlign w:val="center"/>
          </w:tcPr>
          <w:p>
            <w:pPr>
              <w:pStyle w:val="11"/>
            </w:pPr>
            <w:r>
              <w:t>67.02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62.79</w:t>
            </w:r>
          </w:p>
        </w:tc>
        <w:tc>
          <w:tcPr>
            <w:tcW w:w="2551" w:type="dxa"/>
            <w:vAlign w:val="center"/>
          </w:tcPr>
          <w:p>
            <w:pPr>
              <w:pStyle w:val="11"/>
            </w:pPr>
            <w:r>
              <w:t>62.79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592.52</w:t>
            </w:r>
          </w:p>
        </w:tc>
        <w:tc>
          <w:tcPr>
            <w:tcW w:w="2551" w:type="dxa"/>
            <w:vAlign w:val="center"/>
          </w:tcPr>
          <w:p>
            <w:pPr>
              <w:pStyle w:val="15"/>
            </w:pPr>
          </w:p>
        </w:tc>
        <w:tc>
          <w:tcPr>
            <w:tcW w:w="2551" w:type="dxa"/>
            <w:vAlign w:val="center"/>
          </w:tcPr>
          <w:p>
            <w:pPr>
              <w:pStyle w:val="15"/>
            </w:pPr>
            <w:r>
              <w:t>592.52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592.52</w:t>
            </w:r>
          </w:p>
        </w:tc>
        <w:tc>
          <w:tcPr>
            <w:tcW w:w="2551" w:type="dxa"/>
            <w:vAlign w:val="center"/>
          </w:tcPr>
          <w:p>
            <w:pPr>
              <w:pStyle w:val="11"/>
            </w:pPr>
          </w:p>
        </w:tc>
        <w:tc>
          <w:tcPr>
            <w:tcW w:w="2551" w:type="dxa"/>
            <w:vAlign w:val="center"/>
          </w:tcPr>
          <w:p>
            <w:pPr>
              <w:pStyle w:val="11"/>
            </w:pPr>
            <w:r>
              <w:t>592.52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592.52</w:t>
            </w:r>
          </w:p>
        </w:tc>
        <w:tc>
          <w:tcPr>
            <w:tcW w:w="2551" w:type="dxa"/>
            <w:vAlign w:val="center"/>
          </w:tcPr>
          <w:p>
            <w:pPr>
              <w:pStyle w:val="11"/>
            </w:pPr>
          </w:p>
        </w:tc>
        <w:tc>
          <w:tcPr>
            <w:tcW w:w="2551" w:type="dxa"/>
            <w:vAlign w:val="center"/>
          </w:tcPr>
          <w:p>
            <w:pPr>
              <w:pStyle w:val="11"/>
            </w:pPr>
            <w:r>
              <w:t>592.52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592.52</w:t>
            </w:r>
          </w:p>
        </w:tc>
        <w:tc>
          <w:tcPr>
            <w:tcW w:w="2551" w:type="dxa"/>
            <w:vAlign w:val="center"/>
          </w:tcPr>
          <w:p>
            <w:pPr>
              <w:pStyle w:val="11"/>
            </w:pPr>
          </w:p>
        </w:tc>
        <w:tc>
          <w:tcPr>
            <w:tcW w:w="2551" w:type="dxa"/>
            <w:vAlign w:val="center"/>
          </w:tcPr>
          <w:p>
            <w:pPr>
              <w:pStyle w:val="11"/>
            </w:pPr>
            <w:r>
              <w:t>592.52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4.85</w:t>
            </w:r>
          </w:p>
        </w:tc>
        <w:tc>
          <w:tcPr>
            <w:tcW w:w="2381" w:type="dxa"/>
            <w:vAlign w:val="center"/>
          </w:tcPr>
          <w:p>
            <w:pPr>
              <w:pStyle w:val="15"/>
            </w:pPr>
            <w:r>
              <w:t>4.85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晋州市槐树镇人民政府本级2026年单位预算信息公开情况说明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按照《中华人民共和国预算法》、《地方预决算公开操作规程》和《关于进一步推进预算公开工作的实施意见》规定，现将晋州市槐树镇人民政府本级2026年单位预算公开如下：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（一）贯彻执行党的路线、方针、政策</w:t>
      </w:r>
    </w:p>
    <w:p>
      <w:pPr>
        <w:pStyle w:val="17"/>
      </w:pPr>
      <w:r>
        <w:t>1、深入贯彻习近平新时代中国特色社会主义思想严格按照上级党委的指示、预定，研究提出本区域经济发展中重大问题的意见、建议和预定；</w:t>
      </w:r>
    </w:p>
    <w:p>
      <w:pPr>
        <w:pStyle w:val="17"/>
      </w:pPr>
      <w:r>
        <w:t>2、发挥领导核心作用，支持和保障村民委员会开展自治活动、直接行使民主权利；</w:t>
      </w:r>
    </w:p>
    <w:p>
      <w:pPr>
        <w:pStyle w:val="17"/>
      </w:pPr>
      <w:r>
        <w:t>3、领导本区域经济建设、政治建设、文化建设、社会建设和社会主义新农村建设；</w:t>
      </w:r>
    </w:p>
    <w:p>
      <w:pPr>
        <w:pStyle w:val="17"/>
      </w:pPr>
      <w:r>
        <w:t>4、抓好党的思想建设、组织建设、作风建设和廉政建设；</w:t>
      </w:r>
    </w:p>
    <w:p>
      <w:pPr>
        <w:pStyle w:val="17"/>
      </w:pPr>
      <w:r>
        <w:t>5、加强和改善对人大、政府的领导和协调，支持他们依法行使职权；加强对工会、共青团、妇联、武装部等组织的领导，及时研究讨论群团组织工作中的重大问题，支持他们根据各自特点开展活动，充分发挥其作用；</w:t>
      </w:r>
    </w:p>
    <w:p>
      <w:pPr>
        <w:pStyle w:val="17"/>
      </w:pPr>
      <w:r>
        <w:t>6、承办上级党委交办的其他事项。</w:t>
      </w:r>
    </w:p>
    <w:p>
      <w:pPr>
        <w:pStyle w:val="17"/>
      </w:pPr>
      <w:r>
        <w:t>（二）镇政府履行地方组织法规定的各项职权</w:t>
      </w:r>
    </w:p>
    <w:p>
      <w:pPr>
        <w:pStyle w:val="17"/>
      </w:pPr>
      <w:r>
        <w:t>1、贯彻执行党和国家的路线、方针政策、法律法规和上级党委、政府及本级党委、人民代表大会的预定；</w:t>
      </w:r>
    </w:p>
    <w:p>
      <w:pPr>
        <w:pStyle w:val="17"/>
      </w:pPr>
      <w:r>
        <w:t>2、搞好农田水利、农业综合开发、科教文卫、人口和计划生育、体育、民政、安全、村乡规划建设、扶贫开发、劳动保障和社会稳定等社会管理和公共服务；</w:t>
      </w:r>
    </w:p>
    <w:p>
      <w:pPr>
        <w:pStyle w:val="17"/>
      </w:pPr>
      <w:r>
        <w:t>3、推进社会主义新农村建设，营造经济社会发展环境，保护国有资产、集体财产和各种经济组织及公民的合法权益；</w:t>
      </w:r>
    </w:p>
    <w:p>
      <w:pPr>
        <w:pStyle w:val="17"/>
      </w:pPr>
      <w:r>
        <w:t>4、促进本行政区域内经济和社会发展，突出以经济建设为中心，创造良好环境，大力发展地区经济，努力提高本地区经济实力和可持续发展水平，提高人民群众的生活质量和水平；</w:t>
      </w:r>
    </w:p>
    <w:p>
      <w:pPr>
        <w:pStyle w:val="17"/>
      </w:pPr>
      <w:r>
        <w:t>5、加强社会主义民主法治建设，积极开展社会主义精神文明建设，做好群众教育，搞好本地区的社会治安综合治理和司法行政工作；依法指导村民委员会开展各项工作；  6、承办晋州市人民政府交办的其他事项。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晋州市槐树镇人民政府本级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2425.70万元，其中：一般公共预算收入1833.18万元，基金预算收入592.52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槐树镇人民政府本级年度单位预算中支出预算的总体情况。2026年支出预算2425.70万元，其中基本支出1232.02万元，包括人员经费1038.92万元和日常公用经费193.10万元；项目支出1193.68万元，主要为靶场租地费11.21万元；冀财预[2025]35号中央提前下达2026年革命老区转移支付预算（槐树镇小彭村、相邱村村内道路改造项目）120万元；滹沱河生态修复二期工程开发利用土地奖补和土地使用流转费</w:t>
      </w:r>
      <w:bookmarkStart w:id="1" w:name="_GoBack"/>
      <w:bookmarkEnd w:id="1"/>
      <w:r>
        <w:t>373.49万元；退役人员相关费用32.12万元；村党组织活动经费34.32万元；冀财农[2025]103号提前下达2026年中央农村综合改革转移支付资金（槐树镇北赵家庄村）20万元；维稳经费40.51万元；武装工作专项经费3万元；冀财农[2025]103号提前下达2026年中央农村综合改革转移支付资金（槐树镇候城村）120万元；（业务费）100万元；服务群众专项经费90万元；冀财农[2025]103号提前下达2026年中央农村综合改革转移支付资金（槐树镇小彭村）30万元；预计下年使用的单位资金结余0.00万元。委托业务费共计安排72.00万元，主要用于因技术原因确需对外委托的辅助性工作和确有必要对外委托开展咨询、评审、规划等工作。</w:t>
      </w:r>
    </w:p>
    <w:p>
      <w:pPr>
        <w:pStyle w:val="18"/>
      </w:pPr>
      <w:r>
        <w:t>3、比上年增减情况</w:t>
      </w:r>
    </w:p>
    <w:p>
      <w:pPr>
        <w:pStyle w:val="18"/>
      </w:pPr>
      <w:r>
        <w:t>2026年预算收支安排2425.70万元，较2025年预算增加154.55万元，其中：基本支出增加78.86万元，主要为新增加三名公务员，四名事业编，人员经费、公用经费增加，基本支出增加。项目支出增加75.69万元，主要为部分项目的增加以及冀财建[2024]241号提前下达2025年中央基建投资资金的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2026年，我单位机关运行经费共计安排193.10万元，主要用于日常维修、办公用房水电费、办公用房取暖费、办公用房物业管理费等日常运行支出。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4.85万元，其中因公出国（境）费0.00万元；公务用车购置及运维费4.85万元（其中：公务用车购置费为0.00万元，公务用车运维费4.85万元)；公务接待费0.00万元。与2025年相比减少3.15万元，增减变化的主要原因是厉行节俭，压减公车运维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13018326P00032810283N</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用于补充办公经费，支持政府部门的日常运作、公共设施维护以及公共服务项目开展。保障机关日常工作正常运行。</w:t>
            </w:r>
            <w:r>
              <w:tab/>
            </w:r>
            <w:r>
              <w:tab/>
            </w:r>
            <w:r>
              <w:tab/>
            </w:r>
            <w:r>
              <w:tab/>
            </w:r>
            <w:r>
              <w:tab/>
            </w:r>
            <w:r>
              <w:tab/>
            </w:r>
          </w:p>
          <w:p>
            <w:pPr>
              <w:pStyle w:val="12"/>
            </w:pPr>
            <w:r>
              <w:tab/>
            </w:r>
            <w:r>
              <w:tab/>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1.推动机关各项工作顺利开展，提升工作效率，保障机关日常工作正常运行。</w:t>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对工作检查的次数</w:t>
            </w:r>
          </w:p>
        </w:tc>
        <w:tc>
          <w:tcPr>
            <w:tcW w:w="5386" w:type="dxa"/>
            <w:vAlign w:val="center"/>
          </w:tcPr>
          <w:p>
            <w:pPr>
              <w:pStyle w:val="12"/>
            </w:pPr>
            <w:r>
              <w:t>对工作检查的次数</w:t>
            </w:r>
          </w:p>
        </w:tc>
        <w:tc>
          <w:tcPr>
            <w:tcW w:w="2268" w:type="dxa"/>
            <w:vAlign w:val="center"/>
          </w:tcPr>
          <w:p>
            <w:pPr>
              <w:pStyle w:val="12"/>
            </w:pPr>
            <w:r>
              <w:t>15次</w:t>
            </w:r>
          </w:p>
        </w:tc>
        <w:tc>
          <w:tcPr>
            <w:tcW w:w="1276" w:type="dxa"/>
            <w:vAlign w:val="center"/>
          </w:tcPr>
          <w:p>
            <w:pPr>
              <w:pStyle w:val="12"/>
            </w:pPr>
            <w:r>
              <w:t>根据单位经费发放标准与单位工作的实际要求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机关运行工作保障率</w:t>
            </w:r>
          </w:p>
        </w:tc>
        <w:tc>
          <w:tcPr>
            <w:tcW w:w="5386" w:type="dxa"/>
            <w:vAlign w:val="center"/>
          </w:tcPr>
          <w:p>
            <w:pPr>
              <w:pStyle w:val="12"/>
            </w:pPr>
            <w:r>
              <w:t>机关运行工作保障率</w:t>
            </w:r>
          </w:p>
        </w:tc>
        <w:tc>
          <w:tcPr>
            <w:tcW w:w="2268" w:type="dxa"/>
            <w:vAlign w:val="center"/>
          </w:tcPr>
          <w:p>
            <w:pPr>
              <w:pStyle w:val="12"/>
            </w:pPr>
            <w:r>
              <w:t>≥95%</w:t>
            </w:r>
          </w:p>
        </w:tc>
        <w:tc>
          <w:tcPr>
            <w:tcW w:w="1276" w:type="dxa"/>
            <w:vAlign w:val="center"/>
          </w:tcPr>
          <w:p>
            <w:pPr>
              <w:pStyle w:val="12"/>
            </w:pPr>
            <w:r>
              <w:t>根据单位经费发放标准与单位工作的实际要求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根据单位经费发放标准与单位工作的实际要求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100万元</w:t>
            </w:r>
          </w:p>
        </w:tc>
        <w:tc>
          <w:tcPr>
            <w:tcW w:w="1276" w:type="dxa"/>
            <w:vAlign w:val="center"/>
          </w:tcPr>
          <w:p>
            <w:pPr>
              <w:pStyle w:val="12"/>
            </w:pPr>
            <w:r>
              <w:t>根据单位经费发放标准与单位工作的实际要求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保障机关单位正常运转</w:t>
            </w:r>
          </w:p>
        </w:tc>
        <w:tc>
          <w:tcPr>
            <w:tcW w:w="1276" w:type="dxa"/>
            <w:vAlign w:val="center"/>
          </w:tcPr>
          <w:p>
            <w:pPr>
              <w:pStyle w:val="12"/>
            </w:pPr>
            <w:r>
              <w:t>根据单位经费发放标准与单位工作的实际要求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受众满意率</w:t>
            </w:r>
          </w:p>
        </w:tc>
        <w:tc>
          <w:tcPr>
            <w:tcW w:w="5386" w:type="dxa"/>
            <w:vAlign w:val="center"/>
          </w:tcPr>
          <w:p>
            <w:pPr>
              <w:pStyle w:val="12"/>
            </w:pPr>
            <w:r>
              <w:t>受众满意率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2、靶场租地费绩效目标表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13018326P00032810318Y</w:t>
            </w:r>
          </w:p>
        </w:tc>
        <w:tc>
          <w:tcPr>
            <w:tcW w:w="2835" w:type="dxa"/>
            <w:vAlign w:val="center"/>
          </w:tcPr>
          <w:p>
            <w:pPr>
              <w:pStyle w:val="10"/>
            </w:pPr>
            <w:r>
              <w:t>项目名称</w:t>
            </w:r>
          </w:p>
        </w:tc>
        <w:tc>
          <w:tcPr>
            <w:tcW w:w="6095" w:type="dxa"/>
            <w:gridSpan w:val="3"/>
            <w:vAlign w:val="center"/>
          </w:tcPr>
          <w:p>
            <w:pPr>
              <w:pStyle w:val="12"/>
            </w:pPr>
            <w:r>
              <w:t>靶场租地费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11.21</w:t>
            </w:r>
          </w:p>
        </w:tc>
        <w:tc>
          <w:tcPr>
            <w:tcW w:w="2835" w:type="dxa"/>
            <w:vAlign w:val="center"/>
          </w:tcPr>
          <w:p>
            <w:pPr>
              <w:pStyle w:val="10"/>
            </w:pPr>
            <w:r>
              <w:t>其中：财政    资金</w:t>
            </w:r>
          </w:p>
        </w:tc>
        <w:tc>
          <w:tcPr>
            <w:tcW w:w="2551" w:type="dxa"/>
            <w:vAlign w:val="center"/>
          </w:tcPr>
          <w:p>
            <w:pPr>
              <w:pStyle w:val="12"/>
            </w:pPr>
            <w:r>
              <w:t>11.21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资金用于槐树镇龙泉固村靶场占地租地户租金，及时发现不稳定因素，足额发放租地费用。</w:t>
            </w:r>
            <w:r>
              <w:tab/>
            </w:r>
            <w:r>
              <w:tab/>
            </w:r>
            <w:r>
              <w:tab/>
            </w:r>
            <w:r>
              <w:tab/>
            </w:r>
          </w:p>
          <w:p>
            <w:pPr>
              <w:pStyle w:val="12"/>
            </w:pP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1.有利于及时发放占地租金，推动武装工作正常运转。</w:t>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项目涉及占地户数</w:t>
            </w:r>
          </w:p>
        </w:tc>
        <w:tc>
          <w:tcPr>
            <w:tcW w:w="5386" w:type="dxa"/>
            <w:vAlign w:val="center"/>
          </w:tcPr>
          <w:p>
            <w:pPr>
              <w:pStyle w:val="12"/>
            </w:pPr>
            <w:r>
              <w:t>项目涉及占地户数</w:t>
            </w:r>
          </w:p>
        </w:tc>
        <w:tc>
          <w:tcPr>
            <w:tcW w:w="2268" w:type="dxa"/>
            <w:vAlign w:val="center"/>
          </w:tcPr>
          <w:p>
            <w:pPr>
              <w:pStyle w:val="12"/>
            </w:pPr>
            <w:r>
              <w:t>20户</w:t>
            </w:r>
          </w:p>
        </w:tc>
        <w:tc>
          <w:tcPr>
            <w:tcW w:w="1276" w:type="dxa"/>
            <w:vAlign w:val="center"/>
          </w:tcPr>
          <w:p>
            <w:pPr>
              <w:pStyle w:val="12"/>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该项目运行正常运转率</w:t>
            </w:r>
          </w:p>
        </w:tc>
        <w:tc>
          <w:tcPr>
            <w:tcW w:w="5386" w:type="dxa"/>
            <w:vAlign w:val="center"/>
          </w:tcPr>
          <w:p>
            <w:pPr>
              <w:pStyle w:val="12"/>
            </w:pPr>
            <w:r>
              <w:t>该项目运行正常运转率</w:t>
            </w:r>
          </w:p>
        </w:tc>
        <w:tc>
          <w:tcPr>
            <w:tcW w:w="2268" w:type="dxa"/>
            <w:vAlign w:val="center"/>
          </w:tcPr>
          <w:p>
            <w:pPr>
              <w:pStyle w:val="12"/>
            </w:pPr>
            <w:r>
              <w:t>≥95%</w:t>
            </w:r>
          </w:p>
        </w:tc>
        <w:tc>
          <w:tcPr>
            <w:tcW w:w="1276" w:type="dxa"/>
            <w:vAlign w:val="center"/>
          </w:tcPr>
          <w:p>
            <w:pPr>
              <w:pStyle w:val="12"/>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11.21万元</w:t>
            </w:r>
          </w:p>
        </w:tc>
        <w:tc>
          <w:tcPr>
            <w:tcW w:w="1276" w:type="dxa"/>
            <w:vAlign w:val="center"/>
          </w:tcPr>
          <w:p>
            <w:pPr>
              <w:pStyle w:val="12"/>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促进社会和谐稳定</w:t>
            </w:r>
          </w:p>
        </w:tc>
        <w:tc>
          <w:tcPr>
            <w:tcW w:w="5386" w:type="dxa"/>
            <w:vAlign w:val="center"/>
          </w:tcPr>
          <w:p>
            <w:pPr>
              <w:pStyle w:val="12"/>
            </w:pPr>
            <w:r>
              <w:t>促进社会和谐稳定</w:t>
            </w:r>
          </w:p>
        </w:tc>
        <w:tc>
          <w:tcPr>
            <w:tcW w:w="2268" w:type="dxa"/>
            <w:vAlign w:val="center"/>
          </w:tcPr>
          <w:p>
            <w:pPr>
              <w:pStyle w:val="12"/>
            </w:pPr>
            <w:r>
              <w:t>促进社会和谐稳定</w:t>
            </w:r>
          </w:p>
        </w:tc>
        <w:tc>
          <w:tcPr>
            <w:tcW w:w="1276" w:type="dxa"/>
            <w:vAlign w:val="center"/>
          </w:tcPr>
          <w:p>
            <w:pPr>
              <w:pStyle w:val="12"/>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经济发展、社会稳定、群众满意</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3、村级支出-村党组织活动经费绩效目标表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13018326P00000510056L</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34.32</w:t>
            </w:r>
          </w:p>
        </w:tc>
        <w:tc>
          <w:tcPr>
            <w:tcW w:w="2835" w:type="dxa"/>
            <w:vAlign w:val="center"/>
          </w:tcPr>
          <w:p>
            <w:pPr>
              <w:pStyle w:val="10"/>
            </w:pPr>
            <w:r>
              <w:t>其中：财政    资金</w:t>
            </w:r>
          </w:p>
        </w:tc>
        <w:tc>
          <w:tcPr>
            <w:tcW w:w="2551" w:type="dxa"/>
            <w:vAlign w:val="center"/>
          </w:tcPr>
          <w:p>
            <w:pPr>
              <w:pStyle w:val="12"/>
            </w:pPr>
            <w:r>
              <w:t>34.32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用于开展“三会一课”、主题党日、党员教育培训、救助困难党员、慰问老党员等活动。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1.加强对党员的管理，强化基层党组织建设能力，提升党建工作水平。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全镇党员数量</w:t>
            </w:r>
          </w:p>
        </w:tc>
        <w:tc>
          <w:tcPr>
            <w:tcW w:w="5386" w:type="dxa"/>
            <w:vAlign w:val="center"/>
          </w:tcPr>
          <w:p>
            <w:pPr>
              <w:pStyle w:val="12"/>
            </w:pPr>
            <w:r>
              <w:t>该项目所服务的党员数量</w:t>
            </w:r>
          </w:p>
        </w:tc>
        <w:tc>
          <w:tcPr>
            <w:tcW w:w="2268" w:type="dxa"/>
            <w:vAlign w:val="center"/>
          </w:tcPr>
          <w:p>
            <w:pPr>
              <w:pStyle w:val="12"/>
            </w:pPr>
            <w:r>
              <w:t>1716名</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各项工作完成率</w:t>
            </w:r>
          </w:p>
        </w:tc>
        <w:tc>
          <w:tcPr>
            <w:tcW w:w="2268" w:type="dxa"/>
            <w:vAlign w:val="center"/>
          </w:tcPr>
          <w:p>
            <w:pPr>
              <w:pStyle w:val="12"/>
            </w:pPr>
            <w:r>
              <w:t>≥95%</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各项工作完成的及时率</w:t>
            </w:r>
          </w:p>
        </w:tc>
        <w:tc>
          <w:tcPr>
            <w:tcW w:w="5386" w:type="dxa"/>
            <w:vAlign w:val="center"/>
          </w:tcPr>
          <w:p>
            <w:pPr>
              <w:pStyle w:val="12"/>
            </w:pPr>
            <w:r>
              <w:t>各项工作完成的及时率</w:t>
            </w:r>
          </w:p>
        </w:tc>
        <w:tc>
          <w:tcPr>
            <w:tcW w:w="2268" w:type="dxa"/>
            <w:vAlign w:val="center"/>
          </w:tcPr>
          <w:p>
            <w:pPr>
              <w:pStyle w:val="12"/>
            </w:pPr>
            <w:r>
              <w:t>≥95%</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34.32万元</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搞好各项服务，党员模范带头作用得到充分发挥</w:t>
            </w:r>
          </w:p>
        </w:tc>
        <w:tc>
          <w:tcPr>
            <w:tcW w:w="5386" w:type="dxa"/>
            <w:vAlign w:val="center"/>
          </w:tcPr>
          <w:p>
            <w:pPr>
              <w:pStyle w:val="12"/>
            </w:pPr>
            <w:r>
              <w:t>搞好党员教育、加强基层组织队伍建设</w:t>
            </w:r>
          </w:p>
        </w:tc>
        <w:tc>
          <w:tcPr>
            <w:tcW w:w="2268" w:type="dxa"/>
            <w:vAlign w:val="center"/>
          </w:tcPr>
          <w:p>
            <w:pPr>
              <w:pStyle w:val="12"/>
            </w:pPr>
            <w:r>
              <w:t>搞好党员教育、加强基层组织队伍建设</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服务党员的满意度</w:t>
            </w:r>
          </w:p>
        </w:tc>
        <w:tc>
          <w:tcPr>
            <w:tcW w:w="2268" w:type="dxa"/>
            <w:vAlign w:val="center"/>
          </w:tcPr>
          <w:p>
            <w:pPr>
              <w:pStyle w:val="12"/>
            </w:pPr>
            <w:r>
              <w:t>≥95%</w:t>
            </w:r>
          </w:p>
        </w:tc>
        <w:tc>
          <w:tcPr>
            <w:tcW w:w="1276" w:type="dxa"/>
            <w:vAlign w:val="center"/>
          </w:tcPr>
          <w:p>
            <w:pPr>
              <w:pStyle w:val="12"/>
            </w:pPr>
            <w:r>
              <w:t>冀组发[2018]14号中共河北省委组织部河北省财政厅印发《关于提高村级组织运转保障水平的意见》的通知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4、村级支出-服务群众专项经费绩效目标表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13018326P000005100578</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用于村综合服务站日常运转、公共设施维护。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1.推进村综合服务站日常运转、维护公共设施、提高村级组织运转保障水平、提高乡村治理水平。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服务的村庄数量</w:t>
            </w:r>
          </w:p>
        </w:tc>
        <w:tc>
          <w:tcPr>
            <w:tcW w:w="5386" w:type="dxa"/>
            <w:vAlign w:val="center"/>
          </w:tcPr>
          <w:p>
            <w:pPr>
              <w:pStyle w:val="12"/>
            </w:pPr>
            <w:r>
              <w:t>该项目所服务的村庄数量</w:t>
            </w:r>
          </w:p>
        </w:tc>
        <w:tc>
          <w:tcPr>
            <w:tcW w:w="2268" w:type="dxa"/>
            <w:vAlign w:val="center"/>
          </w:tcPr>
          <w:p>
            <w:pPr>
              <w:pStyle w:val="12"/>
            </w:pPr>
            <w:r>
              <w:t>18个</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服务群众各项工作正常运行率</w:t>
            </w:r>
          </w:p>
        </w:tc>
        <w:tc>
          <w:tcPr>
            <w:tcW w:w="5386" w:type="dxa"/>
            <w:vAlign w:val="center"/>
          </w:tcPr>
          <w:p>
            <w:pPr>
              <w:pStyle w:val="12"/>
            </w:pPr>
            <w:r>
              <w:t>服务群众各项工作正常运行率</w:t>
            </w:r>
          </w:p>
        </w:tc>
        <w:tc>
          <w:tcPr>
            <w:tcW w:w="2268" w:type="dxa"/>
            <w:vAlign w:val="center"/>
          </w:tcPr>
          <w:p>
            <w:pPr>
              <w:pStyle w:val="12"/>
            </w:pPr>
            <w:r>
              <w:t>≥95%</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90万元</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提高村级组织运转保障水平</w:t>
            </w:r>
          </w:p>
        </w:tc>
        <w:tc>
          <w:tcPr>
            <w:tcW w:w="5386" w:type="dxa"/>
            <w:vAlign w:val="center"/>
          </w:tcPr>
          <w:p>
            <w:pPr>
              <w:pStyle w:val="12"/>
            </w:pPr>
            <w:r>
              <w:t>提高村级组织运转保障水平</w:t>
            </w:r>
          </w:p>
        </w:tc>
        <w:tc>
          <w:tcPr>
            <w:tcW w:w="2268" w:type="dxa"/>
            <w:vAlign w:val="center"/>
          </w:tcPr>
          <w:p>
            <w:pPr>
              <w:pStyle w:val="12"/>
            </w:pPr>
            <w:r>
              <w:t>提高村级组织运转保障水平</w:t>
            </w:r>
          </w:p>
        </w:tc>
        <w:tc>
          <w:tcPr>
            <w:tcW w:w="1276" w:type="dxa"/>
            <w:vAlign w:val="center"/>
          </w:tcPr>
          <w:p>
            <w:pPr>
              <w:pStyle w:val="12"/>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p>
            <w:pPr>
              <w:pStyle w:val="12"/>
            </w:pPr>
          </w:p>
        </w:tc>
        <w:tc>
          <w:tcPr>
            <w:tcW w:w="5386" w:type="dxa"/>
            <w:vAlign w:val="center"/>
          </w:tcPr>
          <w:p>
            <w:pPr>
              <w:pStyle w:val="12"/>
            </w:pPr>
            <w:r>
              <w:t>群众满意度测评达标</w:t>
            </w:r>
          </w:p>
        </w:tc>
        <w:tc>
          <w:tcPr>
            <w:tcW w:w="2268" w:type="dxa"/>
            <w:vAlign w:val="center"/>
          </w:tcPr>
          <w:p>
            <w:pPr>
              <w:pStyle w:val="12"/>
            </w:pPr>
            <w:r>
              <w:t>≥95%</w:t>
            </w:r>
          </w:p>
        </w:tc>
        <w:tc>
          <w:tcPr>
            <w:tcW w:w="1276" w:type="dxa"/>
            <w:vAlign w:val="center"/>
          </w:tcPr>
          <w:p>
            <w:pPr>
              <w:pStyle w:val="12"/>
            </w:pPr>
            <w:r>
              <w:t>冀组发[2018]14号中共河北省委组织部河北省财政厅印发《关于提高村级组织运转保障水平的意见》的通知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5、河北阿姆鑫壮装饰材料有限公司占地征地款绩效目标表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13018326P000328106415</w:t>
            </w:r>
          </w:p>
        </w:tc>
        <w:tc>
          <w:tcPr>
            <w:tcW w:w="2835" w:type="dxa"/>
            <w:vAlign w:val="center"/>
          </w:tcPr>
          <w:p>
            <w:pPr>
              <w:pStyle w:val="10"/>
            </w:pPr>
            <w:r>
              <w:t>项目名称</w:t>
            </w:r>
          </w:p>
        </w:tc>
        <w:tc>
          <w:tcPr>
            <w:tcW w:w="6095" w:type="dxa"/>
            <w:gridSpan w:val="3"/>
            <w:vAlign w:val="center"/>
          </w:tcPr>
          <w:p>
            <w:pPr>
              <w:pStyle w:val="12"/>
            </w:pPr>
            <w:r>
              <w:t>河北阿姆鑫壮装饰材料有限公司占地征地款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219.03</w:t>
            </w:r>
          </w:p>
        </w:tc>
        <w:tc>
          <w:tcPr>
            <w:tcW w:w="2835" w:type="dxa"/>
            <w:vAlign w:val="center"/>
          </w:tcPr>
          <w:p>
            <w:pPr>
              <w:pStyle w:val="10"/>
            </w:pPr>
            <w:r>
              <w:t>其中：财政    资金</w:t>
            </w:r>
          </w:p>
        </w:tc>
        <w:tc>
          <w:tcPr>
            <w:tcW w:w="2551" w:type="dxa"/>
            <w:vAlign w:val="center"/>
          </w:tcPr>
          <w:p>
            <w:pPr>
              <w:pStyle w:val="12"/>
            </w:pPr>
            <w:r>
              <w:t>219.03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用于发放阿姆鑫壮装饰材料有限公司占地征地款。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1.征地款及时发放，防范信访隐患，维护社会和谐稳定。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项目涉及征地亩数</w:t>
            </w:r>
          </w:p>
        </w:tc>
        <w:tc>
          <w:tcPr>
            <w:tcW w:w="5386" w:type="dxa"/>
            <w:vAlign w:val="center"/>
          </w:tcPr>
          <w:p>
            <w:pPr>
              <w:pStyle w:val="12"/>
            </w:pPr>
            <w:r>
              <w:t>项目涉及征地亩数</w:t>
            </w:r>
          </w:p>
        </w:tc>
        <w:tc>
          <w:tcPr>
            <w:tcW w:w="2268" w:type="dxa"/>
            <w:vAlign w:val="center"/>
          </w:tcPr>
          <w:p>
            <w:pPr>
              <w:pStyle w:val="12"/>
            </w:pPr>
            <w:r>
              <w:t>20.86亩</w:t>
            </w:r>
          </w:p>
        </w:tc>
        <w:tc>
          <w:tcPr>
            <w:tcW w:w="1276" w:type="dxa"/>
            <w:vAlign w:val="center"/>
          </w:tcPr>
          <w:p>
            <w:pPr>
              <w:pStyle w:val="12"/>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征地款发放覆盖率</w:t>
            </w:r>
          </w:p>
        </w:tc>
        <w:tc>
          <w:tcPr>
            <w:tcW w:w="5386" w:type="dxa"/>
            <w:vAlign w:val="center"/>
          </w:tcPr>
          <w:p>
            <w:pPr>
              <w:pStyle w:val="12"/>
            </w:pPr>
            <w:r>
              <w:t>征地款发放覆盖率</w:t>
            </w:r>
          </w:p>
        </w:tc>
        <w:tc>
          <w:tcPr>
            <w:tcW w:w="2268" w:type="dxa"/>
            <w:vAlign w:val="center"/>
          </w:tcPr>
          <w:p>
            <w:pPr>
              <w:pStyle w:val="12"/>
            </w:pPr>
            <w:r>
              <w:t>100%</w:t>
            </w:r>
          </w:p>
        </w:tc>
        <w:tc>
          <w:tcPr>
            <w:tcW w:w="1276" w:type="dxa"/>
            <w:vAlign w:val="center"/>
          </w:tcPr>
          <w:p>
            <w:pPr>
              <w:pStyle w:val="12"/>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占地租金发放及时率</w:t>
            </w:r>
          </w:p>
        </w:tc>
        <w:tc>
          <w:tcPr>
            <w:tcW w:w="5386" w:type="dxa"/>
            <w:vAlign w:val="center"/>
          </w:tcPr>
          <w:p>
            <w:pPr>
              <w:pStyle w:val="12"/>
            </w:pPr>
            <w:r>
              <w:t>占地款发放及时率</w:t>
            </w:r>
          </w:p>
        </w:tc>
        <w:tc>
          <w:tcPr>
            <w:tcW w:w="2268" w:type="dxa"/>
            <w:vAlign w:val="center"/>
          </w:tcPr>
          <w:p>
            <w:pPr>
              <w:pStyle w:val="12"/>
            </w:pPr>
            <w:r>
              <w:t>≥98%</w:t>
            </w:r>
          </w:p>
        </w:tc>
        <w:tc>
          <w:tcPr>
            <w:tcW w:w="1276" w:type="dxa"/>
            <w:vAlign w:val="center"/>
          </w:tcPr>
          <w:p>
            <w:pPr>
              <w:pStyle w:val="12"/>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219.03万元</w:t>
            </w:r>
          </w:p>
        </w:tc>
        <w:tc>
          <w:tcPr>
            <w:tcW w:w="1276" w:type="dxa"/>
            <w:vAlign w:val="center"/>
          </w:tcPr>
          <w:p>
            <w:pPr>
              <w:pStyle w:val="12"/>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占地款发放到位，老百姓满意，社会安定</w:t>
            </w:r>
          </w:p>
        </w:tc>
        <w:tc>
          <w:tcPr>
            <w:tcW w:w="5386" w:type="dxa"/>
            <w:vAlign w:val="center"/>
          </w:tcPr>
          <w:p>
            <w:pPr>
              <w:pStyle w:val="12"/>
            </w:pPr>
            <w:r>
              <w:t>占地款发放到位，老百姓满意，社会安定</w:t>
            </w:r>
          </w:p>
        </w:tc>
        <w:tc>
          <w:tcPr>
            <w:tcW w:w="2268" w:type="dxa"/>
            <w:vAlign w:val="center"/>
          </w:tcPr>
          <w:p>
            <w:pPr>
              <w:pStyle w:val="12"/>
            </w:pPr>
            <w:r>
              <w:t>占地款发放到位，老百姓满意，社会安定</w:t>
            </w:r>
          </w:p>
        </w:tc>
        <w:tc>
          <w:tcPr>
            <w:tcW w:w="1276" w:type="dxa"/>
            <w:vAlign w:val="center"/>
          </w:tcPr>
          <w:p>
            <w:pPr>
              <w:pStyle w:val="12"/>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6、冀财农[2025]103号提前下达2026年中央农村综合改革转移支付资金（槐树镇北赵家庄村）绩效目标表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13018326P00033010030P</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冀财农[2025]103号提前下达2026年中央农村综合改革转移支付资金（槐树镇北赵家庄村）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用于修建农村道路，加强基础设施建设。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1.改善村民出行条件，提高农村基层设施建设水平，促进社会事业稳步发展。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修建道路工程量</w:t>
            </w:r>
          </w:p>
        </w:tc>
        <w:tc>
          <w:tcPr>
            <w:tcW w:w="5386" w:type="dxa"/>
            <w:vAlign w:val="center"/>
          </w:tcPr>
          <w:p>
            <w:pPr>
              <w:pStyle w:val="12"/>
            </w:pPr>
            <w:r>
              <w:t>修建道路工程量</w:t>
            </w:r>
          </w:p>
        </w:tc>
        <w:tc>
          <w:tcPr>
            <w:tcW w:w="2268" w:type="dxa"/>
            <w:vAlign w:val="center"/>
          </w:tcPr>
          <w:p>
            <w:pPr>
              <w:pStyle w:val="12"/>
            </w:pPr>
            <w:r>
              <w:t>2500平方米</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修建道路工程质量验收合格率</w:t>
            </w:r>
          </w:p>
        </w:tc>
        <w:tc>
          <w:tcPr>
            <w:tcW w:w="5386" w:type="dxa"/>
            <w:vAlign w:val="center"/>
          </w:tcPr>
          <w:p>
            <w:pPr>
              <w:pStyle w:val="12"/>
            </w:pPr>
            <w:r>
              <w:t>修建道路工程质量验收合格率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按期完成的工程量占总工程量的比率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20万元</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农村面貌改造提升，群众便于出行</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7、冀财农[2025]103号提前下达2026年中央农村综合改革转移支付资金（槐树镇候城村）绩效目标表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13018326P000330100494</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冀财农[2025]103号提前下达2026年中央农村综合改革转移支付资金（槐树镇候城村）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资金用于修建农村道路、安装照明设施。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1.提高农村基础设施建设，方便村民出行，改善居民生活环境，助推乡村振兴。</w:t>
            </w:r>
            <w:r>
              <w:tab/>
            </w:r>
          </w:p>
          <w:p>
            <w:pPr>
              <w:pStyle w:val="12"/>
            </w:pP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修建道路工程量</w:t>
            </w:r>
          </w:p>
        </w:tc>
        <w:tc>
          <w:tcPr>
            <w:tcW w:w="5386" w:type="dxa"/>
            <w:vAlign w:val="center"/>
          </w:tcPr>
          <w:p>
            <w:pPr>
              <w:pStyle w:val="12"/>
            </w:pPr>
            <w:r>
              <w:t>修建道路工程量</w:t>
            </w:r>
          </w:p>
        </w:tc>
        <w:tc>
          <w:tcPr>
            <w:tcW w:w="2268" w:type="dxa"/>
            <w:vAlign w:val="center"/>
          </w:tcPr>
          <w:p>
            <w:pPr>
              <w:pStyle w:val="12"/>
            </w:pPr>
            <w:r>
              <w:t>修建道路8000平方米，安装路灯350盏</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修建道路工程质量验收合格率</w:t>
            </w:r>
          </w:p>
        </w:tc>
        <w:tc>
          <w:tcPr>
            <w:tcW w:w="5386" w:type="dxa"/>
            <w:vAlign w:val="center"/>
          </w:tcPr>
          <w:p>
            <w:pPr>
              <w:pStyle w:val="12"/>
            </w:pPr>
            <w:r>
              <w:t>修建道路工程质量验收合格率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按期完成的工程量占总工程量的比率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120万元</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农村面貌改造提升，群众便于出行</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8、冀财农[2025]103号提前下达2026年中央农村综合改革转移支付资金（槐树镇小彭村）绩效目标表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13018326P00033010048G</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冀财农[2025]103号提前下达2026年中央农村综合改革转移支付资金（槐树镇小彭村）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用于修建村内道路，为农村基础设施工程建设提供资金保障。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1.为村民出行提供便利的条件，提高乡村居民生活质量，提升农村基础设施建设水平。</w:t>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修建道路工程量</w:t>
            </w:r>
          </w:p>
        </w:tc>
        <w:tc>
          <w:tcPr>
            <w:tcW w:w="5386" w:type="dxa"/>
            <w:vAlign w:val="center"/>
          </w:tcPr>
          <w:p>
            <w:pPr>
              <w:pStyle w:val="12"/>
            </w:pPr>
            <w:r>
              <w:t>修建道路工程量</w:t>
            </w:r>
          </w:p>
        </w:tc>
        <w:tc>
          <w:tcPr>
            <w:tcW w:w="2268" w:type="dxa"/>
            <w:vAlign w:val="center"/>
          </w:tcPr>
          <w:p>
            <w:pPr>
              <w:pStyle w:val="12"/>
            </w:pPr>
            <w:r>
              <w:t>3760平方米</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修建道路工程质量验收合格率</w:t>
            </w:r>
          </w:p>
        </w:tc>
        <w:tc>
          <w:tcPr>
            <w:tcW w:w="5386" w:type="dxa"/>
            <w:vAlign w:val="center"/>
          </w:tcPr>
          <w:p>
            <w:pPr>
              <w:pStyle w:val="12"/>
            </w:pPr>
            <w:r>
              <w:t>修建道路工程质量验收合格率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按期完成的工程量占总工程量的比率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30万元</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农村面貌改造提升，群众便于出行</w:t>
            </w:r>
          </w:p>
        </w:tc>
        <w:tc>
          <w:tcPr>
            <w:tcW w:w="1276" w:type="dxa"/>
            <w:vAlign w:val="center"/>
          </w:tcPr>
          <w:p>
            <w:pPr>
              <w:pStyle w:val="12"/>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9、冀财预[2025]35号中央提前下达2026年革命老区转移支付预算（槐树镇小彭村、相邱村村内道路改造项目）绩效目标表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13018326P000099100107</w:t>
            </w:r>
          </w:p>
        </w:tc>
        <w:tc>
          <w:tcPr>
            <w:tcW w:w="2835" w:type="dxa"/>
            <w:vAlign w:val="center"/>
          </w:tcPr>
          <w:p>
            <w:pPr>
              <w:pStyle w:val="10"/>
            </w:pPr>
            <w:r>
              <w:t>项目名称</w:t>
            </w:r>
          </w:p>
        </w:tc>
        <w:tc>
          <w:tcPr>
            <w:tcW w:w="6095" w:type="dxa"/>
            <w:gridSpan w:val="3"/>
            <w:vAlign w:val="center"/>
          </w:tcPr>
          <w:p>
            <w:pPr>
              <w:pStyle w:val="12"/>
            </w:pPr>
            <w:r>
              <w:t>冀财预[2025]35号中央提前下达2026年革命老区转移支付预算（槐树镇小彭村、相邱村村内道路改造项目）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用于修建道路，改善交通条件，加强农村基础设施建设。</w:t>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1.提高了农村基础设施建设水平，为村民出行提供了便利条件，促进革命老区各项社会事业发展。</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修建道路工程量</w:t>
            </w:r>
          </w:p>
        </w:tc>
        <w:tc>
          <w:tcPr>
            <w:tcW w:w="5386" w:type="dxa"/>
            <w:vAlign w:val="center"/>
          </w:tcPr>
          <w:p>
            <w:pPr>
              <w:pStyle w:val="12"/>
            </w:pPr>
            <w:r>
              <w:t>修建道路工程量</w:t>
            </w:r>
          </w:p>
        </w:tc>
        <w:tc>
          <w:tcPr>
            <w:tcW w:w="2268" w:type="dxa"/>
            <w:vAlign w:val="center"/>
          </w:tcPr>
          <w:p>
            <w:pPr>
              <w:pStyle w:val="12"/>
            </w:pPr>
            <w:r>
              <w:t>22410平方米</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修建道路工程质量验收合格率</w:t>
            </w:r>
          </w:p>
        </w:tc>
        <w:tc>
          <w:tcPr>
            <w:tcW w:w="5386" w:type="dxa"/>
            <w:vAlign w:val="center"/>
          </w:tcPr>
          <w:p>
            <w:pPr>
              <w:pStyle w:val="12"/>
            </w:pPr>
            <w:r>
              <w:t>修建道路工程质量验收合格率</w:t>
            </w:r>
          </w:p>
        </w:tc>
        <w:tc>
          <w:tcPr>
            <w:tcW w:w="2268" w:type="dxa"/>
            <w:vAlign w:val="center"/>
          </w:tcPr>
          <w:p>
            <w:pPr>
              <w:pStyle w:val="12"/>
            </w:pPr>
            <w:r>
              <w:t>≥95%</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按期完成的工程量占总工程量的比率</w:t>
            </w:r>
          </w:p>
        </w:tc>
        <w:tc>
          <w:tcPr>
            <w:tcW w:w="2268" w:type="dxa"/>
            <w:vAlign w:val="center"/>
          </w:tcPr>
          <w:p>
            <w:pPr>
              <w:pStyle w:val="12"/>
            </w:pPr>
            <w:r>
              <w:t>≥95%</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120万元</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农村面貌改造提升，群众便于出行</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13018326P00032810331D</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32.12</w:t>
            </w:r>
          </w:p>
        </w:tc>
        <w:tc>
          <w:tcPr>
            <w:tcW w:w="2835" w:type="dxa"/>
            <w:vAlign w:val="center"/>
          </w:tcPr>
          <w:p>
            <w:pPr>
              <w:pStyle w:val="10"/>
            </w:pPr>
            <w:r>
              <w:t>其中：财政    资金</w:t>
            </w:r>
          </w:p>
        </w:tc>
        <w:tc>
          <w:tcPr>
            <w:tcW w:w="2551" w:type="dxa"/>
            <w:vAlign w:val="center"/>
          </w:tcPr>
          <w:p>
            <w:pPr>
              <w:pStyle w:val="12"/>
            </w:pPr>
            <w:r>
              <w:t>32.12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用于发放退役涉军人员生活补助，减少信访事件发生。</w:t>
            </w:r>
            <w:r>
              <w:tab/>
            </w:r>
            <w:r>
              <w:tab/>
            </w:r>
            <w:r>
              <w:tab/>
            </w:r>
            <w:r>
              <w:tab/>
            </w:r>
            <w:r>
              <w:tab/>
            </w:r>
          </w:p>
          <w:p>
            <w:pPr>
              <w:pStyle w:val="12"/>
            </w:pP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1.及时发放退役人员相关费用，维护社会稳定，保障退役人员相关工作顺利开展。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12人</w:t>
            </w:r>
          </w:p>
        </w:tc>
        <w:tc>
          <w:tcPr>
            <w:tcW w:w="1276" w:type="dxa"/>
            <w:vAlign w:val="center"/>
          </w:tcPr>
          <w:p>
            <w:pPr>
              <w:pStyle w:val="12"/>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≥95%</w:t>
            </w:r>
          </w:p>
        </w:tc>
        <w:tc>
          <w:tcPr>
            <w:tcW w:w="1276" w:type="dxa"/>
            <w:vAlign w:val="center"/>
          </w:tcPr>
          <w:p>
            <w:pPr>
              <w:pStyle w:val="12"/>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项目预算成本数</w:t>
            </w:r>
          </w:p>
        </w:tc>
        <w:tc>
          <w:tcPr>
            <w:tcW w:w="5386" w:type="dxa"/>
            <w:vAlign w:val="center"/>
          </w:tcPr>
          <w:p>
            <w:pPr>
              <w:pStyle w:val="12"/>
            </w:pPr>
            <w:r>
              <w:t>项目预算成本数</w:t>
            </w:r>
          </w:p>
        </w:tc>
        <w:tc>
          <w:tcPr>
            <w:tcW w:w="2268" w:type="dxa"/>
            <w:vAlign w:val="center"/>
          </w:tcPr>
          <w:p>
            <w:pPr>
              <w:pStyle w:val="12"/>
            </w:pPr>
            <w:r>
              <w:t>32.12万元</w:t>
            </w:r>
          </w:p>
        </w:tc>
        <w:tc>
          <w:tcPr>
            <w:tcW w:w="1276" w:type="dxa"/>
            <w:vAlign w:val="center"/>
          </w:tcPr>
          <w:p>
            <w:pPr>
              <w:pStyle w:val="12"/>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维护社会稳定，稳步推进各项工作</w:t>
            </w:r>
          </w:p>
        </w:tc>
        <w:tc>
          <w:tcPr>
            <w:tcW w:w="2268" w:type="dxa"/>
            <w:vAlign w:val="center"/>
          </w:tcPr>
          <w:p>
            <w:pPr>
              <w:pStyle w:val="12"/>
            </w:pPr>
            <w:r>
              <w:t>维护社会稳定，稳步推进各项工作</w:t>
            </w:r>
          </w:p>
          <w:p>
            <w:pPr>
              <w:pStyle w:val="12"/>
            </w:pPr>
          </w:p>
        </w:tc>
        <w:tc>
          <w:tcPr>
            <w:tcW w:w="1276" w:type="dxa"/>
            <w:vAlign w:val="center"/>
          </w:tcPr>
          <w:p>
            <w:pPr>
              <w:pStyle w:val="12"/>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13018326P00032810335U</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40.51</w:t>
            </w:r>
          </w:p>
        </w:tc>
        <w:tc>
          <w:tcPr>
            <w:tcW w:w="2835" w:type="dxa"/>
            <w:vAlign w:val="center"/>
          </w:tcPr>
          <w:p>
            <w:pPr>
              <w:pStyle w:val="10"/>
            </w:pPr>
            <w:r>
              <w:t>其中：财政    资金</w:t>
            </w:r>
          </w:p>
        </w:tc>
        <w:tc>
          <w:tcPr>
            <w:tcW w:w="2551" w:type="dxa"/>
            <w:vAlign w:val="center"/>
          </w:tcPr>
          <w:p>
            <w:pPr>
              <w:pStyle w:val="12"/>
            </w:pPr>
            <w:r>
              <w:t>40.51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用于解决信访问题、突发事件等相关工作。</w:t>
            </w:r>
          </w:p>
          <w:p>
            <w:pPr>
              <w:pStyle w:val="12"/>
            </w:pP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1.有利于信访维稳相关工作顺利开展，保障机关工作正常运行，维护社会稳定。</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矛盾纠纷每月排查次数</w:t>
            </w:r>
          </w:p>
        </w:tc>
        <w:tc>
          <w:tcPr>
            <w:tcW w:w="5386" w:type="dxa"/>
            <w:vAlign w:val="center"/>
          </w:tcPr>
          <w:p>
            <w:pPr>
              <w:pStyle w:val="12"/>
            </w:pPr>
            <w:r>
              <w:t>矛盾纠纷每月排查次数</w:t>
            </w:r>
          </w:p>
        </w:tc>
        <w:tc>
          <w:tcPr>
            <w:tcW w:w="2268" w:type="dxa"/>
            <w:vAlign w:val="center"/>
          </w:tcPr>
          <w:p>
            <w:pPr>
              <w:pStyle w:val="12"/>
            </w:pPr>
            <w:r>
              <w:t>2次</w:t>
            </w:r>
          </w:p>
        </w:tc>
        <w:tc>
          <w:tcPr>
            <w:tcW w:w="1276" w:type="dxa"/>
            <w:vAlign w:val="center"/>
          </w:tcPr>
          <w:p>
            <w:pPr>
              <w:pStyle w:val="12"/>
            </w:pPr>
            <w:r>
              <w:t>《晋州市乡镇财政管理体制调整方案》</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信访事项按期完成率</w:t>
            </w:r>
          </w:p>
        </w:tc>
        <w:tc>
          <w:tcPr>
            <w:tcW w:w="5386" w:type="dxa"/>
            <w:vAlign w:val="center"/>
          </w:tcPr>
          <w:p>
            <w:pPr>
              <w:pStyle w:val="12"/>
            </w:pPr>
            <w:r>
              <w:t>信访事项按期完成率</w:t>
            </w:r>
          </w:p>
        </w:tc>
        <w:tc>
          <w:tcPr>
            <w:tcW w:w="2268" w:type="dxa"/>
            <w:vAlign w:val="center"/>
          </w:tcPr>
          <w:p>
            <w:pPr>
              <w:pStyle w:val="12"/>
            </w:pPr>
            <w:r>
              <w:t>≥95%</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信访事项受理及时率</w:t>
            </w:r>
          </w:p>
        </w:tc>
        <w:tc>
          <w:tcPr>
            <w:tcW w:w="5386" w:type="dxa"/>
            <w:vAlign w:val="center"/>
          </w:tcPr>
          <w:p>
            <w:pPr>
              <w:pStyle w:val="12"/>
            </w:pPr>
            <w:r>
              <w:t>信访事项受理及时率</w:t>
            </w:r>
          </w:p>
        </w:tc>
        <w:tc>
          <w:tcPr>
            <w:tcW w:w="2268" w:type="dxa"/>
            <w:vAlign w:val="center"/>
          </w:tcPr>
          <w:p>
            <w:pPr>
              <w:pStyle w:val="12"/>
            </w:pPr>
            <w:r>
              <w:t>≥95%</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40.51万元</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12、武装工作专项经费绩效目标表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13018326P000328103373</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用于征兵宣传、活动开展、民兵训练等所需支出。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1.推动征兵、民兵训练等工作顺利开展，保障武装部工作正常运行、维护社会稳定。</w:t>
            </w:r>
            <w:r>
              <w:tab/>
            </w:r>
            <w:r>
              <w:tab/>
            </w:r>
            <w:r>
              <w:tab/>
            </w:r>
            <w:r>
              <w:tab/>
            </w:r>
          </w:p>
          <w:p>
            <w:pPr>
              <w:pStyle w:val="12"/>
            </w:pP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武装征兵宣传次数</w:t>
            </w:r>
          </w:p>
        </w:tc>
        <w:tc>
          <w:tcPr>
            <w:tcW w:w="5386" w:type="dxa"/>
            <w:vAlign w:val="center"/>
          </w:tcPr>
          <w:p>
            <w:pPr>
              <w:pStyle w:val="12"/>
            </w:pPr>
            <w:r>
              <w:t>武装征兵宣传次数</w:t>
            </w:r>
          </w:p>
        </w:tc>
        <w:tc>
          <w:tcPr>
            <w:tcW w:w="2268" w:type="dxa"/>
            <w:vAlign w:val="center"/>
          </w:tcPr>
          <w:p>
            <w:pPr>
              <w:pStyle w:val="12"/>
            </w:pPr>
            <w:r>
              <w:t>4次</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民兵活动完成率</w:t>
            </w:r>
          </w:p>
        </w:tc>
        <w:tc>
          <w:tcPr>
            <w:tcW w:w="5386" w:type="dxa"/>
            <w:vAlign w:val="center"/>
          </w:tcPr>
          <w:p>
            <w:pPr>
              <w:pStyle w:val="12"/>
            </w:pPr>
            <w:r>
              <w:t>民兵活动完成率</w:t>
            </w:r>
          </w:p>
        </w:tc>
        <w:tc>
          <w:tcPr>
            <w:tcW w:w="2268" w:type="dxa"/>
            <w:vAlign w:val="center"/>
          </w:tcPr>
          <w:p>
            <w:pPr>
              <w:pStyle w:val="12"/>
            </w:pPr>
            <w:r>
              <w:t>≥95%</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≥95%</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3万元</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维护基层社会稳定，各项工作正常运行</w:t>
            </w:r>
          </w:p>
        </w:tc>
        <w:tc>
          <w:tcPr>
            <w:tcW w:w="5386" w:type="dxa"/>
            <w:vAlign w:val="center"/>
          </w:tcPr>
          <w:p>
            <w:pPr>
              <w:pStyle w:val="12"/>
            </w:pPr>
            <w:r>
              <w:t>维护基层社会稳定，各项工作正常运行</w:t>
            </w:r>
          </w:p>
        </w:tc>
        <w:tc>
          <w:tcPr>
            <w:tcW w:w="2268" w:type="dxa"/>
            <w:vAlign w:val="center"/>
          </w:tcPr>
          <w:p>
            <w:pPr>
              <w:pStyle w:val="12"/>
            </w:pPr>
            <w:r>
              <w:t>基层武装工作正常运转</w:t>
            </w:r>
          </w:p>
        </w:tc>
        <w:tc>
          <w:tcPr>
            <w:tcW w:w="1276" w:type="dxa"/>
            <w:vAlign w:val="center"/>
          </w:tcPr>
          <w:p>
            <w:pPr>
              <w:pStyle w:val="12"/>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13、滹沱河生态修复二期工程开发利用土地奖补和土地使用流转费绩效目标表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13018326P000328103225</w:t>
            </w:r>
          </w:p>
        </w:tc>
        <w:tc>
          <w:tcPr>
            <w:tcW w:w="2835" w:type="dxa"/>
            <w:vAlign w:val="center"/>
          </w:tcPr>
          <w:p>
            <w:pPr>
              <w:pStyle w:val="10"/>
            </w:pPr>
            <w:r>
              <w:t>项目名称</w:t>
            </w:r>
          </w:p>
        </w:tc>
        <w:tc>
          <w:tcPr>
            <w:tcW w:w="6095" w:type="dxa"/>
            <w:gridSpan w:val="3"/>
            <w:vAlign w:val="center"/>
          </w:tcPr>
          <w:p>
            <w:pPr>
              <w:pStyle w:val="12"/>
            </w:pPr>
            <w:r>
              <w:t>滹沱河生态修复二期工程开发利用土地奖补和土地使用流转费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373.49</w:t>
            </w:r>
          </w:p>
        </w:tc>
        <w:tc>
          <w:tcPr>
            <w:tcW w:w="2835" w:type="dxa"/>
            <w:vAlign w:val="center"/>
          </w:tcPr>
          <w:p>
            <w:pPr>
              <w:pStyle w:val="10"/>
            </w:pPr>
            <w:r>
              <w:t>其中：财政    资金</w:t>
            </w:r>
          </w:p>
        </w:tc>
        <w:tc>
          <w:tcPr>
            <w:tcW w:w="2551" w:type="dxa"/>
            <w:vAlign w:val="center"/>
          </w:tcPr>
          <w:p>
            <w:pPr>
              <w:pStyle w:val="12"/>
            </w:pPr>
            <w:r>
              <w:t>373.49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用于发放滹沱河生态修复二期工程占地相关款项。</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1.有利于生态环境改善，改善农村人居环境，确保租金按时发放，维护社会和谐稳定。</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项目涉及承包地亩数</w:t>
            </w:r>
          </w:p>
        </w:tc>
        <w:tc>
          <w:tcPr>
            <w:tcW w:w="5386" w:type="dxa"/>
            <w:vAlign w:val="center"/>
          </w:tcPr>
          <w:p>
            <w:pPr>
              <w:pStyle w:val="12"/>
            </w:pPr>
            <w:r>
              <w:t>项目涉及承包地亩数</w:t>
            </w:r>
          </w:p>
        </w:tc>
        <w:tc>
          <w:tcPr>
            <w:tcW w:w="2268" w:type="dxa"/>
            <w:vAlign w:val="center"/>
          </w:tcPr>
          <w:p>
            <w:pPr>
              <w:pStyle w:val="12"/>
            </w:pPr>
            <w:r>
              <w:t>5513.09亩</w:t>
            </w:r>
          </w:p>
        </w:tc>
        <w:tc>
          <w:tcPr>
            <w:tcW w:w="1276" w:type="dxa"/>
            <w:vAlign w:val="center"/>
          </w:tcPr>
          <w:p>
            <w:pPr>
              <w:pStyle w:val="12"/>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租户补助发放覆盖率</w:t>
            </w:r>
          </w:p>
        </w:tc>
        <w:tc>
          <w:tcPr>
            <w:tcW w:w="5386" w:type="dxa"/>
            <w:vAlign w:val="center"/>
          </w:tcPr>
          <w:p>
            <w:pPr>
              <w:pStyle w:val="12"/>
            </w:pPr>
            <w:r>
              <w:t>租户补助发放覆盖率</w:t>
            </w:r>
          </w:p>
        </w:tc>
        <w:tc>
          <w:tcPr>
            <w:tcW w:w="2268" w:type="dxa"/>
            <w:vAlign w:val="center"/>
          </w:tcPr>
          <w:p>
            <w:pPr>
              <w:pStyle w:val="12"/>
            </w:pPr>
            <w:r>
              <w:t>≥99%</w:t>
            </w:r>
          </w:p>
        </w:tc>
        <w:tc>
          <w:tcPr>
            <w:tcW w:w="1276" w:type="dxa"/>
            <w:vAlign w:val="center"/>
          </w:tcPr>
          <w:p>
            <w:pPr>
              <w:pStyle w:val="12"/>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占地租金发放及时率</w:t>
            </w:r>
          </w:p>
        </w:tc>
        <w:tc>
          <w:tcPr>
            <w:tcW w:w="5386" w:type="dxa"/>
            <w:vAlign w:val="center"/>
          </w:tcPr>
          <w:p>
            <w:pPr>
              <w:pStyle w:val="12"/>
            </w:pPr>
            <w:r>
              <w:t>占地租金发放及时率</w:t>
            </w:r>
          </w:p>
        </w:tc>
        <w:tc>
          <w:tcPr>
            <w:tcW w:w="2268" w:type="dxa"/>
            <w:vAlign w:val="center"/>
          </w:tcPr>
          <w:p>
            <w:pPr>
              <w:pStyle w:val="12"/>
            </w:pPr>
            <w:r>
              <w:t>≥99%</w:t>
            </w:r>
          </w:p>
        </w:tc>
        <w:tc>
          <w:tcPr>
            <w:tcW w:w="1276" w:type="dxa"/>
            <w:vAlign w:val="center"/>
          </w:tcPr>
          <w:p>
            <w:pPr>
              <w:pStyle w:val="12"/>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该项目所需资金</w:t>
            </w:r>
          </w:p>
        </w:tc>
        <w:tc>
          <w:tcPr>
            <w:tcW w:w="5386" w:type="dxa"/>
            <w:vAlign w:val="center"/>
          </w:tcPr>
          <w:p>
            <w:pPr>
              <w:pStyle w:val="12"/>
            </w:pPr>
            <w:r>
              <w:t>该项目所需资金</w:t>
            </w:r>
          </w:p>
        </w:tc>
        <w:tc>
          <w:tcPr>
            <w:tcW w:w="2268" w:type="dxa"/>
            <w:vAlign w:val="center"/>
          </w:tcPr>
          <w:p>
            <w:pPr>
              <w:pStyle w:val="12"/>
            </w:pPr>
            <w:r>
              <w:t>373.49万元</w:t>
            </w:r>
          </w:p>
        </w:tc>
        <w:tc>
          <w:tcPr>
            <w:tcW w:w="1276" w:type="dxa"/>
            <w:vAlign w:val="center"/>
          </w:tcPr>
          <w:p>
            <w:pPr>
              <w:pStyle w:val="12"/>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租金发放到位，老百姓满意，社会安定</w:t>
            </w:r>
          </w:p>
        </w:tc>
        <w:tc>
          <w:tcPr>
            <w:tcW w:w="5386" w:type="dxa"/>
            <w:vAlign w:val="center"/>
          </w:tcPr>
          <w:p>
            <w:pPr>
              <w:pStyle w:val="12"/>
            </w:pPr>
            <w:r>
              <w:t>租金发放到位，老百姓满意，社会安定</w:t>
            </w:r>
          </w:p>
        </w:tc>
        <w:tc>
          <w:tcPr>
            <w:tcW w:w="2268" w:type="dxa"/>
            <w:vAlign w:val="center"/>
          </w:tcPr>
          <w:p>
            <w:pPr>
              <w:pStyle w:val="12"/>
            </w:pPr>
            <w:r>
              <w:t>租金发放到位，老百姓满意，社会安定</w:t>
            </w:r>
          </w:p>
          <w:p>
            <w:pPr>
              <w:pStyle w:val="12"/>
            </w:pPr>
          </w:p>
        </w:tc>
        <w:tc>
          <w:tcPr>
            <w:tcW w:w="1276" w:type="dxa"/>
            <w:vAlign w:val="center"/>
          </w:tcPr>
          <w:p>
            <w:pPr>
              <w:pStyle w:val="12"/>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242.04</w:t>
            </w:r>
          </w:p>
        </w:tc>
        <w:tc>
          <w:tcPr>
            <w:tcW w:w="964" w:type="dxa"/>
            <w:vAlign w:val="center"/>
          </w:tcPr>
          <w:p>
            <w:pPr>
              <w:pStyle w:val="15"/>
            </w:pPr>
            <w:r>
              <w:t>242.04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晋州市槐树镇人民政府本级小计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242.04</w:t>
            </w:r>
          </w:p>
        </w:tc>
        <w:tc>
          <w:tcPr>
            <w:tcW w:w="964" w:type="dxa"/>
            <w:vAlign w:val="center"/>
          </w:tcPr>
          <w:p>
            <w:pPr>
              <w:pStyle w:val="15"/>
            </w:pPr>
            <w:r>
              <w:t>242.04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85.30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85.30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85.30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65</w:t>
            </w:r>
          </w:p>
        </w:tc>
        <w:tc>
          <w:tcPr>
            <w:tcW w:w="850" w:type="dxa"/>
            <w:vAlign w:val="center"/>
          </w:tcPr>
          <w:p>
            <w:pPr>
              <w:pStyle w:val="11"/>
            </w:pPr>
            <w:r>
              <w:t>0.02</w:t>
            </w:r>
          </w:p>
        </w:tc>
        <w:tc>
          <w:tcPr>
            <w:tcW w:w="964" w:type="dxa"/>
            <w:vAlign w:val="center"/>
          </w:tcPr>
          <w:p>
            <w:pPr>
              <w:pStyle w:val="11"/>
            </w:pPr>
            <w:r>
              <w:t>1.04</w:t>
            </w:r>
          </w:p>
        </w:tc>
        <w:tc>
          <w:tcPr>
            <w:tcW w:w="964" w:type="dxa"/>
            <w:vAlign w:val="center"/>
          </w:tcPr>
          <w:p>
            <w:pPr>
              <w:pStyle w:val="11"/>
            </w:pPr>
            <w:r>
              <w:t>1.04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冀财农[2025]103号提前下达2026年中央农村综合改革转移支付资金（槐树镇候城村）</w:t>
            </w:r>
          </w:p>
        </w:tc>
        <w:tc>
          <w:tcPr>
            <w:tcW w:w="964" w:type="dxa"/>
            <w:vAlign w:val="center"/>
          </w:tcPr>
          <w:p>
            <w:pPr>
              <w:pStyle w:val="11"/>
            </w:pPr>
            <w:r>
              <w:t>120.00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120.00</w:t>
            </w:r>
          </w:p>
        </w:tc>
        <w:tc>
          <w:tcPr>
            <w:tcW w:w="964" w:type="dxa"/>
            <w:vAlign w:val="center"/>
          </w:tcPr>
          <w:p>
            <w:pPr>
              <w:pStyle w:val="11"/>
            </w:pPr>
            <w:r>
              <w:t>120.00</w:t>
            </w:r>
          </w:p>
        </w:tc>
        <w:tc>
          <w:tcPr>
            <w:tcW w:w="964" w:type="dxa"/>
            <w:vAlign w:val="center"/>
          </w:tcPr>
          <w:p>
            <w:pPr>
              <w:pStyle w:val="11"/>
            </w:pPr>
            <w:r>
              <w:t>120.00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冀财预[2025]35号中央提前下达2026年革命老区转移支付预算（槐树镇小彭村、相邱村村内道路改造项目）</w:t>
            </w:r>
          </w:p>
        </w:tc>
        <w:tc>
          <w:tcPr>
            <w:tcW w:w="964" w:type="dxa"/>
            <w:vAlign w:val="center"/>
          </w:tcPr>
          <w:p>
            <w:pPr>
              <w:pStyle w:val="11"/>
            </w:pPr>
            <w:r>
              <w:t>120.00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120.00</w:t>
            </w:r>
          </w:p>
        </w:tc>
        <w:tc>
          <w:tcPr>
            <w:tcW w:w="964" w:type="dxa"/>
            <w:vAlign w:val="center"/>
          </w:tcPr>
          <w:p>
            <w:pPr>
              <w:pStyle w:val="11"/>
            </w:pPr>
            <w:r>
              <w:t>120.00</w:t>
            </w:r>
          </w:p>
        </w:tc>
        <w:tc>
          <w:tcPr>
            <w:tcW w:w="964" w:type="dxa"/>
            <w:vAlign w:val="center"/>
          </w:tcPr>
          <w:p>
            <w:pPr>
              <w:pStyle w:val="11"/>
            </w:pPr>
            <w:r>
              <w:t>120.00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晋州市槐树镇人民政府本级上年末固定资产金额为318.08万元（详见下表）。本年度拟购置固定资产总额为0.00万元，已按要求列入政府采购预算，详见政府采购预算表。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911001晋州市槐树镇人民政府本级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1794.16</w:t>
            </w:r>
          </w:p>
        </w:tc>
        <w:tc>
          <w:tcPr>
            <w:tcW w:w="2835" w:type="dxa"/>
            <w:vAlign w:val="center"/>
          </w:tcPr>
          <w:p>
            <w:pPr>
              <w:pStyle w:val="11"/>
            </w:pPr>
            <w:r>
              <w:t>120.55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1568.20</w:t>
            </w:r>
          </w:p>
        </w:tc>
        <w:tc>
          <w:tcPr>
            <w:tcW w:w="2835" w:type="dxa"/>
            <w:vAlign w:val="center"/>
          </w:tcPr>
          <w:p>
            <w:pPr>
              <w:pStyle w:val="11"/>
            </w:pPr>
            <w:r>
              <w:t>100.55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838</w:t>
            </w:r>
          </w:p>
        </w:tc>
        <w:tc>
          <w:tcPr>
            <w:tcW w:w="2835" w:type="dxa"/>
            <w:vAlign w:val="center"/>
          </w:tcPr>
          <w:p>
            <w:pPr>
              <w:pStyle w:val="11"/>
            </w:pPr>
            <w:r>
              <w:t>171.21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B5837A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52</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2026-03-02T15:35:00Z</dcterms:created>
  <dc:creator>Administrator</dc:creator>
  <cp:lastModifiedBy>Administrator</cp:lastModifiedBy>
  <dcterms:modified xsi:type="dcterms:W3CDTF">2026-03-04T02:19:03Z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