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36"/>
          <w:szCs w:val="36"/>
          <w:lang w:val="en-US" w:eastAsia="zh-CN"/>
        </w:rPr>
      </w:pPr>
      <w:r>
        <w:rPr>
          <w:rFonts w:hint="eastAsia"/>
          <w:sz w:val="36"/>
          <w:szCs w:val="36"/>
          <w:lang w:val="en-US" w:eastAsia="zh-CN"/>
        </w:rPr>
        <w:t>关于晋州市爱委会预算公开的说明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爱委会2026年预算不再单独编制，预算信息不再公开，特此说明。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Y3YjZkMTg3NmI4ZmE3ZTU2Y2RiZjgzYTc3Nzc4YjUifQ=="/>
  </w:docVars>
  <w:rsids>
    <w:rsidRoot w:val="00000000"/>
    <w:rsid w:val="16033BA1"/>
    <w:rsid w:val="254F1C73"/>
    <w:rsid w:val="643C3A05"/>
    <w:rsid w:val="71DF408E"/>
    <w:rsid w:val="7D082B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2026-03-06T01:10:10Z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  <property fmtid="{D5CDD505-2E9C-101B-9397-08002B2CF9AE}" pid="3" name="ICV">
    <vt:lpwstr>E70F09D0FB164FD58F8C9F1D6BBF8B18</vt:lpwstr>
  </property>
</Properties>
</file>