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2794B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Times New Roman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Times New Roman"/>
          <w:sz w:val="44"/>
          <w:szCs w:val="44"/>
          <w:lang w:eastAsia="zh-CN"/>
        </w:rPr>
        <w:t>晋州市应急管理局</w:t>
      </w:r>
    </w:p>
    <w:p w14:paraId="5A5957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Times New Roman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Times New Roman"/>
          <w:sz w:val="44"/>
          <w:szCs w:val="44"/>
          <w:lang w:eastAsia="zh-CN"/>
        </w:rPr>
        <w:t>“双随机、一公开”监管工作实施方案</w:t>
      </w:r>
    </w:p>
    <w:p w14:paraId="7B694A9E">
      <w:pPr>
        <w:rPr>
          <w:rFonts w:hint="eastAsia"/>
        </w:rPr>
      </w:pPr>
    </w:p>
    <w:p w14:paraId="343795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深入贯彻落实国务院、省委省政府和市委市政府关于深化“放管服”改革、优化营商环境部署要求，持续强化“双随机、一公开”监管，提升监管效能，根据《国务院关于在市场监管领域全面推行部门联合“双随机、一公开”监管的意见》（国发〔2019〕5号）、《国务院办公厅关于严格规范涉企行政检查的意见》（国办发〔2024〕54号）、《市场监管总局关于全面深化“双随机、一公开”监管规范涉企行政检查服务高质量发展的意见》（国市监信规〔2024〕5号）、《2026年河北省“双随机、一公开”监管工作实施方案》及《晋州市规范涉企行政检查管理办法（试行）的通知》等文件要求，结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我局工作实际</w:t>
      </w:r>
      <w:r>
        <w:rPr>
          <w:rFonts w:hint="eastAsia" w:ascii="仿宋_GB2312" w:hAnsi="仿宋_GB2312" w:eastAsia="仿宋_GB2312" w:cs="仿宋_GB2312"/>
          <w:sz w:val="32"/>
          <w:szCs w:val="32"/>
        </w:rPr>
        <w:t>，制定本方案。</w:t>
      </w:r>
    </w:p>
    <w:p w14:paraId="437B3E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一</w:t>
      </w:r>
      <w:r>
        <w:rPr>
          <w:rFonts w:hint="eastAsia" w:ascii="黑体" w:hAnsi="黑体" w:eastAsia="黑体" w:cs="黑体"/>
          <w:sz w:val="32"/>
          <w:szCs w:val="32"/>
        </w:rPr>
        <w:t>、工作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思路及</w:t>
      </w:r>
      <w:r>
        <w:rPr>
          <w:rFonts w:hint="eastAsia" w:ascii="黑体" w:hAnsi="黑体" w:eastAsia="黑体" w:cs="黑体"/>
          <w:sz w:val="32"/>
          <w:szCs w:val="32"/>
        </w:rPr>
        <w:t>目标</w:t>
      </w:r>
    </w:p>
    <w:p w14:paraId="433BFC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（一）建立健全覆盖晋州市应急管理领域监管事项的“一单两库一细则”（即：随机抽查事项清单、检查对象名录库、执法检查人员名录库、随机抽查工作细则）。</w:t>
      </w:r>
    </w:p>
    <w:p w14:paraId="47EED5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（二）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实现“双随机、一公开”监管全覆盖、常态化。</w:t>
      </w:r>
    </w:p>
    <w:p w14:paraId="4BEA39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（三）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推动跨部门联合抽查，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信用赋能，</w:t>
      </w:r>
      <w:r>
        <w:rPr>
          <w:rFonts w:hint="eastAsia" w:ascii="仿宋_GB2312" w:hAnsi="仿宋_GB2312" w:eastAsia="仿宋_GB2312" w:cs="仿宋_GB2312"/>
          <w:sz w:val="32"/>
          <w:szCs w:val="32"/>
        </w:rPr>
        <w:t>减少对企业正常经营的干扰。</w:t>
      </w:r>
    </w:p>
    <w:p w14:paraId="77836A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（四）完善工作流程，规范抽查行为，实现抽查工作的闭环管理。</w:t>
      </w:r>
    </w:p>
    <w:p w14:paraId="52C4BE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二、主要工作任务</w:t>
      </w:r>
    </w:p>
    <w:p w14:paraId="74AB78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动态维护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“一单两库一细则”</w:t>
      </w:r>
    </w:p>
    <w:p w14:paraId="21775F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完善</w:t>
      </w:r>
      <w:r>
        <w:rPr>
          <w:rFonts w:hint="eastAsia" w:ascii="仿宋_GB2312" w:hAnsi="仿宋_GB2312" w:eastAsia="仿宋_GB2312" w:cs="仿宋_GB2312"/>
          <w:sz w:val="32"/>
          <w:szCs w:val="32"/>
        </w:rPr>
        <w:t>随机抽查事项清单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依据《安全生产法》《危险化学品安全管理条例》等法律法规，梳理本级应急管理部门权责范围内的监管事项，明确抽查依据、主体、内容、方式、比例和频次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；完善</w:t>
      </w:r>
      <w:r>
        <w:rPr>
          <w:rFonts w:hint="eastAsia" w:ascii="仿宋_GB2312" w:hAnsi="仿宋_GB2312" w:eastAsia="仿宋_GB2312" w:cs="仿宋_GB2312"/>
          <w:sz w:val="32"/>
          <w:szCs w:val="32"/>
        </w:rPr>
        <w:t>检查对象名录库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涵盖辖区内所有纳入监管范围的生产经营单位，按行业、风险等级分类建库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；以市司法局执法人员数据库为基础，实际在岗监管执法人员为主，动态调整</w:t>
      </w:r>
      <w:r>
        <w:rPr>
          <w:rFonts w:hint="eastAsia" w:ascii="仿宋_GB2312" w:hAnsi="仿宋_GB2312" w:eastAsia="仿宋_GB2312" w:cs="仿宋_GB2312"/>
          <w:sz w:val="32"/>
          <w:szCs w:val="32"/>
        </w:rPr>
        <w:t>执法检查人员名录库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包括具备执法资格的在编在岗人员，必要时可吸纳专家参与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</w:rPr>
        <w:t>随机抽查工作细则：明确抽查程序、匹配规则、检查标准、结果处理及信息公开要求。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  <w:lang w:eastAsia="zh-CN"/>
        </w:rPr>
        <w:t>（牵头股室：政策法规股，责任股室：安全生产监督管理股，自然灾害防御股、应急管理综合行政执法大队）</w:t>
      </w:r>
    </w:p>
    <w:p w14:paraId="13EE62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（二）科学组织实施抽查</w:t>
      </w:r>
    </w:p>
    <w:p w14:paraId="624BD8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全面推行“一业一查”部门联合抽查模式，进一步完善部门联合抽查工作机制，加强部门间的协调联动，全面推行“一业一查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”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部门联合抽查模式。</w:t>
      </w:r>
      <w:r>
        <w:rPr>
          <w:rFonts w:hint="eastAsia" w:ascii="仿宋_GB2312" w:hAnsi="仿宋_GB2312" w:eastAsia="仿宋_GB2312" w:cs="仿宋_GB2312"/>
          <w:sz w:val="32"/>
          <w:szCs w:val="32"/>
        </w:rPr>
        <w:t>合理确定抽查比例和频次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对高危行业提高抽查比例；对信用良好、风险较低的企业可适当降低频次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</w:rPr>
        <w:t>随机抽取检查对象和执法人员，做到全程留痕、责任可溯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</w:rPr>
        <w:t>推行跨部门联合抽查，与市场监管等部门协同开展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b w:val="0"/>
          <w:bCs/>
          <w:kern w:val="0"/>
          <w:sz w:val="32"/>
          <w:szCs w:val="32"/>
          <w:lang w:val="en-US" w:eastAsia="zh-CN" w:bidi="ar"/>
        </w:rPr>
        <w:t>组织实施随机抽查时，要在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  <w:lang w:val="en-US" w:eastAsia="zh-CN"/>
        </w:rPr>
        <w:t>双随机监管工作平台上进行。“双随机、一公开”监管要实现“三无”，即“平台之外无抽查”、“清单之外无检查”、“后续处置无例外”。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  <w:lang w:eastAsia="zh-CN"/>
        </w:rPr>
        <w:t>（牵头股室：政策法规股，责任股室：安全生产监督管理股，自然灾害防御股、应急管理综合行政执法大队）</w:t>
      </w:r>
    </w:p>
    <w:p w14:paraId="1EC924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（三）强化结果运用与信息公开</w:t>
      </w:r>
    </w:p>
    <w:p w14:paraId="77C705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检查结果在检查结束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后及时</w:t>
      </w:r>
      <w:r>
        <w:rPr>
          <w:rFonts w:hint="eastAsia" w:ascii="仿宋_GB2312" w:hAnsi="仿宋_GB2312" w:eastAsia="仿宋_GB2312" w:cs="仿宋_GB2312"/>
          <w:sz w:val="32"/>
          <w:szCs w:val="32"/>
        </w:rPr>
        <w:t>录入“双随机、一公开”监管平台，并通过政府门户网站、信用中国等渠道向社会公开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；对问题企业实施“轻微免罚”清单管理；</w:t>
      </w:r>
      <w:r>
        <w:rPr>
          <w:rFonts w:hint="eastAsia" w:ascii="仿宋_GB2312" w:hAnsi="仿宋_GB2312" w:eastAsia="仿宋_GB2312" w:cs="仿宋_GB2312"/>
          <w:sz w:val="32"/>
          <w:szCs w:val="32"/>
        </w:rPr>
        <w:t>对发现的违法违规行为，依法依规处理；涉嫌犯罪的，及时移送司法机关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</w:rPr>
        <w:t>将抽查结果纳入企业信用记录，实施联合惩戒或激励。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  <w:lang w:eastAsia="zh-CN"/>
        </w:rPr>
        <w:t>（牵头股室：政策法规股，责任股室：安全生产监督管理股，自然灾害防御股、应急管理综合行政执法大队）</w:t>
      </w:r>
    </w:p>
    <w:p w14:paraId="68A51C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（四）加大宣传培训力度</w:t>
      </w:r>
    </w:p>
    <w:p w14:paraId="4FD297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/>
        </w:rPr>
      </w:pPr>
      <w:r>
        <w:rPr>
          <w:rFonts w:hint="eastAsia" w:ascii="仿宋_GB2312" w:hAnsi="仿宋_GB2312" w:eastAsia="仿宋_GB2312" w:cs="仿宋_GB2312"/>
          <w:b w:val="0"/>
          <w:bCs/>
          <w:kern w:val="0"/>
          <w:sz w:val="32"/>
          <w:szCs w:val="32"/>
          <w:lang w:val="en-US" w:eastAsia="zh-CN" w:bidi="ar"/>
        </w:rPr>
        <w:t>要加大对双随机抽查工作的宣传力度，通过政策解读、典型案例发布、企业培训等方式，向生产经营单位宣传“双随机、一公开”监管的意义、流程和要求，增强企业合规意识。</w:t>
      </w:r>
      <w:r>
        <w:rPr>
          <w:rFonts w:hint="eastAsia" w:ascii="仿宋_GB2312" w:hAnsi="仿宋_GB2312" w:eastAsia="仿宋_GB2312" w:cs="仿宋_GB2312"/>
          <w:snapToGrid w:val="0"/>
          <w:sz w:val="32"/>
          <w:szCs w:val="32"/>
        </w:rPr>
        <w:t>不断增强企业、社会对双随机抽查监管方式的认知度，</w:t>
      </w:r>
      <w:r>
        <w:rPr>
          <w:rFonts w:hint="eastAsia" w:ascii="仿宋_GB2312" w:hAnsi="仿宋_GB2312" w:eastAsia="仿宋_GB2312" w:cs="仿宋_GB2312"/>
          <w:sz w:val="32"/>
          <w:szCs w:val="32"/>
        </w:rPr>
        <w:t>提升“双随机、一公开”监管的社会影响力和公众知晓度，加快形成政府公正监管、企业诚信自律、社会公众监督的良好氛围。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加强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随机抽查工作培训，</w:t>
      </w:r>
      <w:r>
        <w:rPr>
          <w:rFonts w:hint="eastAsia" w:ascii="仿宋_GB2312" w:hAnsi="仿宋_GB2312" w:eastAsia="仿宋_GB2312" w:cs="仿宋_GB2312"/>
          <w:sz w:val="32"/>
          <w:szCs w:val="32"/>
        </w:rPr>
        <w:t>提高执法人员能力素质，满足联合抽查工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作</w:t>
      </w:r>
      <w:r>
        <w:rPr>
          <w:rFonts w:hint="eastAsia" w:ascii="仿宋_GB2312" w:hAnsi="仿宋_GB2312" w:eastAsia="仿宋_GB2312" w:cs="仿宋_GB2312"/>
          <w:sz w:val="32"/>
          <w:szCs w:val="32"/>
        </w:rPr>
        <w:t>需求，实现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抽查工作规范有序、抽查结果认定统一。</w:t>
      </w:r>
      <w:r>
        <w:rPr>
          <w:rFonts w:hint="eastAsia" w:ascii="仿宋_GB2312" w:hAnsi="仿宋_GB2312" w:eastAsia="仿宋_GB2312" w:cs="仿宋_GB2312"/>
          <w:sz w:val="32"/>
          <w:szCs w:val="32"/>
        </w:rPr>
        <w:t>及时总结推广先进经验和创新做法，树立监管公正、服务企业的良好形象，提升社会认可度和满意度。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  <w:lang w:eastAsia="zh-CN"/>
        </w:rPr>
        <w:t>（牵头股室：政策法规股，责任股室：安全生产监督管理股，自然灾害防御股、应急管理综合行政执法大队）</w:t>
      </w:r>
    </w:p>
    <w:p w14:paraId="1A253A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三、保障措施</w:t>
      </w:r>
    </w:p>
    <w:p w14:paraId="5F82D7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（一）加强组织领导</w:t>
      </w:r>
    </w:p>
    <w:p w14:paraId="63ED3D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成立由局主要领导牵头的工作专班，统筹推进实施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明确职责分工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</w:rPr>
        <w:t>法规科：负责统筹协调、制度建设、信息公开审核；各业务科室：负责本领域抽查事项清单制定、检查对象库维护、具体抽查任务执行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</w:rPr>
        <w:t>执法大队：负责组织实施现场检查、问题处置与执法闭环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1839F8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（二）强化能力建设，提升执法水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平</w:t>
      </w:r>
    </w:p>
    <w:p w14:paraId="7F427C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提升执法人员政策理解力和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实操能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力。</w:t>
      </w:r>
      <w:r>
        <w:rPr>
          <w:rFonts w:hint="eastAsia" w:ascii="仿宋_GB2312" w:hAnsi="仿宋_GB2312" w:eastAsia="仿宋_GB2312" w:cs="仿宋_GB2312"/>
          <w:sz w:val="32"/>
          <w:szCs w:val="32"/>
        </w:rPr>
        <w:t>开展专题培训定期组织执法人员学习《安全生产法》《行政处罚法》《“双随机、一公开”监管办法》等法律法规及操作平台使用方法，重点提升现场检查能力、证据固定能力和法律适用能力。推广标准化检查表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</w:rPr>
        <w:t>针对不同行业（如工贸、危化、矿山等）制定标准化、清单化的检查表，确保检查内容统一、尺度一致、记录规范。引入专家和技术支持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</w:rPr>
        <w:t>对专业性强、风险高的领域（如化工装置、有限空间作业等），可邀请第三方安全技术服务机构或行业专家参与抽查，提升检查的专业性和权威性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0F0311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（三）严格责任落实</w:t>
      </w:r>
    </w:p>
    <w:p w14:paraId="67D993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细化责任清单，实现闭环管理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对未按要求开展抽查、弄虚作假、泄露信息等行为严肃问责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制定《“双随机、一公开”监管工作责任清单》，将计划制定、对象抽取、任务派发、现场检查、结果录入、问题处置、信息公开等各环节责任具体到岗、到人，形成“任务—执行—反馈—归档—问责”全链条闭环。</w:t>
      </w:r>
    </w:p>
    <w:p w14:paraId="2E9278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（四）接受社会监督，确保公正透明</w:t>
      </w:r>
    </w:p>
    <w:p w14:paraId="4FAFE6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公布监督电话和邮箱，畅通公众反馈渠道。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</w:rPr>
        <w:t>要通过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  <w:lang w:eastAsia="zh-CN"/>
        </w:rPr>
        <w:t>局门户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</w:rPr>
        <w:t>网站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  <w:lang w:eastAsia="zh-CN"/>
        </w:rPr>
        <w:t>和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  <w:lang w:val="en-US" w:eastAsia="zh-CN"/>
        </w:rPr>
        <w:t>双随机监管工作平台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</w:rPr>
        <w:t>及时向社会公开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kern w:val="0"/>
          <w:sz w:val="32"/>
          <w:szCs w:val="32"/>
          <w:lang w:eastAsia="zh-CN"/>
        </w:rPr>
        <w:t>“双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kern w:val="0"/>
          <w:sz w:val="32"/>
          <w:szCs w:val="32"/>
        </w:rPr>
        <w:t>随机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kern w:val="0"/>
          <w:sz w:val="32"/>
          <w:szCs w:val="32"/>
          <w:lang w:eastAsia="zh-CN"/>
        </w:rPr>
        <w:t>、一公开”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</w:rPr>
        <w:t>抽查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  <w:lang w:eastAsia="zh-CN"/>
        </w:rPr>
        <w:t>检查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</w:rPr>
        <w:t>情况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  <w:lang w:eastAsia="zh-CN"/>
        </w:rPr>
        <w:t>相关信息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</w:rPr>
        <w:t>，自觉接受生产经营单位和社会各界的监督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  <w:lang w:val="en-US" w:eastAsia="zh-CN"/>
        </w:rPr>
        <w:t>对企业提出的异议，依法依规在规定时限内核查并反馈。</w:t>
      </w:r>
    </w:p>
    <w:p w14:paraId="25C64C8D">
      <w:pPr>
        <w:pStyle w:val="2"/>
        <w:ind w:firstLine="4160" w:firstLineChars="1300"/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  <w:lang w:val="en-US" w:eastAsia="zh-CN"/>
        </w:rPr>
      </w:pPr>
    </w:p>
    <w:p w14:paraId="3B39D228">
      <w:pPr>
        <w:pStyle w:val="2"/>
        <w:ind w:firstLine="4160" w:firstLineChars="1300"/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  <w:lang w:val="en-US" w:eastAsia="zh-CN"/>
        </w:rPr>
      </w:pPr>
    </w:p>
    <w:p w14:paraId="53DD4108">
      <w:pPr>
        <w:pStyle w:val="2"/>
        <w:ind w:firstLine="4160" w:firstLineChars="1300"/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  <w:lang w:val="en-US" w:eastAsia="zh-CN"/>
        </w:rPr>
        <w:t>晋州市应急管理局</w:t>
      </w:r>
    </w:p>
    <w:p w14:paraId="5920A8CA">
      <w:pPr>
        <w:pStyle w:val="2"/>
        <w:ind w:left="0" w:leftChars="0" w:firstLine="4198" w:firstLineChars="1312"/>
        <w:rPr>
          <w:rFonts w:hint="default" w:ascii="仿宋_GB2312" w:hAnsi="仿宋_GB2312" w:eastAsia="仿宋_GB2312" w:cs="仿宋_GB2312"/>
          <w:b w:val="0"/>
          <w:bCs w:val="0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  <w:lang w:val="en-US" w:eastAsia="zh-CN"/>
        </w:rPr>
        <w:t>2026年3月16日</w:t>
      </w:r>
    </w:p>
    <w:p w14:paraId="29966789">
      <w:pPr>
        <w:rPr>
          <w:rFonts w:hint="eastAsia"/>
        </w:rPr>
      </w:pPr>
    </w:p>
    <w:p w14:paraId="011D6C36">
      <w:pPr>
        <w:rPr>
          <w:rFonts w:hint="eastAsia"/>
        </w:rPr>
      </w:pPr>
    </w:p>
    <w:p w14:paraId="5521D7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A043326">
      <w:pPr>
        <w:rPr>
          <w:rFonts w:hint="eastAsia"/>
        </w:rPr>
      </w:pPr>
    </w:p>
    <w:p w14:paraId="5C493C9D">
      <w:pPr>
        <w:rPr>
          <w:rFonts w:hint="eastAsia"/>
        </w:rPr>
      </w:pPr>
    </w:p>
    <w:p w14:paraId="2C030244">
      <w:pPr>
        <w:rPr>
          <w:rFonts w:hint="eastAsia"/>
        </w:rPr>
      </w:pPr>
    </w:p>
    <w:p w14:paraId="28ED69FE">
      <w:pPr>
        <w:rPr>
          <w:rFonts w:hint="eastAsia"/>
        </w:rPr>
      </w:pPr>
    </w:p>
    <w:p w14:paraId="496B5C3C">
      <w:pPr>
        <w:rPr>
          <w:rFonts w:hint="eastAsia"/>
        </w:rPr>
      </w:pPr>
    </w:p>
    <w:p w14:paraId="08028451">
      <w:pPr>
        <w:rPr>
          <w:rFonts w:hint="eastAsia"/>
        </w:rPr>
      </w:pPr>
    </w:p>
    <w:p w14:paraId="3A5E9533">
      <w:pPr>
        <w:rPr>
          <w:rFonts w:hint="eastAsia"/>
        </w:rPr>
      </w:pPr>
    </w:p>
    <w:p w14:paraId="4642026D">
      <w:pPr>
        <w:rPr>
          <w:rFonts w:hint="eastAsia"/>
        </w:rPr>
      </w:pPr>
      <w:r>
        <w:rPr>
          <w:rFonts w:hint="eastAsia"/>
        </w:rPr>
        <w:t xml:space="preserve">  </w:t>
      </w:r>
    </w:p>
    <w:p w14:paraId="33432F2C">
      <w:pPr>
        <w:rPr>
          <w:rFonts w:hint="eastAsia"/>
        </w:rPr>
      </w:pPr>
    </w:p>
    <w:p w14:paraId="5A4767BC">
      <w:pPr>
        <w:rPr>
          <w:rFonts w:hint="eastAsia"/>
        </w:rPr>
      </w:pPr>
    </w:p>
    <w:p w14:paraId="4285B5D7">
      <w:pPr>
        <w:rPr>
          <w:rFonts w:hint="eastAsia"/>
        </w:rPr>
      </w:pPr>
    </w:p>
    <w:p w14:paraId="77DEA9D7">
      <w:pPr>
        <w:rPr>
          <w:rFonts w:hint="eastAsia"/>
        </w:rPr>
      </w:pPr>
    </w:p>
    <w:p w14:paraId="324558BE"/>
    <w:sectPr>
      <w:pgSz w:w="11906" w:h="16838"/>
      <w:pgMar w:top="2041" w:right="1531" w:bottom="204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B3328D2"/>
    <w:rsid w:val="22D45A16"/>
    <w:rsid w:val="3B1B09FC"/>
    <w:rsid w:val="528B687F"/>
    <w:rsid w:val="624201BB"/>
    <w:rsid w:val="6ADB3955"/>
    <w:rsid w:val="6B33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</w:style>
  <w:style w:type="paragraph" w:styleId="3">
    <w:name w:val="Normal (Web)"/>
    <w:basedOn w:val="1"/>
    <w:qFormat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2236</Words>
  <Characters>2253</Characters>
  <Lines>0</Lines>
  <Paragraphs>0</Paragraphs>
  <TotalTime>300</TotalTime>
  <ScaleCrop>false</ScaleCrop>
  <LinksUpToDate>false</LinksUpToDate>
  <CharactersWithSpaces>2257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2026-03-09T06:54:00Z</dcterms:created>
  <dc:creator>Administrator</dc:creator>
  <cp:lastModifiedBy>Administrator</cp:lastModifiedBy>
  <cp:lastPrinted>2026-03-16T03:35:54Z</cp:lastPrinted>
  <dcterms:modified xsi:type="dcterms:W3CDTF">2026-03-16T08:02:02Z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A658788B0F014EB589D4FD804F6224CC_11</vt:lpwstr>
  </property>
  <property fmtid="{D5CDD505-2E9C-101B-9397-08002B2CF9AE}" pid="4" name="KSOTemplateDocerSaveRecord">
    <vt:lpwstr>eyJoZGlkIjoiNjFiMjg1NjUxYzQ4MGVkZGMyNDc1ZmFlYWNkMGJjNWEifQ==</vt:lpwstr>
  </property>
</Properties>
</file>